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in PREPARE_FOR_HEARING_CONDUCT_HEARING, with the hearing fee paid and, on the fast track, the trial ready check made, the solicitors' trial arrangements confirmed and the trial bundle created.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go to mediation in this journey), so the test asks civil-service to do it now, waits for the bundle to be stitched into one document and checks the claimant's solicitor sees it on the Bundles tab. The claim stays in PREPARE_FOR_HEARING_CONDUCT_HEARING.</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MAKE_DIRECTIONS_ORDER, UPLOAD_EVIDENCE, CREATE_HEARING_NOTICE, PAY_HEARING_FEE and CONFIRM_TRIAL_ARRANGEMENTS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only ever reached by RESPOND_TO_DEFENCE, so every step before the Standard Direction Order uses the API):</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310"/>
        <w:gridCol w:w="1265"/>
        <w:gridCol w:w="3311"/>
      </w:tblGrid>
      <w:tr>
        <w:trPr>
          <w:tblHeader/>
        </w:trPr>
        <w:tc>
          <w:tcPr>
            <w:tcW w:type="dxa" w:w="17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3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2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3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2026-10-27T09:57:37.554Z</dcterms:created>
  <dcterms:modified xsi:type="dcterms:W3CDTF">2026-10-27T09:57:37.556Z</dcterms:modified>
</cp:coreProperties>
</file>

<file path=docProps/custom.xml><?xml version="1.0" encoding="utf-8"?>
<Properties xmlns="http://schemas.openxmlformats.org/officeDocument/2006/custom-properties" xmlns:vt="http://schemas.openxmlformats.org/officeDocument/2006/docPropsVTypes"/>
</file>