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r w:rsidRPr="00022204">
              <w:rPr>
                <w:rFonts w:cstheme="minorHAnsi"/>
                <w:sz w:val="16"/>
                <w:szCs w:val="16"/>
              </w:rPr>
              <w:t>applicant.primaryAddress.PostTown</w:t>
            </w:r>
            <w:proofErr w:type="spell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r w:rsidRPr="00022204">
              <w:rPr>
                <w:rFonts w:cstheme="minorHAnsi"/>
                <w:sz w:val="16"/>
                <w:szCs w:val="16"/>
              </w:rPr>
              <w:t>applicant.primaryAddress.Country</w:t>
            </w:r>
            <w:proofErr w:type="spell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4FE9E6" w14:textId="5107188A" w:rsidR="00016F6F" w:rsidRDefault="00860A85" w:rsidP="0007608B">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07608B">
      <w:pPr>
        <w:spacing w:before="40" w:after="40"/>
        <w:rPr>
          <w:sz w:val="18"/>
          <w:szCs w:val="18"/>
        </w:rPr>
      </w:pPr>
    </w:p>
    <w:p w14:paraId="3D2DB4C9" w14:textId="77777777" w:rsidR="003C094D" w:rsidRDefault="003C094D" w:rsidP="003C094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6D515E" w14:textId="15D180B1" w:rsidR="006A3431" w:rsidRPr="00EF5401"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EF5401">
        <w:rPr>
          <w:sz w:val="10"/>
          <w:szCs w:val="10"/>
        </w:rPr>
        <w:t>&lt;&lt;es_&gt;&gt;&lt;&lt;cs_{</w:t>
      </w:r>
      <w:proofErr w:type="spellStart"/>
      <w:r w:rsidRPr="00EF5401">
        <w:rPr>
          <w:sz w:val="10"/>
          <w:szCs w:val="10"/>
        </w:rPr>
        <w:t>paymentPlan</w:t>
      </w:r>
      <w:proofErr w:type="spell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E82188">
        <w:trPr>
          <w:trHeight w:val="3534"/>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r w:rsidRPr="00150B7B">
                    <w:rPr>
                      <w:sz w:val="12"/>
                      <w:szCs w:val="12"/>
                    </w:rPr>
                    <w:t>applicant</w:t>
                  </w:r>
                  <w:r>
                    <w:rPr>
                      <w:sz w:val="12"/>
                      <w:szCs w:val="12"/>
                    </w:rPr>
                    <w:t>.</w:t>
                  </w:r>
                  <w:r w:rsidRPr="005D36C4">
                    <w:rPr>
                      <w:sz w:val="12"/>
                      <w:szCs w:val="12"/>
                    </w:rPr>
                    <w:t>primaryAddress.PostTown</w:t>
                  </w:r>
                  <w:proofErr w:type="spell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r>
                    <w:rPr>
                      <w:sz w:val="12"/>
                      <w:szCs w:val="12"/>
                    </w:rPr>
                    <w:t>applicant</w:t>
                  </w:r>
                  <w:r w:rsidRPr="005D36C4">
                    <w:rPr>
                      <w:sz w:val="12"/>
                      <w:szCs w:val="12"/>
                    </w:rPr>
                    <w:t>.primaryAddress.Country</w:t>
                  </w:r>
                  <w:proofErr w:type="spell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A76F" w14:textId="77777777" w:rsidR="00B14FBB" w:rsidRDefault="00B14FBB" w:rsidP="0072401A">
      <w:pPr>
        <w:spacing w:after="0" w:line="240" w:lineRule="auto"/>
      </w:pPr>
      <w:r>
        <w:separator/>
      </w:r>
    </w:p>
  </w:endnote>
  <w:endnote w:type="continuationSeparator" w:id="0">
    <w:p w14:paraId="0B2F4E07" w14:textId="77777777" w:rsidR="00B14FBB" w:rsidRDefault="00B14FB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2636" w14:textId="77777777" w:rsidR="00B14FBB" w:rsidRDefault="00B14FBB" w:rsidP="0072401A">
      <w:pPr>
        <w:spacing w:after="0" w:line="240" w:lineRule="auto"/>
      </w:pPr>
      <w:r>
        <w:separator/>
      </w:r>
    </w:p>
  </w:footnote>
  <w:footnote w:type="continuationSeparator" w:id="0">
    <w:p w14:paraId="265DFA64" w14:textId="77777777" w:rsidR="00B14FBB" w:rsidRDefault="00B14FBB"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4A90"/>
    <w:rsid w:val="0007608B"/>
    <w:rsid w:val="000760BB"/>
    <w:rsid w:val="0007665B"/>
    <w:rsid w:val="000806A8"/>
    <w:rsid w:val="00092567"/>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D63BE"/>
    <w:rsid w:val="005E0D5F"/>
    <w:rsid w:val="005E4206"/>
    <w:rsid w:val="005E5DA2"/>
    <w:rsid w:val="005F17A3"/>
    <w:rsid w:val="00606A7E"/>
    <w:rsid w:val="00614084"/>
    <w:rsid w:val="00620F92"/>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4EC3"/>
    <w:rsid w:val="00726019"/>
    <w:rsid w:val="00734BBA"/>
    <w:rsid w:val="007479A7"/>
    <w:rsid w:val="00750BA1"/>
    <w:rsid w:val="00761441"/>
    <w:rsid w:val="00773589"/>
    <w:rsid w:val="00777053"/>
    <w:rsid w:val="00785E5C"/>
    <w:rsid w:val="0078602C"/>
    <w:rsid w:val="00790640"/>
    <w:rsid w:val="0079789D"/>
    <w:rsid w:val="007A0C81"/>
    <w:rsid w:val="007A2E1C"/>
    <w:rsid w:val="007A37B9"/>
    <w:rsid w:val="007C01DE"/>
    <w:rsid w:val="007C3176"/>
    <w:rsid w:val="007C3DB4"/>
    <w:rsid w:val="007D4D6A"/>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E082A"/>
    <w:rsid w:val="008E1E5B"/>
    <w:rsid w:val="008F0905"/>
    <w:rsid w:val="00907046"/>
    <w:rsid w:val="00912678"/>
    <w:rsid w:val="00930D52"/>
    <w:rsid w:val="00941997"/>
    <w:rsid w:val="0094420B"/>
    <w:rsid w:val="00956C95"/>
    <w:rsid w:val="0096671D"/>
    <w:rsid w:val="00974AE9"/>
    <w:rsid w:val="00977E27"/>
    <w:rsid w:val="009866BC"/>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3AC2"/>
    <w:rsid w:val="00AA4D1D"/>
    <w:rsid w:val="00AB343D"/>
    <w:rsid w:val="00AC3273"/>
    <w:rsid w:val="00AC61E5"/>
    <w:rsid w:val="00AC67CC"/>
    <w:rsid w:val="00AC7C6C"/>
    <w:rsid w:val="00AE040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3321"/>
    <w:rsid w:val="00CE6B62"/>
    <w:rsid w:val="00CF4BB7"/>
    <w:rsid w:val="00CF5454"/>
    <w:rsid w:val="00D06F09"/>
    <w:rsid w:val="00D201F6"/>
    <w:rsid w:val="00D23C91"/>
    <w:rsid w:val="00D26619"/>
    <w:rsid w:val="00D26E64"/>
    <w:rsid w:val="00D30560"/>
    <w:rsid w:val="00D333DE"/>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679E"/>
    <w:rsid w:val="00DF0490"/>
    <w:rsid w:val="00E024F9"/>
    <w:rsid w:val="00E0436C"/>
    <w:rsid w:val="00E146FE"/>
    <w:rsid w:val="00E17B21"/>
    <w:rsid w:val="00E20CE1"/>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3F44"/>
    <w:rsid w:val="00ED5F36"/>
    <w:rsid w:val="00EE2D9C"/>
    <w:rsid w:val="00EE359F"/>
    <w:rsid w:val="00EE7884"/>
    <w:rsid w:val="00EF5401"/>
    <w:rsid w:val="00EF55EA"/>
    <w:rsid w:val="00F01240"/>
    <w:rsid w:val="00F01AF1"/>
    <w:rsid w:val="00F021FB"/>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347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543</cp:revision>
  <dcterms:created xsi:type="dcterms:W3CDTF">2022-03-22T13:40:00Z</dcterms:created>
  <dcterms:modified xsi:type="dcterms:W3CDTF">2024-05-29T15:51:00Z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