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2129E3">
              <w:tc>
                <w:tcPr>
                  <w:tcW w:w="9026" w:type="dxa"/>
                  <w:gridSpan w:val="2"/>
                </w:tcPr>
                <w:p w14:paraId="5E860802" w14:textId="5D83DB16" w:rsidR="004C7C79" w:rsidRPr="00E56881" w:rsidRDefault="004C7C79" w:rsidP="004C7C79">
                  <w:pPr>
                    <w:rPr>
                      <w:rFonts w:cstheme="minorHAnsi"/>
                      <w:sz w:val="20"/>
                      <w:szCs w:val="20"/>
                    </w:rPr>
                  </w:pPr>
                  <w:r w:rsidRPr="00DC5D9B">
                    <w:rPr>
                      <w:rFonts w:cstheme="minorHAnsi"/>
                      <w:sz w:val="20"/>
                      <w:szCs w:val="20"/>
                    </w:rPr>
                    <w:t>&lt;&lt;c</w:t>
                  </w:r>
                  <w:r w:rsidR="003B3364">
                    <w:rPr>
                      <w:rFonts w:cstheme="minorHAnsi"/>
                      <w:sz w:val="20"/>
                      <w:szCs w:val="20"/>
                    </w:rPr>
                    <w:t>s</w:t>
                  </w:r>
                  <w:r w:rsidRPr="00DC5D9B">
                    <w:rPr>
                      <w:rFonts w:cstheme="minorHAnsi"/>
                      <w:sz w:val="20"/>
                      <w:szCs w:val="20"/>
                    </w:rPr>
                    <w:t>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6A34B91D" w14:textId="35505AC0"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r w:rsidRPr="00DC5D9B">
                    <w:rPr>
                      <w:rFonts w:cstheme="minorHAnsi"/>
                      <w:sz w:val="20"/>
                      <w:szCs w:val="20"/>
                    </w:rPr>
                    <w:t>&lt;&lt;c</w:t>
                  </w:r>
                  <w:r w:rsidR="003B3364">
                    <w:rPr>
                      <w:rFonts w:cstheme="minorHAnsi"/>
                      <w:sz w:val="20"/>
                      <w:szCs w:val="20"/>
                    </w:rPr>
                    <w:t>s</w:t>
                  </w:r>
                  <w:r w:rsidRPr="00DC5D9B">
                    <w:rPr>
                      <w:rFonts w:cstheme="minorHAnsi"/>
                      <w:sz w:val="20"/>
                      <w:szCs w:val="20"/>
                    </w:rPr>
                    <w:t>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B3FA4D4" w:rsidR="001B793B" w:rsidRDefault="00DD7500">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3DFB2DCF"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836E27">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33AD3D28"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w:t>
                  </w:r>
                  <w:r w:rsidR="005D60B4">
                    <w:rPr>
                      <w:rStyle w:val="eop"/>
                      <w:rFonts w:ascii="Arial" w:hAnsi="Arial" w:cs="Arial"/>
                      <w:color w:val="000000"/>
                      <w:shd w:val="clear" w:color="auto" w:fill="FFFFFF"/>
                    </w:rPr>
                    <w:t xml:space="preserve"> </w:t>
                  </w:r>
                  <w:r>
                    <w:rPr>
                      <w:rStyle w:val="eop"/>
                      <w:rFonts w:ascii="Arial" w:hAnsi="Arial" w:cs="Arial"/>
                      <w:color w:val="000000"/>
                      <w:shd w:val="clear" w:color="auto" w:fill="FFFFFF"/>
                    </w:rPr>
                    <w:t xml:space="preserve"> &lt;&lt;{dateFormat(commonDetails.payBy, ‘dd MMMM yyyy’, 'dd-MM-yyyy')}&gt;&gt;</w:t>
                  </w:r>
                </w:p>
              </w:tc>
            </w:tr>
            <w:tr w:rsidR="00EF1AA4" w14:paraId="0B07F0EE" w14:textId="77777777" w:rsidTr="002129E3">
              <w:tc>
                <w:tcPr>
                  <w:tcW w:w="9026" w:type="dxa"/>
                  <w:gridSpan w:val="2"/>
                </w:tcPr>
                <w:p w14:paraId="56E38EC6" w14:textId="2BE8C757" w:rsidR="004C7C79" w:rsidRPr="00E56881" w:rsidRDefault="004C7C79" w:rsidP="004C7C79">
                  <w:pPr>
                    <w:rPr>
                      <w:rFonts w:cstheme="minorHAnsi"/>
                      <w:sz w:val="20"/>
                      <w:szCs w:val="20"/>
                    </w:rPr>
                  </w:pPr>
                  <w:r w:rsidRPr="004B6A6C">
                    <w:rPr>
                      <w:rFonts w:cstheme="minorHAnsi"/>
                      <w:sz w:val="20"/>
                      <w:szCs w:val="20"/>
                    </w:rPr>
                    <w:t>&lt;&lt;c</w:t>
                  </w:r>
                  <w:r w:rsidR="003B3364">
                    <w:rPr>
                      <w:rFonts w:cstheme="minorHAnsi"/>
                      <w:sz w:val="20"/>
                      <w:szCs w:val="20"/>
                    </w:rPr>
                    <w:t>s</w:t>
                  </w:r>
                  <w:r w:rsidRPr="004B6A6C">
                    <w:rPr>
                      <w:rFonts w:cstheme="minorHAnsi"/>
                      <w:sz w:val="20"/>
                      <w:szCs w:val="20"/>
                    </w:rPr>
                    <w:t>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7B0507C4" w14:textId="66B65855"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r w:rsidRPr="004B6A6C">
                    <w:rPr>
                      <w:rFonts w:cstheme="minorHAnsi"/>
                      <w:sz w:val="20"/>
                      <w:szCs w:val="20"/>
                    </w:rPr>
                    <w:t>&lt;&lt;c</w:t>
                  </w:r>
                  <w:r w:rsidR="003B3364">
                    <w:rPr>
                      <w:rFonts w:cstheme="minorHAnsi"/>
                      <w:sz w:val="20"/>
                      <w:szCs w:val="20"/>
                    </w:rPr>
                    <w:t>s</w:t>
                  </w:r>
                  <w:r w:rsidRPr="004B6A6C">
                    <w:rPr>
                      <w:rFonts w:cstheme="minorHAnsi"/>
                      <w:sz w:val="20"/>
                      <w:szCs w:val="20"/>
                    </w:rPr>
                    <w:t>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2129E3">
              <w:tc>
                <w:tcPr>
                  <w:tcW w:w="2551" w:type="dxa"/>
                </w:tcPr>
                <w:p w14:paraId="6B660229" w14:textId="21D8973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FAB8B" w14:textId="77777777" w:rsidR="00AB5541" w:rsidRDefault="00AB5541">
      <w:r>
        <w:separator/>
      </w:r>
    </w:p>
  </w:endnote>
  <w:endnote w:type="continuationSeparator" w:id="0">
    <w:p w14:paraId="594C84FD" w14:textId="77777777" w:rsidR="00AB5541" w:rsidRDefault="00AB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BD1AF" w14:textId="77777777" w:rsidR="00AB5541" w:rsidRDefault="00AB5541">
      <w:r>
        <w:separator/>
      </w:r>
    </w:p>
  </w:footnote>
  <w:footnote w:type="continuationSeparator" w:id="0">
    <w:p w14:paraId="4E80EA48" w14:textId="77777777" w:rsidR="00AB5541" w:rsidRDefault="00AB5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A0197"/>
    <w:rsid w:val="001B793B"/>
    <w:rsid w:val="002129E3"/>
    <w:rsid w:val="00213B2B"/>
    <w:rsid w:val="00374884"/>
    <w:rsid w:val="003854B4"/>
    <w:rsid w:val="00394971"/>
    <w:rsid w:val="003B3364"/>
    <w:rsid w:val="004B2F62"/>
    <w:rsid w:val="004B6A6C"/>
    <w:rsid w:val="004C53AE"/>
    <w:rsid w:val="004C7C79"/>
    <w:rsid w:val="005747EE"/>
    <w:rsid w:val="005D60B4"/>
    <w:rsid w:val="00624216"/>
    <w:rsid w:val="00676F6A"/>
    <w:rsid w:val="006C31E8"/>
    <w:rsid w:val="0078242E"/>
    <w:rsid w:val="00836E27"/>
    <w:rsid w:val="008A63E2"/>
    <w:rsid w:val="008A7374"/>
    <w:rsid w:val="008E7B94"/>
    <w:rsid w:val="0092518A"/>
    <w:rsid w:val="00937130"/>
    <w:rsid w:val="0094253C"/>
    <w:rsid w:val="009478EC"/>
    <w:rsid w:val="00A155CA"/>
    <w:rsid w:val="00A44C2D"/>
    <w:rsid w:val="00A84C12"/>
    <w:rsid w:val="00A94739"/>
    <w:rsid w:val="00AA1558"/>
    <w:rsid w:val="00AB5541"/>
    <w:rsid w:val="00B11301"/>
    <w:rsid w:val="00B55B18"/>
    <w:rsid w:val="00BE2C62"/>
    <w:rsid w:val="00BF6FDD"/>
    <w:rsid w:val="00C65853"/>
    <w:rsid w:val="00D62A7B"/>
    <w:rsid w:val="00DA77BD"/>
    <w:rsid w:val="00DC5D9B"/>
    <w:rsid w:val="00DD7500"/>
    <w:rsid w:val="00DF1ADC"/>
    <w:rsid w:val="00E56881"/>
    <w:rsid w:val="00EB6933"/>
    <w:rsid w:val="00ED0E38"/>
    <w:rsid w:val="00EF1AA4"/>
    <w:rsid w:val="00EF5A45"/>
    <w:rsid w:val="00F00460"/>
    <w:rsid w:val="00F76E0B"/>
    <w:rsid w:val="00F96F13"/>
    <w:rsid w:val="00FC3BA3"/>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3.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467</TotalTime>
  <Pages>6</Pages>
  <Words>972</Words>
  <Characters>5546</Characters>
  <Application>Microsoft Office Word</Application>
  <DocSecurity>0</DocSecurity>
  <Lines>46</Lines>
  <Paragraphs>13</Paragraphs>
  <ScaleCrop>false</ScaleCrop>
  <Company>Version 1</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32</cp:revision>
  <cp:lastPrinted>2020-12-03T10:41:00Z</cp:lastPrinted>
  <dcterms:created xsi:type="dcterms:W3CDTF">2023-09-14T13:21:00Z</dcterms:created>
  <dcterms:modified xsi:type="dcterms:W3CDTF">2025-06-23T09:27:00Z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