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36563982" w:rsidR="009C46B5" w:rsidRPr="00A13920" w:rsidRDefault="00A32569" w:rsidP="009C46B5">
      <w:pPr>
        <w:pStyle w:val="Heading1"/>
        <w:spacing w:after="312"/>
        <w:ind w:left="0" w:right="333" w:firstLine="720"/>
      </w:pPr>
      <w: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3CF58BE4">
              <v:group id="Group 2791" style="width:467.95pt;height:68.75pt;mso-position-horizontal-relative:char;mso-position-vertical-relative:line" coordsize="59429,8731" o:spid="_x0000_s1026" w14:anchorId="1BF5B1C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7A721B36">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D04D0B4"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66E71213"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sidR="00772336">
        <w:rPr>
          <w:rFonts w:ascii="Arial" w:hAnsi="Arial" w:cs="Arial"/>
          <w:b/>
          <w:bCs/>
        </w:rPr>
        <w:t xml:space="preserve"> </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31BC39FA"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2838375A" w14:textId="01A221D3"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.input4&gt;&gt;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3</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lastRenderedPageBreak/>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E5FFCF4" w:rsidR="008A640D" w:rsidRDefault="000F04B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.input1&gt;&gt;</w:t>
      </w:r>
      <w:r w:rsidR="008A640D">
        <w:rPr>
          <w:rFonts w:ascii="Arial" w:hAnsi="Arial" w:cs="Arial"/>
        </w:rPr>
        <w:t>. T</w:t>
      </w:r>
      <w:r w:rsidR="008A640D" w:rsidRPr="253E6955">
        <w:rPr>
          <w:rFonts w:ascii="Arial" w:hAnsi="Arial" w:cs="Arial"/>
        </w:rPr>
        <w:t xml:space="preserve">his trial will be heard between </w:t>
      </w:r>
      <w:r w:rsidR="006F6427">
        <w:rPr>
          <w:rFonts w:ascii="Arial" w:hAnsi="Arial" w:cs="Arial"/>
          <w:b/>
          <w:bCs/>
        </w:rPr>
        <w:t>&lt;&lt; {</w:t>
      </w:r>
      <w:proofErr w:type="spellStart"/>
      <w:proofErr w:type="gramStart"/>
      <w:r w:rsidR="006F6427">
        <w:rPr>
          <w:rFonts w:ascii="Arial" w:hAnsi="Arial" w:cs="Arial"/>
          <w:b/>
          <w:bCs/>
        </w:rPr>
        <w:t>dateFormat</w:t>
      </w:r>
      <w:proofErr w:type="spellEnd"/>
      <w:r w:rsidR="006F6427">
        <w:rPr>
          <w:rFonts w:ascii="Arial" w:hAnsi="Arial" w:cs="Arial"/>
          <w:b/>
          <w:bCs/>
        </w:rPr>
        <w:t>(</w:t>
      </w:r>
      <w:proofErr w:type="gramEnd"/>
      <w:r w:rsidR="006F6427" w:rsidRPr="00A71776">
        <w:rPr>
          <w:rFonts w:ascii="Arial" w:hAnsi="Arial" w:cs="Arial"/>
          <w:b/>
          <w:bCs/>
        </w:rPr>
        <w:t>trialHearingTrialDJ.date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 xml:space="preserve">-MM-dd’)}&gt;&gt; </w:t>
      </w:r>
      <w:r w:rsidR="008A640D" w:rsidRPr="253E6955">
        <w:rPr>
          <w:rFonts w:ascii="Arial" w:hAnsi="Arial" w:cs="Arial"/>
        </w:rPr>
        <w:t>and</w:t>
      </w:r>
      <w:r w:rsidR="006F6427" w:rsidRPr="253E6955">
        <w:rPr>
          <w:rFonts w:ascii="Arial" w:hAnsi="Arial" w:cs="Arial"/>
        </w:rPr>
        <w:t xml:space="preserve"> </w:t>
      </w:r>
      <w:r w:rsidR="006F6427">
        <w:rPr>
          <w:rFonts w:ascii="Arial" w:hAnsi="Arial" w:cs="Arial"/>
          <w:b/>
          <w:bCs/>
        </w:rPr>
        <w:t>&lt;&lt;{</w:t>
      </w:r>
      <w:proofErr w:type="spellStart"/>
      <w:r w:rsidR="006F6427">
        <w:rPr>
          <w:rFonts w:ascii="Arial" w:hAnsi="Arial" w:cs="Arial"/>
          <w:b/>
          <w:bCs/>
        </w:rPr>
        <w:t>dateFormat</w:t>
      </w:r>
      <w:proofErr w:type="spellEnd"/>
      <w:r w:rsidR="006F6427">
        <w:rPr>
          <w:rFonts w:ascii="Arial" w:hAnsi="Arial" w:cs="Arial"/>
          <w:b/>
          <w:bCs/>
        </w:rPr>
        <w:t>(</w:t>
      </w:r>
      <w:r w:rsidR="006F6427" w:rsidRPr="00A71776">
        <w:rPr>
          <w:rFonts w:ascii="Arial" w:hAnsi="Arial" w:cs="Arial"/>
          <w:b/>
          <w:bCs/>
        </w:rPr>
        <w:t>trialHearingTrialDJ.date</w:t>
      </w:r>
      <w:r w:rsidR="006F6427">
        <w:rPr>
          <w:rFonts w:ascii="Arial" w:hAnsi="Arial" w:cs="Arial"/>
          <w:b/>
          <w:bCs/>
        </w:rPr>
        <w:t>2</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p>
    <w:p w14:paraId="0F592ABD" w14:textId="0F5ACDAE"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.input2&gt;&gt;</w:t>
      </w:r>
    </w:p>
    <w:p w14:paraId="4BE76E70" w14:textId="2DE2281D"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.input3&gt;&gt;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01C5B7EA" w:rsidR="00A57D6C" w:rsidRPr="00C9611C" w:rsidRDefault="00A57D6C" w:rsidP="00C9611C">
      <w:pPr>
        <w:pStyle w:val="ListParagraph"/>
        <w:numPr>
          <w:ilvl w:val="0"/>
          <w:numId w:val="1"/>
        </w:numPr>
        <w:spacing w:after="0" w:line="240" w:lineRule="auto"/>
        <w:ind w:left="851" w:hanging="491"/>
        <w:rPr>
          <w:rFonts w:ascii="Arial" w:hAnsi="Arial" w:cs="Arial"/>
          <w:bCs/>
        </w:rPr>
      </w:pPr>
      <w:r w:rsidRPr="0003704E">
        <w:rPr>
          <w:rFonts w:ascii="Arial" w:eastAsia="Times New Roman" w:hAnsi="Arial" w:cs="Arial"/>
          <w:color w:val="000000"/>
          <w:lang w:eastAsia="en-GB"/>
        </w:rPr>
        <w:t>&lt;&lt;cs_{</w:t>
      </w:r>
      <w:proofErr w:type="spellStart"/>
      <w:r w:rsidR="00DC536E" w:rsidRPr="00DC536E">
        <w:rPr>
          <w:rFonts w:ascii="Arial" w:eastAsia="Times New Roman" w:hAnsi="Arial" w:cs="Arial"/>
          <w:color w:val="000000"/>
          <w:lang w:eastAsia="en-GB"/>
        </w:rPr>
        <w:t>trialHearingMethodDJ</w:t>
      </w:r>
      <w:proofErr w:type="spellEnd"/>
      <w:r w:rsidRPr="0003704E">
        <w:rPr>
          <w:rFonts w:ascii="Arial" w:eastAsia="Times New Roman" w:hAnsi="Arial" w:cs="Arial"/>
          <w:color w:val="000000"/>
          <w:lang w:eastAsia="en-GB"/>
        </w:rPr>
        <w:t>=</w:t>
      </w:r>
      <w:r w:rsidR="00DC536E">
        <w:t>‘</w:t>
      </w:r>
      <w:proofErr w:type="spellStart"/>
      <w:r w:rsidR="00DC536E" w:rsidRPr="00DC536E">
        <w:rPr>
          <w:rFonts w:ascii="Arial" w:eastAsia="Times New Roman" w:hAnsi="Arial" w:cs="Arial"/>
          <w:color w:val="000000"/>
          <w:lang w:eastAsia="en-GB"/>
        </w:rPr>
        <w:t>disposalHearingMethodInPerson</w:t>
      </w:r>
      <w:proofErr w:type="spellEnd"/>
      <w:r w:rsidRPr="0003704E">
        <w:rPr>
          <w:rFonts w:ascii="Arial" w:eastAsia="Times New Roman" w:hAnsi="Arial" w:cs="Arial"/>
          <w:color w:val="000000"/>
          <w:lang w:eastAsia="en-GB"/>
        </w:rPr>
        <w:t>’}&gt;&gt;</w:t>
      </w:r>
      <w:r w:rsidRPr="0003704E">
        <w:t xml:space="preserve"> </w:t>
      </w:r>
      <w:r w:rsidR="007D6AA0">
        <w:rPr>
          <w:rFonts w:ascii="Arial" w:eastAsia="Times New Roman" w:hAnsi="Arial" w:cs="Arial"/>
          <w:lang w:eastAsia="en-GB"/>
        </w:rPr>
        <w:t xml:space="preserve">This trial will take place </w:t>
      </w:r>
      <w:r w:rsidR="007D6AA0">
        <w:rPr>
          <w:rFonts w:ascii="Arial" w:eastAsia="Times New Roman" w:hAnsi="Arial" w:cs="Arial"/>
          <w:b/>
          <w:bCs/>
          <w:lang w:eastAsia="en-GB"/>
        </w:rPr>
        <w:t>&lt;&lt;</w:t>
      </w:r>
      <w:proofErr w:type="spellStart"/>
      <w:r w:rsidR="007D6AA0">
        <w:rPr>
          <w:rFonts w:ascii="Arial" w:eastAsia="Times New Roman" w:hAnsi="Arial" w:cs="Arial"/>
          <w:b/>
          <w:bCs/>
          <w:lang w:eastAsia="en-GB"/>
        </w:rPr>
        <w:t>trialHearingLocation</w:t>
      </w:r>
      <w:proofErr w:type="spellEnd"/>
      <w:r w:rsidR="007D6AA0">
        <w:rPr>
          <w:rFonts w:ascii="Arial" w:eastAsia="Times New Roman" w:hAnsi="Arial" w:cs="Arial"/>
          <w:b/>
          <w:bCs/>
          <w:lang w:eastAsia="en-GB"/>
        </w:rPr>
        <w:t>&gt;&gt;</w:t>
      </w:r>
      <w:r w:rsidR="007D6AA0">
        <w:rPr>
          <w:rFonts w:ascii="Arial" w:eastAsia="Times New Roman" w:hAnsi="Arial" w:cs="Arial"/>
          <w:lang w:eastAsia="en-GB"/>
        </w:rPr>
        <w:t xml:space="preserve"> and will be</w:t>
      </w:r>
      <w:r w:rsidR="001D5328" w:rsidRPr="001D5328">
        <w:rPr>
          <w:rFonts w:ascii="Arial" w:eastAsia="Times New Roman" w:hAnsi="Arial" w:cs="Arial"/>
          <w:color w:val="000000"/>
          <w:lang w:eastAsia="en-GB"/>
        </w:rPr>
        <w:t xml:space="preserve"> </w:t>
      </w:r>
      <w:r w:rsidR="001D5328" w:rsidRPr="0003704E">
        <w:rPr>
          <w:rFonts w:ascii="Arial" w:eastAsia="Times New Roman" w:hAnsi="Arial" w:cs="Arial"/>
          <w:color w:val="000000"/>
          <w:lang w:eastAsia="en-GB"/>
        </w:rPr>
        <w:t xml:space="preserve">and will be in </w:t>
      </w:r>
      <w:r w:rsidR="001D5328" w:rsidRPr="00C62AEF">
        <w:rPr>
          <w:rFonts w:ascii="Arial" w:eastAsia="Times New Roman" w:hAnsi="Arial" w:cs="Arial"/>
          <w:b/>
          <w:bCs/>
          <w:color w:val="000000"/>
          <w:lang w:eastAsia="en-GB"/>
        </w:rPr>
        <w:t>person</w:t>
      </w:r>
      <w:r w:rsidR="001D5328" w:rsidRPr="0003704E">
        <w:rPr>
          <w:rFonts w:ascii="Arial" w:eastAsia="Times New Roman" w:hAnsi="Arial" w:cs="Arial"/>
          <w:color w:val="000000"/>
          <w:lang w:eastAsia="en-GB"/>
        </w:rPr>
        <w:t>.</w:t>
      </w:r>
      <w:r w:rsidR="001D5328" w:rsidRPr="0023524A">
        <w:rPr>
          <w:rFonts w:ascii="Arial" w:eastAsia="Times New Roman" w:hAnsi="Arial" w:cs="Arial"/>
          <w:color w:val="000000"/>
          <w:lang w:eastAsia="en-GB"/>
        </w:rPr>
        <w:t>&lt;&lt;</w:t>
      </w:r>
      <w:r w:rsidRPr="0023524A">
        <w:rPr>
          <w:rFonts w:ascii="Arial" w:eastAsia="Times New Roman" w:hAnsi="Arial" w:cs="Arial"/>
          <w:color w:val="000000"/>
          <w:lang w:eastAsia="en-GB"/>
        </w:rPr>
        <w:t>es_&gt;&gt;</w:t>
      </w:r>
      <w:r w:rsidRPr="00C9611C">
        <w:rPr>
          <w:rFonts w:ascii="Arial" w:eastAsia="Times New Roman" w:hAnsi="Arial" w:cs="Arial"/>
          <w:color w:val="000000"/>
          <w:lang w:eastAsia="en-GB"/>
        </w:rPr>
        <w:t>&lt;&lt;cs_{trialHearingMethodDJ=’disposalHearingMethodTelephoneHearing’}&gt;&gt;</w:t>
      </w:r>
      <w:r w:rsidRPr="0003704E">
        <w:t xml:space="preserve"> </w:t>
      </w:r>
      <w:r w:rsidR="001D5328" w:rsidRPr="00C9611C">
        <w:rPr>
          <w:rFonts w:ascii="Arial" w:eastAsia="Times New Roman" w:hAnsi="Arial" w:cs="Arial"/>
          <w:color w:val="000000"/>
          <w:lang w:eastAsia="en-GB"/>
        </w:rPr>
        <w:t xml:space="preserve">This trial will be attended by </w:t>
      </w:r>
      <w:r w:rsidR="001D5328" w:rsidRPr="00C9611C">
        <w:rPr>
          <w:rFonts w:ascii="Arial" w:eastAsia="Times New Roman" w:hAnsi="Arial" w:cs="Arial"/>
          <w:b/>
          <w:bCs/>
          <w:color w:val="000000"/>
          <w:lang w:eastAsia="en-GB"/>
        </w:rPr>
        <w:t>telephone</w:t>
      </w:r>
      <w:r w:rsidR="001D5328" w:rsidRPr="00C9611C">
        <w:rPr>
          <w:rFonts w:ascii="Arial" w:eastAsia="Times New Roman" w:hAnsi="Arial" w:cs="Arial"/>
          <w:color w:val="000000"/>
          <w:lang w:eastAsia="en-GB"/>
        </w:rPr>
        <w:t xml:space="preserve"> with &lt;&lt;</w:t>
      </w:r>
      <w:proofErr w:type="spellStart"/>
      <w:r w:rsidR="001D5328" w:rsidRPr="00C9611C">
        <w:rPr>
          <w:rFonts w:ascii="Arial" w:eastAsia="Times New Roman" w:hAnsi="Arial" w:cs="Arial"/>
          <w:color w:val="000000"/>
          <w:lang w:eastAsia="en-GB"/>
        </w:rPr>
        <w:t>telephoneOrganisedBy</w:t>
      </w:r>
      <w:proofErr w:type="spellEnd"/>
      <w:r w:rsidR="001D5328" w:rsidRPr="00C9611C">
        <w:rPr>
          <w:rFonts w:ascii="Arial" w:eastAsia="Times New Roman" w:hAnsi="Arial" w:cs="Arial"/>
          <w:color w:val="000000"/>
          <w:lang w:eastAsia="en-GB"/>
        </w:rPr>
        <w:t>&gt;&gt; to</w:t>
      </w:r>
      <w:r w:rsidR="00C9611C">
        <w:rPr>
          <w:rFonts w:ascii="Arial" w:eastAsia="Times New Roman" w:hAnsi="Arial" w:cs="Arial"/>
          <w:color w:val="000000"/>
          <w:lang w:eastAsia="en-GB"/>
        </w:rPr>
        <w:t xml:space="preserve"> </w:t>
      </w:r>
      <w:r w:rsidR="001D5328" w:rsidRPr="00C9611C">
        <w:rPr>
          <w:rFonts w:ascii="Arial" w:eastAsia="Times New Roman" w:hAnsi="Arial" w:cs="Arial"/>
          <w:color w:val="000000"/>
          <w:lang w:eastAsia="en-GB"/>
        </w:rPr>
        <w:t>arrange</w:t>
      </w:r>
      <w:r w:rsidR="0023524A" w:rsidRPr="00C9611C">
        <w:rPr>
          <w:rFonts w:ascii="Arial" w:eastAsia="Times New Roman" w:hAnsi="Arial" w:cs="Arial"/>
          <w:color w:val="000000"/>
          <w:lang w:eastAsia="en-GB"/>
        </w:rPr>
        <w:t>.</w:t>
      </w:r>
      <w:r w:rsidR="00717542" w:rsidRPr="00C9611C">
        <w:rPr>
          <w:rFonts w:ascii="Arial" w:eastAsia="Times New Roman" w:hAnsi="Arial" w:cs="Arial"/>
          <w:color w:val="000000"/>
          <w:lang w:eastAsia="en-GB"/>
        </w:rPr>
        <w:t>&lt;&lt;es_&gt;&gt;</w:t>
      </w:r>
      <w:r w:rsidRPr="00C9611C">
        <w:rPr>
          <w:rFonts w:ascii="Arial" w:eastAsia="Times New Roman" w:hAnsi="Arial" w:cs="Arial"/>
          <w:color w:val="000000"/>
          <w:lang w:eastAsia="en-GB"/>
        </w:rPr>
        <w:t>&lt;&lt;cs_{trialHearingMethodDJ=’disposalHearingMethodVideoConferenceHearing’}&gt;&gt;</w:t>
      </w:r>
      <w:r w:rsidRPr="0003704E">
        <w:t xml:space="preserve"> </w:t>
      </w:r>
      <w:r w:rsidR="001D5328" w:rsidRPr="00C9611C">
        <w:rPr>
          <w:rFonts w:ascii="Arial" w:eastAsia="Times New Roman" w:hAnsi="Arial" w:cs="Arial"/>
          <w:color w:val="000000"/>
          <w:lang w:eastAsia="en-GB"/>
        </w:rPr>
        <w:t xml:space="preserve">This trial will be attended by </w:t>
      </w:r>
      <w:r w:rsidR="001D5328" w:rsidRPr="00C9611C">
        <w:rPr>
          <w:rFonts w:ascii="Arial" w:eastAsia="Times New Roman" w:hAnsi="Arial" w:cs="Arial"/>
          <w:b/>
          <w:bCs/>
          <w:color w:val="000000"/>
          <w:lang w:eastAsia="en-GB"/>
        </w:rPr>
        <w:t>video conference</w:t>
      </w:r>
      <w:r w:rsidR="001D5328" w:rsidRPr="00C9611C">
        <w:rPr>
          <w:rFonts w:ascii="Arial" w:eastAsia="Times New Roman" w:hAnsi="Arial" w:cs="Arial"/>
          <w:color w:val="000000"/>
          <w:lang w:eastAsia="en-GB"/>
        </w:rPr>
        <w:t xml:space="preserve"> with the &lt;&lt;</w:t>
      </w:r>
      <w:proofErr w:type="spellStart"/>
      <w:r w:rsidR="001D5328" w:rsidRPr="00C9611C">
        <w:rPr>
          <w:rFonts w:ascii="Arial" w:eastAsia="Times New Roman" w:hAnsi="Arial" w:cs="Arial"/>
          <w:color w:val="000000"/>
          <w:lang w:eastAsia="en-GB"/>
        </w:rPr>
        <w:t>videoConferenceOrganisedBy</w:t>
      </w:r>
      <w:proofErr w:type="spellEnd"/>
      <w:r w:rsidR="001D5328" w:rsidRPr="00C9611C">
        <w:rPr>
          <w:rFonts w:ascii="Arial" w:eastAsia="Times New Roman" w:hAnsi="Arial" w:cs="Arial"/>
          <w:color w:val="000000"/>
          <w:lang w:eastAsia="en-GB"/>
        </w:rPr>
        <w:t>&gt;&gt; to arrange</w:t>
      </w:r>
      <w:r w:rsidR="00717542" w:rsidRPr="00C9611C">
        <w:rPr>
          <w:rFonts w:ascii="Arial" w:eastAsia="Times New Roman" w:hAnsi="Arial" w:cs="Arial"/>
          <w:color w:val="000000"/>
          <w:lang w:eastAsia="en-GB"/>
        </w:rPr>
        <w:t>.</w:t>
      </w:r>
      <w:r w:rsidR="001D5328" w:rsidRPr="00C9611C">
        <w:rPr>
          <w:rFonts w:ascii="Arial" w:eastAsia="Times New Roman" w:hAnsi="Arial" w:cs="Arial"/>
          <w:color w:val="000000"/>
          <w:lang w:eastAsia="en-GB"/>
        </w:rPr>
        <w:t xml:space="preserve"> </w:t>
      </w:r>
      <w:r w:rsidRPr="00C9611C">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77B3AC10" w:rsidR="00E93F73" w:rsidRPr="00E93F73" w:rsidRDefault="00E93F73" w:rsidP="00E93F73">
      <w:pPr>
        <w:spacing w:after="0" w:line="240" w:lineRule="auto"/>
        <w:rPr>
          <w:rFonts w:ascii="Times New Roman" w:eastAsia="Times New Roman" w:hAnsi="Times New Roman" w:cs="Times New Roman"/>
          <w:sz w:val="24"/>
          <w:szCs w:val="24"/>
          <w:lang w:eastAsia="en-GB"/>
        </w:rPr>
      </w:pPr>
      <w:r w:rsidRPr="00E93F73">
        <w:rPr>
          <w:rFonts w:ascii="Arial" w:hAnsi="Arial" w:cs="Arial"/>
          <w:b/>
        </w:rPr>
        <w:t xml:space="preserve">Notes </w:t>
      </w:r>
    </w:p>
    <w:p w14:paraId="378A0D78" w14:textId="3E120EE0"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Pr="0019351D">
        <w:rPr>
          <w:rFonts w:ascii="Arial" w:eastAsia="Times New Roman" w:hAnsi="Arial" w:cs="Arial"/>
          <w:lang w:eastAsia="en-GB"/>
        </w:rPr>
        <w:t>trialHearingNotesDJ.input</w:t>
      </w:r>
      <w:proofErr w:type="spellEnd"/>
      <w:r w:rsidRPr="0019351D">
        <w:rPr>
          <w:rFonts w:ascii="Arial" w:eastAsia="Times New Roman" w:hAnsi="Arial" w:cs="Arial"/>
          <w:lang w:eastAsia="en-GB"/>
        </w:rPr>
        <w:t xml:space="preserve">&gt;&gt;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proofErr w:type="spellStart"/>
      <w:r w:rsidR="0019351D" w:rsidRPr="0019351D">
        <w:rPr>
          <w:rFonts w:ascii="Arial" w:eastAsia="Times New Roman" w:hAnsi="Arial" w:cs="Arial"/>
          <w:b/>
          <w:bCs/>
          <w:lang w:eastAsia="en-GB"/>
        </w:rPr>
        <w:t>trialHearingNotesDJ.date</w:t>
      </w:r>
      <w:proofErr w:type="spellEnd"/>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5B950E25" w14:textId="77777777" w:rsidR="00530DC3" w:rsidRPr="00530DC3"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41711AC5" w14:textId="004C879C"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lastRenderedPageBreak/>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1F3EB3EE" w14:textId="77777777" w:rsidR="005864BE"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5864BE">
        <w:rPr>
          <w:rFonts w:ascii="Arial" w:hAnsi="Arial" w:cs="Arial"/>
        </w:rPr>
        <w:t>.</w:t>
      </w:r>
    </w:p>
    <w:p w14:paraId="11C19822" w14:textId="58C76C24" w:rsidR="00ED1643" w:rsidRPr="005864BE" w:rsidRDefault="00B7788B" w:rsidP="005864BE">
      <w:pPr>
        <w:pStyle w:val="ListParagraph"/>
        <w:numPr>
          <w:ilvl w:val="0"/>
          <w:numId w:val="1"/>
        </w:numPr>
        <w:ind w:left="851" w:hanging="491"/>
        <w:rPr>
          <w:rFonts w:ascii="Arial" w:hAnsi="Arial" w:cs="Arial"/>
        </w:rPr>
      </w:pP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5864BE">
        <w:rPr>
          <w:rFonts w:ascii="Arial" w:hAnsi="Arial" w:cs="Arial"/>
        </w:rPr>
        <w:t>&lt;&lt; trialCreditHire.input4&gt;&gt;</w:t>
      </w:r>
      <w:r w:rsidR="0084799F" w:rsidRPr="005864BE">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43E65EE" w14:textId="686BBD34" w:rsidR="00860722" w:rsidRPr="003D4C83" w:rsidRDefault="00492677" w:rsidP="003D4C83">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r w:rsidR="003D4C83">
        <w:rPr>
          <w:rFonts w:ascii="Arial" w:hAnsi="Arial" w:cs="Arial"/>
          <w:b/>
          <w:bCs/>
        </w:rPr>
        <w:t xml:space="preserve"> </w:t>
      </w:r>
      <w:r w:rsidR="00860722" w:rsidRPr="003D4C83">
        <w:rPr>
          <w:rFonts w:ascii="Arial" w:hAnsi="Arial" w:cs="Arial"/>
        </w:rPr>
        <w:t xml:space="preserve">&lt;&lt;trialPersonalInjury.input4&gt;&gt; </w:t>
      </w:r>
      <w:r w:rsidR="00860722" w:rsidRPr="003D4C83">
        <w:rPr>
          <w:rFonts w:ascii="Arial" w:hAnsi="Arial" w:cs="Arial"/>
          <w:b/>
          <w:bCs/>
        </w:rPr>
        <w:t>&lt;&lt;{</w:t>
      </w:r>
      <w:proofErr w:type="spellStart"/>
      <w:r w:rsidR="00860722" w:rsidRPr="003D4C83">
        <w:rPr>
          <w:rFonts w:ascii="Arial" w:hAnsi="Arial" w:cs="Arial"/>
          <w:b/>
          <w:bCs/>
        </w:rPr>
        <w:t>dateFormat</w:t>
      </w:r>
      <w:proofErr w:type="spellEnd"/>
      <w:r w:rsidR="00860722" w:rsidRPr="003D4C83">
        <w:rPr>
          <w:rFonts w:ascii="Arial" w:hAnsi="Arial" w:cs="Arial"/>
          <w:b/>
          <w:bCs/>
        </w:rPr>
        <w:t xml:space="preserve">(trialPersonalInjury.date4, ‘dd MMMM </w:t>
      </w:r>
      <w:proofErr w:type="spellStart"/>
      <w:r w:rsidR="00860722" w:rsidRPr="003D4C83">
        <w:rPr>
          <w:rFonts w:ascii="Arial" w:hAnsi="Arial" w:cs="Arial"/>
          <w:b/>
          <w:bCs/>
        </w:rPr>
        <w:t>yyyy</w:t>
      </w:r>
      <w:proofErr w:type="spellEnd"/>
      <w:r w:rsidR="00860722" w:rsidRPr="003D4C83">
        <w:rPr>
          <w:rFonts w:ascii="Arial" w:hAnsi="Arial" w:cs="Arial"/>
          <w:b/>
          <w:bCs/>
        </w:rPr>
        <w:t>’, ‘</w:t>
      </w:r>
      <w:proofErr w:type="spellStart"/>
      <w:r w:rsidR="00860722" w:rsidRPr="003D4C83">
        <w:rPr>
          <w:rFonts w:ascii="Arial" w:hAnsi="Arial" w:cs="Arial"/>
          <w:b/>
          <w:bCs/>
        </w:rPr>
        <w:t>yyyy</w:t>
      </w:r>
      <w:proofErr w:type="spellEnd"/>
      <w:r w:rsidR="00860722" w:rsidRPr="003D4C83">
        <w:rPr>
          <w:rFonts w:ascii="Arial" w:hAnsi="Arial" w:cs="Arial"/>
          <w:b/>
          <w:bCs/>
        </w:rPr>
        <w:t>-MM-dd’)}&gt;&gt;.</w:t>
      </w:r>
    </w:p>
    <w:p w14:paraId="7948ADBF" w14:textId="77777777" w:rsidR="00860722" w:rsidRPr="00492677" w:rsidRDefault="00860722" w:rsidP="00860722">
      <w:pPr>
        <w:pStyle w:val="ListParagraph"/>
        <w:spacing w:line="256" w:lineRule="auto"/>
        <w:ind w:left="851"/>
        <w:rPr>
          <w:rFonts w:ascii="Arial" w:hAnsi="Arial" w:cs="Arial"/>
        </w:rPr>
      </w:pP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lastRenderedPageBreak/>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D1A1B" w14:textId="77777777" w:rsidR="00BF59D1" w:rsidRDefault="00BF59D1" w:rsidP="00B532BF">
      <w:pPr>
        <w:spacing w:after="0" w:line="240" w:lineRule="auto"/>
      </w:pPr>
      <w:r>
        <w:separator/>
      </w:r>
    </w:p>
  </w:endnote>
  <w:endnote w:type="continuationSeparator" w:id="0">
    <w:p w14:paraId="75FA08DB" w14:textId="77777777" w:rsidR="00BF59D1" w:rsidRDefault="00BF59D1" w:rsidP="00B5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DC43" w14:textId="01AC0CDB" w:rsidR="00B532BF" w:rsidRDefault="00B532BF">
    <w:pPr>
      <w:pStyle w:val="Footer"/>
    </w:pPr>
    <w:r>
      <w:rPr>
        <w:noProof/>
      </w:rPr>
      <mc:AlternateContent>
        <mc:Choice Requires="wps">
          <w:drawing>
            <wp:anchor distT="0" distB="0" distL="0" distR="0" simplePos="0" relativeHeight="251659264" behindDoc="0" locked="0" layoutInCell="1" allowOverlap="1" wp14:anchorId="4075D918" wp14:editId="530A6081">
              <wp:simplePos x="635" y="635"/>
              <wp:positionH relativeFrom="page">
                <wp:align>left</wp:align>
              </wp:positionH>
              <wp:positionV relativeFrom="page">
                <wp:align>bottom</wp:align>
              </wp:positionV>
              <wp:extent cx="443865" cy="443865"/>
              <wp:effectExtent l="0" t="0" r="12700" b="0"/>
              <wp:wrapNone/>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8DEB95" w14:textId="2B93755E"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075D918" id="_x0000_t202" coordsize="21600,21600" o:spt="202" path="m,l,21600r21600,l21600,xe">
              <v:stroke joinstyle="miter"/>
              <v:path gradientshapeok="t" o:connecttype="rect"/>
            </v:shapetype>
            <v:shape id="Text Box 2" o:spid="_x0000_s1026" type="#_x0000_t202" alt="Classification: Controlle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C8DEB95" w14:textId="2B93755E"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28281" w14:textId="37B20C93" w:rsidR="00B532BF" w:rsidRDefault="00B532BF">
    <w:pPr>
      <w:pStyle w:val="Footer"/>
    </w:pPr>
    <w:r>
      <w:rPr>
        <w:noProof/>
      </w:rPr>
      <mc:AlternateContent>
        <mc:Choice Requires="wps">
          <w:drawing>
            <wp:anchor distT="0" distB="0" distL="0" distR="0" simplePos="0" relativeHeight="251660288" behindDoc="0" locked="0" layoutInCell="1" allowOverlap="1" wp14:anchorId="44992BEF" wp14:editId="7210D003">
              <wp:simplePos x="635" y="635"/>
              <wp:positionH relativeFrom="page">
                <wp:align>left</wp:align>
              </wp:positionH>
              <wp:positionV relativeFrom="page">
                <wp:align>bottom</wp:align>
              </wp:positionV>
              <wp:extent cx="443865" cy="443865"/>
              <wp:effectExtent l="0" t="0" r="12700" b="0"/>
              <wp:wrapNone/>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417EF9" w14:textId="64B0EA13"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4992BEF" id="_x0000_t202" coordsize="21600,21600" o:spt="202" path="m,l,21600r21600,l21600,xe">
              <v:stroke joinstyle="miter"/>
              <v:path gradientshapeok="t" o:connecttype="rect"/>
            </v:shapetype>
            <v:shape id="Text Box 3" o:spid="_x0000_s1027" type="#_x0000_t202" alt="Classification: Controlled"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4D417EF9" w14:textId="64B0EA13"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043D" w14:textId="2E3B0353" w:rsidR="00B532BF" w:rsidRDefault="00B532BF">
    <w:pPr>
      <w:pStyle w:val="Footer"/>
    </w:pPr>
    <w:r>
      <w:rPr>
        <w:noProof/>
      </w:rPr>
      <mc:AlternateContent>
        <mc:Choice Requires="wps">
          <w:drawing>
            <wp:anchor distT="0" distB="0" distL="0" distR="0" simplePos="0" relativeHeight="251658240" behindDoc="0" locked="0" layoutInCell="1" allowOverlap="1" wp14:anchorId="28FB4EDC" wp14:editId="634808CB">
              <wp:simplePos x="635" y="635"/>
              <wp:positionH relativeFrom="page">
                <wp:align>left</wp:align>
              </wp:positionH>
              <wp:positionV relativeFrom="page">
                <wp:align>bottom</wp:align>
              </wp:positionV>
              <wp:extent cx="443865" cy="443865"/>
              <wp:effectExtent l="0" t="0" r="12700" b="0"/>
              <wp:wrapNone/>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12BF7E" w14:textId="644918C4"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FB4EDC" id="_x0000_t202" coordsize="21600,21600" o:spt="202" path="m,l,21600r21600,l21600,xe">
              <v:stroke joinstyle="miter"/>
              <v:path gradientshapeok="t" o:connecttype="rect"/>
            </v:shapetype>
            <v:shape id="Text Box 1" o:spid="_x0000_s1028" type="#_x0000_t202" alt="Classification: Controlle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212BF7E" w14:textId="644918C4"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8A833" w14:textId="77777777" w:rsidR="00BF59D1" w:rsidRDefault="00BF59D1" w:rsidP="00B532BF">
      <w:pPr>
        <w:spacing w:after="0" w:line="240" w:lineRule="auto"/>
      </w:pPr>
      <w:r>
        <w:separator/>
      </w:r>
    </w:p>
  </w:footnote>
  <w:footnote w:type="continuationSeparator" w:id="0">
    <w:p w14:paraId="1E677171" w14:textId="77777777" w:rsidR="00BF59D1" w:rsidRDefault="00BF59D1" w:rsidP="00B53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7"/>
  </w:num>
  <w:num w:numId="5">
    <w:abstractNumId w:val="11"/>
  </w:num>
  <w:num w:numId="6">
    <w:abstractNumId w:val="10"/>
  </w:num>
  <w:num w:numId="7">
    <w:abstractNumId w:val="12"/>
  </w:num>
  <w:num w:numId="8">
    <w:abstractNumId w:val="13"/>
  </w:num>
  <w:num w:numId="9">
    <w:abstractNumId w:val="2"/>
  </w:num>
  <w:num w:numId="10">
    <w:abstractNumId w:val="9"/>
  </w:num>
  <w:num w:numId="11">
    <w:abstractNumId w:val="6"/>
  </w:num>
  <w:num w:numId="12">
    <w:abstractNumId w:val="1"/>
  </w:num>
  <w:num w:numId="13">
    <w:abstractNumId w:val="5"/>
  </w:num>
  <w:num w:numId="14">
    <w:abstractNumId w:val="3"/>
  </w:num>
  <w:num w:numId="1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D6F"/>
    <w:rsid w:val="00023DEA"/>
    <w:rsid w:val="000420F2"/>
    <w:rsid w:val="00076EB2"/>
    <w:rsid w:val="0007705A"/>
    <w:rsid w:val="00086E67"/>
    <w:rsid w:val="000908B7"/>
    <w:rsid w:val="000B2349"/>
    <w:rsid w:val="000C2830"/>
    <w:rsid w:val="000E07DA"/>
    <w:rsid w:val="000E7C1F"/>
    <w:rsid w:val="000F04B5"/>
    <w:rsid w:val="000F773D"/>
    <w:rsid w:val="00121BEE"/>
    <w:rsid w:val="00156CC7"/>
    <w:rsid w:val="00164BAB"/>
    <w:rsid w:val="0019351D"/>
    <w:rsid w:val="001969F5"/>
    <w:rsid w:val="001B53D7"/>
    <w:rsid w:val="001D5328"/>
    <w:rsid w:val="001E037A"/>
    <w:rsid w:val="001F5FFB"/>
    <w:rsid w:val="001F6702"/>
    <w:rsid w:val="00220080"/>
    <w:rsid w:val="00221649"/>
    <w:rsid w:val="002275D9"/>
    <w:rsid w:val="0023524A"/>
    <w:rsid w:val="002568E1"/>
    <w:rsid w:val="002B55BA"/>
    <w:rsid w:val="002C063E"/>
    <w:rsid w:val="002D61C2"/>
    <w:rsid w:val="002F15A5"/>
    <w:rsid w:val="003131E9"/>
    <w:rsid w:val="003159E2"/>
    <w:rsid w:val="00317D32"/>
    <w:rsid w:val="00387787"/>
    <w:rsid w:val="003D1C79"/>
    <w:rsid w:val="003D4C83"/>
    <w:rsid w:val="003E3C57"/>
    <w:rsid w:val="00410BD6"/>
    <w:rsid w:val="00446BDB"/>
    <w:rsid w:val="004525F5"/>
    <w:rsid w:val="0048048B"/>
    <w:rsid w:val="0049111C"/>
    <w:rsid w:val="00492677"/>
    <w:rsid w:val="004A3E83"/>
    <w:rsid w:val="004B6904"/>
    <w:rsid w:val="004C2D73"/>
    <w:rsid w:val="004E44EC"/>
    <w:rsid w:val="00530DC3"/>
    <w:rsid w:val="0054687C"/>
    <w:rsid w:val="00546F9D"/>
    <w:rsid w:val="0055674C"/>
    <w:rsid w:val="005816A5"/>
    <w:rsid w:val="005864BE"/>
    <w:rsid w:val="005906BC"/>
    <w:rsid w:val="00594D15"/>
    <w:rsid w:val="00597EC8"/>
    <w:rsid w:val="005C03A3"/>
    <w:rsid w:val="005D1610"/>
    <w:rsid w:val="00602F2D"/>
    <w:rsid w:val="00605FE2"/>
    <w:rsid w:val="00616A26"/>
    <w:rsid w:val="00632F2A"/>
    <w:rsid w:val="0063391B"/>
    <w:rsid w:val="006716A0"/>
    <w:rsid w:val="00684A79"/>
    <w:rsid w:val="00694BF5"/>
    <w:rsid w:val="006A18BB"/>
    <w:rsid w:val="006A5F3B"/>
    <w:rsid w:val="006E20FF"/>
    <w:rsid w:val="006E76DB"/>
    <w:rsid w:val="006F4C8B"/>
    <w:rsid w:val="006F6427"/>
    <w:rsid w:val="00717542"/>
    <w:rsid w:val="00717964"/>
    <w:rsid w:val="00726B2F"/>
    <w:rsid w:val="00747587"/>
    <w:rsid w:val="00754C25"/>
    <w:rsid w:val="007653FE"/>
    <w:rsid w:val="007660EA"/>
    <w:rsid w:val="00772336"/>
    <w:rsid w:val="007746A0"/>
    <w:rsid w:val="007809B0"/>
    <w:rsid w:val="007816B3"/>
    <w:rsid w:val="007B085E"/>
    <w:rsid w:val="007D1FCD"/>
    <w:rsid w:val="007D57EB"/>
    <w:rsid w:val="007D6AA0"/>
    <w:rsid w:val="00801B5F"/>
    <w:rsid w:val="0084799F"/>
    <w:rsid w:val="00860722"/>
    <w:rsid w:val="00885B9B"/>
    <w:rsid w:val="00891FB6"/>
    <w:rsid w:val="008A46B9"/>
    <w:rsid w:val="008A640D"/>
    <w:rsid w:val="008B3A56"/>
    <w:rsid w:val="008D5DC5"/>
    <w:rsid w:val="00925EE5"/>
    <w:rsid w:val="009C46B5"/>
    <w:rsid w:val="009D7865"/>
    <w:rsid w:val="009E2388"/>
    <w:rsid w:val="009F32A9"/>
    <w:rsid w:val="00A32569"/>
    <w:rsid w:val="00A3671F"/>
    <w:rsid w:val="00A57D6C"/>
    <w:rsid w:val="00A61E7B"/>
    <w:rsid w:val="00A71776"/>
    <w:rsid w:val="00AA6F4A"/>
    <w:rsid w:val="00AD60DB"/>
    <w:rsid w:val="00AF4DF8"/>
    <w:rsid w:val="00B532BF"/>
    <w:rsid w:val="00B7788B"/>
    <w:rsid w:val="00BA215D"/>
    <w:rsid w:val="00BB12D9"/>
    <w:rsid w:val="00BD368E"/>
    <w:rsid w:val="00BE53AC"/>
    <w:rsid w:val="00BF59D1"/>
    <w:rsid w:val="00C568F8"/>
    <w:rsid w:val="00C57CCA"/>
    <w:rsid w:val="00C57E3D"/>
    <w:rsid w:val="00C9611C"/>
    <w:rsid w:val="00CD0050"/>
    <w:rsid w:val="00CD27E0"/>
    <w:rsid w:val="00CE30AB"/>
    <w:rsid w:val="00CF0166"/>
    <w:rsid w:val="00CF49FA"/>
    <w:rsid w:val="00D041BF"/>
    <w:rsid w:val="00D13056"/>
    <w:rsid w:val="00D224D8"/>
    <w:rsid w:val="00D242E7"/>
    <w:rsid w:val="00D92B65"/>
    <w:rsid w:val="00DA2918"/>
    <w:rsid w:val="00DB098D"/>
    <w:rsid w:val="00DC3686"/>
    <w:rsid w:val="00DC536E"/>
    <w:rsid w:val="00DF712F"/>
    <w:rsid w:val="00E67984"/>
    <w:rsid w:val="00E719B5"/>
    <w:rsid w:val="00E93F73"/>
    <w:rsid w:val="00EB364F"/>
    <w:rsid w:val="00ED1643"/>
    <w:rsid w:val="00EF78D9"/>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semiHidden/>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53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1249</TotalTime>
  <Pages>5</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CV-UNS-DEC-ENG-01133v1     Now: CV-UNS-DEC-ENG-01133.docx</dc:title>
  <dc:subject/>
  <dc:creator>Hasnat, Abul</dc:creator>
  <cp:keywords/>
  <dc:description/>
  <cp:lastModifiedBy>Mark Drummond</cp:lastModifiedBy>
  <cp:revision>132</cp:revision>
  <dcterms:created xsi:type="dcterms:W3CDTF">2022-11-24T12:37:00Z</dcterms:created>
  <dcterms:modified xsi:type="dcterms:W3CDTF">2022-11-28T15:08:00Z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y fmtid="{D5CDD505-2E9C-101B-9397-08002B2CF9AE}" pid="3" name="ClassificationContentMarkingFooterShapeIds">
    <vt:lpwstr>1,2,3</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