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Look w:val="04A0" w:firstRow="1" w:lastRow="0" w:firstColumn="1" w:lastColumn="0" w:noHBand="0" w:noVBand="1"/>
      </w:tblPr>
      <w:tblGrid>
        <w:gridCol w:w="3213"/>
        <w:gridCol w:w="3294"/>
        <w:gridCol w:w="2524"/>
      </w:tblGrid>
      <w:tr w:rsidR="00CC722B" w:rsidRPr="00CC12E4" w14:paraId="5299D399" w14:textId="77777777" w:rsidTr="00E35E65">
        <w:tc>
          <w:tcPr>
            <w:tcW w:w="3213" w:type="dxa"/>
            <w:tcBorders>
              <w:top w:val="nil"/>
              <w:left w:val="nil"/>
              <w:bottom w:val="nil"/>
              <w:right w:val="nil"/>
            </w:tcBorders>
          </w:tcPr>
          <w:p w14:paraId="66DB7A05" w14:textId="50D12D04" w:rsidR="00CC722B" w:rsidRPr="00CC12E4" w:rsidRDefault="00CC722B" w:rsidP="0005720F">
            <w:pPr>
              <w:rPr>
                <w:rFonts w:ascii="GDS Transport Website Light" w:hAnsi="GDS Transport Website Light"/>
                <w:b/>
                <w:bCs/>
              </w:rPr>
            </w:pPr>
            <w:r w:rsidRPr="00CC12E4">
              <w:rPr>
                <w:rFonts w:ascii="GDS Transport Website Light" w:hAnsi="GDS Transport Website Light"/>
                <w:b/>
                <w:bCs/>
                <w:sz w:val="28"/>
                <w:szCs w:val="28"/>
              </w:rPr>
              <w:t>ORDER</w:t>
            </w:r>
          </w:p>
        </w:tc>
        <w:tc>
          <w:tcPr>
            <w:tcW w:w="3294" w:type="dxa"/>
            <w:tcBorders>
              <w:top w:val="nil"/>
              <w:left w:val="nil"/>
              <w:bottom w:val="nil"/>
              <w:right w:val="nil"/>
            </w:tcBorders>
          </w:tcPr>
          <w:p w14:paraId="0CE4F6C0" w14:textId="77777777" w:rsidR="00CC722B" w:rsidRPr="00CC12E4" w:rsidRDefault="00CC722B" w:rsidP="0005720F">
            <w:pPr>
              <w:jc w:val="center"/>
              <w:rPr>
                <w:rFonts w:ascii="GDS Transport Website Light" w:hAnsi="GDS Transport Website Light"/>
                <w:b/>
                <w:bCs/>
              </w:rPr>
            </w:pPr>
            <w:r w:rsidRPr="00CC12E4">
              <w:rPr>
                <w:rFonts w:ascii="GDS Transport Website Light" w:hAnsi="GDS Transport Website Light"/>
                <w:b/>
                <w:bCs/>
                <w:sz w:val="28"/>
                <w:szCs w:val="28"/>
              </w:rPr>
              <w:t>In the County Court at</w:t>
            </w:r>
          </w:p>
        </w:tc>
        <w:tc>
          <w:tcPr>
            <w:tcW w:w="2524" w:type="dxa"/>
            <w:tcBorders>
              <w:top w:val="nil"/>
              <w:left w:val="nil"/>
              <w:bottom w:val="nil"/>
              <w:right w:val="nil"/>
            </w:tcBorders>
          </w:tcPr>
          <w:p w14:paraId="46DACA90" w14:textId="77777777" w:rsidR="00CC722B" w:rsidRPr="00CC12E4" w:rsidRDefault="00CC722B" w:rsidP="0005720F">
            <w:pPr>
              <w:jc w:val="right"/>
              <w:rPr>
                <w:rFonts w:ascii="GDS Transport Website Light" w:hAnsi="GDS Transport Website Light"/>
              </w:rPr>
            </w:pPr>
            <w:r w:rsidRPr="00CC12E4">
              <w:rPr>
                <w:rFonts w:ascii="GDS Transport Website Light" w:hAnsi="GDS Transport Website Light"/>
              </w:rPr>
              <w:t xml:space="preserve">Case number: </w:t>
            </w:r>
          </w:p>
        </w:tc>
      </w:tr>
      <w:tr w:rsidR="00CC722B" w:rsidRPr="00CC12E4" w14:paraId="63F08261" w14:textId="77777777" w:rsidTr="00E35E65">
        <w:tc>
          <w:tcPr>
            <w:tcW w:w="3213" w:type="dxa"/>
            <w:tcBorders>
              <w:top w:val="nil"/>
              <w:left w:val="nil"/>
              <w:bottom w:val="nil"/>
              <w:right w:val="nil"/>
            </w:tcBorders>
          </w:tcPr>
          <w:p w14:paraId="725773E3" w14:textId="6A2316E5" w:rsidR="00CC722B" w:rsidRPr="00CC12E4" w:rsidRDefault="00E35E65" w:rsidP="0005720F">
            <w:pPr>
              <w:rPr>
                <w:rFonts w:ascii="GDS Transport Website Light" w:hAnsi="GDS Transport Website Light"/>
              </w:rPr>
            </w:pPr>
            <w:r w:rsidRPr="00CF7822">
              <w:rPr>
                <w:rFonts w:ascii="GDS Transport Website Light" w:hAnsi="GDS Transport Website Light"/>
              </w:rPr>
              <w:t>&lt;&lt;{dateFormat($nowUTC ,‘d MMMM yyyy’)} &gt;&gt;</w:t>
            </w:r>
          </w:p>
        </w:tc>
        <w:tc>
          <w:tcPr>
            <w:tcW w:w="3294" w:type="dxa"/>
            <w:tcBorders>
              <w:top w:val="nil"/>
              <w:left w:val="nil"/>
              <w:bottom w:val="nil"/>
              <w:right w:val="nil"/>
            </w:tcBorders>
          </w:tcPr>
          <w:p w14:paraId="2005CD78" w14:textId="56E5D1BC" w:rsidR="00CC722B" w:rsidRPr="00CC12E4" w:rsidRDefault="00E35E65" w:rsidP="0005720F">
            <w:pPr>
              <w:jc w:val="center"/>
              <w:rPr>
                <w:rFonts w:ascii="GDS Transport Website Light" w:hAnsi="GDS Transport Website Light"/>
              </w:rPr>
            </w:pPr>
            <w:r>
              <w:rPr>
                <w:rFonts w:ascii="GDS Transport Website Light" w:hAnsi="GDS Transport Website Light"/>
                <w:b/>
                <w:bCs/>
                <w:sz w:val="28"/>
                <w:szCs w:val="28"/>
              </w:rPr>
              <w:t>&lt;&lt;c</w:t>
            </w:r>
            <w:r w:rsidR="00CC722B" w:rsidRPr="00CC12E4">
              <w:rPr>
                <w:rFonts w:ascii="GDS Transport Website Light" w:hAnsi="GDS Transport Website Light"/>
                <w:b/>
                <w:bCs/>
                <w:sz w:val="28"/>
                <w:szCs w:val="28"/>
              </w:rPr>
              <w:t>ourtName</w:t>
            </w:r>
            <w:r>
              <w:rPr>
                <w:rFonts w:ascii="GDS Transport Website Light" w:hAnsi="GDS Transport Website Light"/>
                <w:b/>
                <w:bCs/>
                <w:sz w:val="28"/>
                <w:szCs w:val="28"/>
              </w:rPr>
              <w:t>&gt;&gt;</w:t>
            </w:r>
          </w:p>
        </w:tc>
        <w:tc>
          <w:tcPr>
            <w:tcW w:w="2524" w:type="dxa"/>
            <w:tcBorders>
              <w:top w:val="nil"/>
              <w:left w:val="nil"/>
              <w:bottom w:val="nil"/>
              <w:right w:val="nil"/>
            </w:tcBorders>
          </w:tcPr>
          <w:p w14:paraId="19A82DC4" w14:textId="54BF7591" w:rsidR="00CC722B" w:rsidRPr="00CC12E4" w:rsidRDefault="00E35E65" w:rsidP="0005720F">
            <w:pPr>
              <w:jc w:val="right"/>
              <w:rPr>
                <w:rFonts w:ascii="GDS Transport Website Light" w:hAnsi="GDS Transport Website Light"/>
              </w:rPr>
            </w:pPr>
            <w:r>
              <w:rPr>
                <w:rFonts w:ascii="GDS Transport Website Light" w:hAnsi="GDS Transport Website Light"/>
              </w:rPr>
              <w:t>&lt;&lt;</w:t>
            </w:r>
            <w:r w:rsidR="00CC722B" w:rsidRPr="00CC12E4">
              <w:rPr>
                <w:rFonts w:ascii="GDS Transport Website Light" w:hAnsi="GDS Transport Website Light"/>
              </w:rPr>
              <w:t>case</w:t>
            </w:r>
            <w:r w:rsidR="00A24B0B">
              <w:rPr>
                <w:rFonts w:ascii="GDS Transport Website Light" w:hAnsi="GDS Transport Website Light"/>
              </w:rPr>
              <w:t>N</w:t>
            </w:r>
            <w:r w:rsidR="00CC722B" w:rsidRPr="00CC12E4">
              <w:rPr>
                <w:rFonts w:ascii="GDS Transport Website Light" w:hAnsi="GDS Transport Website Light"/>
              </w:rPr>
              <w:t>umber</w:t>
            </w:r>
            <w:r>
              <w:rPr>
                <w:rFonts w:ascii="GDS Transport Website Light" w:hAnsi="GDS Transport Website Light"/>
              </w:rPr>
              <w:t>&gt;&gt;</w:t>
            </w:r>
          </w:p>
        </w:tc>
      </w:tr>
      <w:tr w:rsidR="00CC722B" w:rsidRPr="00CC12E4" w14:paraId="680E228E" w14:textId="77777777" w:rsidTr="00E35E65">
        <w:tc>
          <w:tcPr>
            <w:tcW w:w="3213" w:type="dxa"/>
            <w:tcBorders>
              <w:top w:val="nil"/>
              <w:left w:val="nil"/>
              <w:bottom w:val="nil"/>
              <w:right w:val="nil"/>
            </w:tcBorders>
          </w:tcPr>
          <w:p w14:paraId="1CC6BCB3" w14:textId="77777777" w:rsidR="00CC722B" w:rsidRPr="00CC12E4" w:rsidRDefault="00CC722B" w:rsidP="0005720F">
            <w:pPr>
              <w:rPr>
                <w:rFonts w:ascii="GDS Transport Website Light" w:hAnsi="GDS Transport Website Light"/>
              </w:rPr>
            </w:pPr>
          </w:p>
        </w:tc>
        <w:tc>
          <w:tcPr>
            <w:tcW w:w="3294" w:type="dxa"/>
            <w:tcBorders>
              <w:top w:val="nil"/>
              <w:left w:val="nil"/>
              <w:bottom w:val="nil"/>
              <w:right w:val="nil"/>
            </w:tcBorders>
          </w:tcPr>
          <w:p w14:paraId="0F41E35E" w14:textId="77777777" w:rsidR="00CC722B" w:rsidRPr="00CC12E4" w:rsidRDefault="00CC722B" w:rsidP="0005720F">
            <w:pPr>
              <w:rPr>
                <w:rFonts w:ascii="GDS Transport Website Light" w:hAnsi="GDS Transport Website Light"/>
              </w:rPr>
            </w:pPr>
          </w:p>
        </w:tc>
        <w:tc>
          <w:tcPr>
            <w:tcW w:w="2524" w:type="dxa"/>
            <w:tcBorders>
              <w:top w:val="nil"/>
              <w:left w:val="nil"/>
              <w:bottom w:val="nil"/>
              <w:right w:val="nil"/>
            </w:tcBorders>
          </w:tcPr>
          <w:p w14:paraId="6DBC336F" w14:textId="77777777" w:rsidR="00CC722B" w:rsidRPr="00CC12E4" w:rsidRDefault="00CC722B" w:rsidP="0005720F">
            <w:pPr>
              <w:rPr>
                <w:rFonts w:ascii="GDS Transport Website Light" w:hAnsi="GDS Transport Website Light"/>
              </w:rPr>
            </w:pPr>
          </w:p>
        </w:tc>
      </w:tr>
      <w:tr w:rsidR="00CC722B" w:rsidRPr="00CC12E4" w14:paraId="7A8B5518" w14:textId="77777777" w:rsidTr="00E35E65">
        <w:tc>
          <w:tcPr>
            <w:tcW w:w="3213" w:type="dxa"/>
            <w:tcBorders>
              <w:top w:val="nil"/>
              <w:left w:val="nil"/>
              <w:bottom w:val="nil"/>
              <w:right w:val="nil"/>
            </w:tcBorders>
          </w:tcPr>
          <w:p w14:paraId="01509DBF" w14:textId="77777777" w:rsidR="00CC722B" w:rsidRPr="00CC12E4" w:rsidRDefault="00CC722B" w:rsidP="0005720F">
            <w:pPr>
              <w:rPr>
                <w:rFonts w:ascii="GDS Transport Website Light" w:hAnsi="GDS Transport Website Light"/>
              </w:rPr>
            </w:pPr>
          </w:p>
        </w:tc>
        <w:tc>
          <w:tcPr>
            <w:tcW w:w="3294" w:type="dxa"/>
            <w:tcBorders>
              <w:top w:val="nil"/>
              <w:left w:val="nil"/>
              <w:bottom w:val="nil"/>
              <w:right w:val="nil"/>
            </w:tcBorders>
          </w:tcPr>
          <w:p w14:paraId="0CC05B0B" w14:textId="55415EEC" w:rsidR="00CC722B" w:rsidRPr="00CC12E4" w:rsidRDefault="00E35E65" w:rsidP="0005720F">
            <w:pPr>
              <w:jc w:val="center"/>
              <w:rPr>
                <w:rFonts w:ascii="GDS Transport Website Light" w:hAnsi="GDS Transport Website Light"/>
              </w:rPr>
            </w:pPr>
            <w:r>
              <w:rPr>
                <w:rFonts w:ascii="GDS Transport Website Light" w:hAnsi="GDS Transport Website Light"/>
              </w:rPr>
              <w:t>&lt;&lt;</w:t>
            </w:r>
            <w:r w:rsidRPr="00603BD7">
              <w:rPr>
                <w:rFonts w:ascii="GDS Transport Website Light" w:hAnsi="GDS Transport Website Light"/>
              </w:rPr>
              <w:t>judgeNameTitle</w:t>
            </w:r>
            <w:r>
              <w:rPr>
                <w:rFonts w:ascii="GDS Transport Website Light" w:hAnsi="GDS Transport Website Light"/>
              </w:rPr>
              <w:t>&gt;&gt;</w:t>
            </w:r>
          </w:p>
        </w:tc>
        <w:tc>
          <w:tcPr>
            <w:tcW w:w="2524" w:type="dxa"/>
            <w:tcBorders>
              <w:top w:val="nil"/>
              <w:left w:val="nil"/>
              <w:bottom w:val="nil"/>
              <w:right w:val="nil"/>
            </w:tcBorders>
          </w:tcPr>
          <w:p w14:paraId="4A716061" w14:textId="77777777" w:rsidR="00CC722B" w:rsidRPr="00CC12E4" w:rsidRDefault="00CC722B" w:rsidP="0005720F">
            <w:pPr>
              <w:jc w:val="right"/>
              <w:rPr>
                <w:rFonts w:ascii="GDS Transport Website Light" w:hAnsi="GDS Transport Website Light"/>
              </w:rPr>
            </w:pPr>
            <w:r w:rsidRPr="00CC12E4">
              <w:rPr>
                <w:rFonts w:ascii="GDS Transport Website Light" w:hAnsi="GDS Transport Website Light"/>
                <w:noProof/>
              </w:rPr>
              <w:drawing>
                <wp:inline distT="0" distB="0" distL="0" distR="0" wp14:anchorId="086853CD" wp14:editId="18E63F07">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CC722B" w:rsidRPr="00CC12E4" w14:paraId="6A8A0442" w14:textId="77777777" w:rsidTr="00E35E65">
        <w:tc>
          <w:tcPr>
            <w:tcW w:w="3213" w:type="dxa"/>
            <w:tcBorders>
              <w:top w:val="nil"/>
              <w:left w:val="nil"/>
              <w:bottom w:val="single" w:sz="4" w:space="0" w:color="auto"/>
              <w:right w:val="nil"/>
            </w:tcBorders>
          </w:tcPr>
          <w:p w14:paraId="4E4C78DF" w14:textId="77777777" w:rsidR="00CC722B" w:rsidRPr="00CC12E4" w:rsidRDefault="00CC722B" w:rsidP="0005720F">
            <w:pPr>
              <w:rPr>
                <w:rFonts w:ascii="GDS Transport Website Light" w:hAnsi="GDS Transport Website Light"/>
              </w:rPr>
            </w:pPr>
          </w:p>
        </w:tc>
        <w:tc>
          <w:tcPr>
            <w:tcW w:w="3294" w:type="dxa"/>
            <w:tcBorders>
              <w:top w:val="nil"/>
              <w:left w:val="nil"/>
              <w:bottom w:val="single" w:sz="4" w:space="0" w:color="auto"/>
              <w:right w:val="nil"/>
            </w:tcBorders>
          </w:tcPr>
          <w:p w14:paraId="66C5E64A" w14:textId="77777777" w:rsidR="00CC722B" w:rsidRPr="00CC12E4" w:rsidRDefault="00CC722B" w:rsidP="0005720F">
            <w:pPr>
              <w:rPr>
                <w:rFonts w:ascii="GDS Transport Website Light" w:hAnsi="GDS Transport Website Light"/>
              </w:rPr>
            </w:pPr>
          </w:p>
        </w:tc>
        <w:tc>
          <w:tcPr>
            <w:tcW w:w="2524" w:type="dxa"/>
            <w:tcBorders>
              <w:top w:val="nil"/>
              <w:left w:val="nil"/>
              <w:bottom w:val="single" w:sz="4" w:space="0" w:color="auto"/>
              <w:right w:val="nil"/>
            </w:tcBorders>
          </w:tcPr>
          <w:p w14:paraId="51209892" w14:textId="77777777" w:rsidR="00CC722B" w:rsidRPr="00CC12E4" w:rsidRDefault="00CC722B" w:rsidP="0005720F">
            <w:pPr>
              <w:jc w:val="right"/>
              <w:rPr>
                <w:rFonts w:ascii="GDS Transport Website Light" w:hAnsi="GDS Transport Website Light"/>
                <w:noProof/>
              </w:rPr>
            </w:pPr>
          </w:p>
        </w:tc>
      </w:tr>
      <w:tr w:rsidR="00E35E65" w:rsidRPr="00CC12E4" w14:paraId="020F4D00" w14:textId="77777777" w:rsidTr="00E35E65">
        <w:tc>
          <w:tcPr>
            <w:tcW w:w="3213" w:type="dxa"/>
            <w:tcBorders>
              <w:top w:val="single" w:sz="4" w:space="0" w:color="auto"/>
              <w:left w:val="nil"/>
              <w:bottom w:val="nil"/>
              <w:right w:val="nil"/>
            </w:tcBorders>
          </w:tcPr>
          <w:p w14:paraId="4BD25568" w14:textId="14348718" w:rsidR="00E35E65" w:rsidRPr="00CC12E4" w:rsidRDefault="00E35E65" w:rsidP="00E35E65">
            <w:pPr>
              <w:rPr>
                <w:rFonts w:ascii="GDS Transport Website Light" w:hAnsi="GDS Transport Website Light"/>
              </w:rPr>
            </w:pPr>
            <w:r w:rsidRPr="003A243A">
              <w:rPr>
                <w:rFonts w:ascii="GDS Transport Website Light" w:hAnsi="GDS Transport Website Light"/>
              </w:rPr>
              <w:t>Parties</w:t>
            </w:r>
          </w:p>
        </w:tc>
        <w:tc>
          <w:tcPr>
            <w:tcW w:w="3294" w:type="dxa"/>
            <w:tcBorders>
              <w:top w:val="single" w:sz="4" w:space="0" w:color="auto"/>
              <w:left w:val="nil"/>
              <w:bottom w:val="nil"/>
              <w:right w:val="nil"/>
            </w:tcBorders>
          </w:tcPr>
          <w:p w14:paraId="5F23532B" w14:textId="3B7B5074"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2524" w:type="dxa"/>
            <w:tcBorders>
              <w:top w:val="single" w:sz="4" w:space="0" w:color="auto"/>
              <w:left w:val="nil"/>
              <w:bottom w:val="nil"/>
              <w:right w:val="nil"/>
            </w:tcBorders>
          </w:tcPr>
          <w:p w14:paraId="693A7109" w14:textId="603EE8F0" w:rsidR="00E35E65" w:rsidRPr="00CC12E4" w:rsidRDefault="00E35E65" w:rsidP="00E35E65">
            <w:pPr>
              <w:jc w:val="right"/>
              <w:rPr>
                <w:rFonts w:ascii="GDS Transport Website Light" w:hAnsi="GDS Transport Website Light"/>
                <w:noProof/>
              </w:rPr>
            </w:pPr>
            <w:r>
              <w:rPr>
                <w:rFonts w:ascii="GDS Transport Website Light" w:hAnsi="GDS Transport Website Light"/>
                <w:noProof/>
              </w:rPr>
              <w:t>&lt;&lt;c</w:t>
            </w:r>
            <w:r w:rsidRPr="003A243A">
              <w:rPr>
                <w:rFonts w:ascii="GDS Transport Website Light" w:hAnsi="GDS Transport Website Light"/>
                <w:noProof/>
              </w:rPr>
              <w:t>laimant</w:t>
            </w:r>
            <w:r>
              <w:rPr>
                <w:rFonts w:ascii="GDS Transport Website Light" w:hAnsi="GDS Transport Website Light"/>
                <w:noProof/>
              </w:rPr>
              <w:t>Num&gt;&gt;</w:t>
            </w:r>
          </w:p>
        </w:tc>
      </w:tr>
      <w:tr w:rsidR="00E35E65" w:rsidRPr="00CC12E4" w14:paraId="1A961553" w14:textId="77777777" w:rsidTr="00E35E65">
        <w:tc>
          <w:tcPr>
            <w:tcW w:w="3213" w:type="dxa"/>
            <w:tcBorders>
              <w:top w:val="nil"/>
              <w:left w:val="nil"/>
              <w:bottom w:val="nil"/>
              <w:right w:val="nil"/>
            </w:tcBorders>
          </w:tcPr>
          <w:p w14:paraId="2009AD9A" w14:textId="687B3BCB" w:rsidR="00E35E65" w:rsidRPr="00CC12E4" w:rsidRDefault="00E35E65" w:rsidP="00E35E65">
            <w:pPr>
              <w:rPr>
                <w:rFonts w:ascii="GDS Transport Website Light" w:hAnsi="GDS Transport Website Light"/>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c>
          <w:tcPr>
            <w:tcW w:w="3294" w:type="dxa"/>
            <w:tcBorders>
              <w:top w:val="nil"/>
              <w:left w:val="nil"/>
              <w:bottom w:val="nil"/>
              <w:right w:val="nil"/>
            </w:tcBorders>
          </w:tcPr>
          <w:p w14:paraId="2E55B40E" w14:textId="5AB1B735" w:rsidR="00E35E65" w:rsidRPr="00CC12E4" w:rsidRDefault="00E35E65" w:rsidP="00E35E65">
            <w:pPr>
              <w:jc w:val="center"/>
              <w:rPr>
                <w:rFonts w:ascii="GDS Transport Website Light" w:hAnsi="GDS Transport Website Light"/>
              </w:rPr>
            </w:pPr>
          </w:p>
        </w:tc>
        <w:tc>
          <w:tcPr>
            <w:tcW w:w="2524" w:type="dxa"/>
            <w:tcBorders>
              <w:top w:val="nil"/>
              <w:left w:val="nil"/>
              <w:bottom w:val="nil"/>
              <w:right w:val="nil"/>
            </w:tcBorders>
          </w:tcPr>
          <w:p w14:paraId="28E95607" w14:textId="6ECE4BA3" w:rsidR="00E35E65" w:rsidRPr="00CC12E4" w:rsidRDefault="00E35E65" w:rsidP="00E35E65">
            <w:pPr>
              <w:jc w:val="right"/>
              <w:rPr>
                <w:rFonts w:ascii="GDS Transport Website Light" w:hAnsi="GDS Transport Website Light"/>
                <w:noProof/>
              </w:rPr>
            </w:pPr>
          </w:p>
        </w:tc>
      </w:tr>
      <w:tr w:rsidR="00E35E65" w:rsidRPr="00CC12E4" w14:paraId="5E70E9E5" w14:textId="77777777" w:rsidTr="00E35E65">
        <w:tc>
          <w:tcPr>
            <w:tcW w:w="3213" w:type="dxa"/>
            <w:tcBorders>
              <w:top w:val="nil"/>
              <w:left w:val="nil"/>
              <w:bottom w:val="nil"/>
              <w:right w:val="nil"/>
            </w:tcBorders>
          </w:tcPr>
          <w:p w14:paraId="7B6917E1" w14:textId="77777777" w:rsidR="00E35E65" w:rsidRPr="00CC12E4" w:rsidRDefault="00E35E65" w:rsidP="00E35E65">
            <w:pPr>
              <w:rPr>
                <w:rFonts w:ascii="GDS Transport Website Light" w:hAnsi="GDS Transport Website Light"/>
              </w:rPr>
            </w:pPr>
          </w:p>
        </w:tc>
        <w:tc>
          <w:tcPr>
            <w:tcW w:w="3294" w:type="dxa"/>
            <w:tcBorders>
              <w:top w:val="nil"/>
              <w:left w:val="nil"/>
              <w:bottom w:val="nil"/>
              <w:right w:val="nil"/>
            </w:tcBorders>
          </w:tcPr>
          <w:p w14:paraId="09C601DC" w14:textId="7B388ED1"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2524" w:type="dxa"/>
            <w:tcBorders>
              <w:top w:val="nil"/>
              <w:left w:val="nil"/>
              <w:bottom w:val="nil"/>
              <w:right w:val="nil"/>
            </w:tcBorders>
          </w:tcPr>
          <w:p w14:paraId="0C4216CA" w14:textId="43CBE9A0" w:rsidR="00E35E65" w:rsidRPr="00CC12E4" w:rsidRDefault="00E35E65" w:rsidP="00E35E65">
            <w:pPr>
              <w:jc w:val="right"/>
              <w:rPr>
                <w:rFonts w:ascii="GDS Transport Website Light" w:hAnsi="GDS Transport Website Light"/>
                <w:noProof/>
              </w:rPr>
            </w:pPr>
            <w:r w:rsidRPr="003A243A">
              <w:rPr>
                <w:rFonts w:ascii="GDS Transport Website Light" w:hAnsi="GDS Transport Website Light"/>
                <w:noProof/>
              </w:rPr>
              <w:t>Claimant</w:t>
            </w:r>
            <w:r>
              <w:rPr>
                <w:rFonts w:ascii="GDS Transport Website Light" w:hAnsi="GDS Transport Website Light"/>
                <w:noProof/>
              </w:rPr>
              <w:t xml:space="preserve"> 2</w:t>
            </w:r>
          </w:p>
        </w:tc>
      </w:tr>
      <w:tr w:rsidR="00E35E65" w:rsidRPr="00CC12E4" w14:paraId="3D95923F" w14:textId="77777777" w:rsidTr="00E35E65">
        <w:tc>
          <w:tcPr>
            <w:tcW w:w="3213" w:type="dxa"/>
            <w:tcBorders>
              <w:top w:val="nil"/>
              <w:left w:val="nil"/>
              <w:bottom w:val="nil"/>
              <w:right w:val="nil"/>
            </w:tcBorders>
          </w:tcPr>
          <w:p w14:paraId="29FDD981" w14:textId="00CE8927" w:rsidR="00E35E65" w:rsidRPr="00CC12E4" w:rsidRDefault="00E35E65" w:rsidP="00E35E65">
            <w:pPr>
              <w:rPr>
                <w:rFonts w:ascii="GDS Transport Website Light" w:hAnsi="GDS Transport Website Light"/>
              </w:rPr>
            </w:pPr>
            <w:r>
              <w:rPr>
                <w:rFonts w:ascii="GDSTransportWebsite" w:hAnsi="GDSTransportWebsite"/>
                <w:color w:val="0A0A0A"/>
              </w:rPr>
              <w:t>&lt;&lt;er_&gt;&gt;</w:t>
            </w:r>
          </w:p>
        </w:tc>
        <w:tc>
          <w:tcPr>
            <w:tcW w:w="3294" w:type="dxa"/>
            <w:tcBorders>
              <w:top w:val="nil"/>
              <w:left w:val="nil"/>
              <w:bottom w:val="nil"/>
              <w:right w:val="nil"/>
            </w:tcBorders>
          </w:tcPr>
          <w:p w14:paraId="0A8DFC23" w14:textId="77777777" w:rsidR="00E35E65" w:rsidRPr="00CC12E4" w:rsidRDefault="00E35E65" w:rsidP="00E35E65">
            <w:pPr>
              <w:jc w:val="center"/>
              <w:rPr>
                <w:rFonts w:ascii="GDS Transport Website Light" w:hAnsi="GDS Transport Website Light"/>
              </w:rPr>
            </w:pPr>
          </w:p>
        </w:tc>
        <w:tc>
          <w:tcPr>
            <w:tcW w:w="2524" w:type="dxa"/>
            <w:tcBorders>
              <w:top w:val="nil"/>
              <w:left w:val="nil"/>
              <w:bottom w:val="nil"/>
              <w:right w:val="nil"/>
            </w:tcBorders>
          </w:tcPr>
          <w:p w14:paraId="040E8F21" w14:textId="77777777" w:rsidR="00E35E65" w:rsidRPr="00CC12E4" w:rsidRDefault="00E35E65" w:rsidP="00E35E65">
            <w:pPr>
              <w:jc w:val="right"/>
              <w:rPr>
                <w:rFonts w:ascii="GDS Transport Website Light" w:hAnsi="GDS Transport Website Light"/>
                <w:noProof/>
              </w:rPr>
            </w:pPr>
          </w:p>
        </w:tc>
      </w:tr>
      <w:tr w:rsidR="00E35E65" w:rsidRPr="00CC12E4" w14:paraId="425749B0" w14:textId="77777777" w:rsidTr="00E35E65">
        <w:tc>
          <w:tcPr>
            <w:tcW w:w="3213" w:type="dxa"/>
            <w:tcBorders>
              <w:top w:val="nil"/>
              <w:left w:val="nil"/>
              <w:bottom w:val="nil"/>
              <w:right w:val="nil"/>
            </w:tcBorders>
          </w:tcPr>
          <w:p w14:paraId="1CAED179" w14:textId="77777777" w:rsidR="00E35E65" w:rsidRPr="00CC12E4" w:rsidRDefault="00E35E65" w:rsidP="00E35E65">
            <w:pPr>
              <w:rPr>
                <w:rFonts w:ascii="GDS Transport Website Light" w:hAnsi="GDS Transport Website Light"/>
              </w:rPr>
            </w:pPr>
          </w:p>
        </w:tc>
        <w:tc>
          <w:tcPr>
            <w:tcW w:w="3294" w:type="dxa"/>
            <w:tcBorders>
              <w:top w:val="nil"/>
              <w:left w:val="nil"/>
              <w:bottom w:val="nil"/>
              <w:right w:val="nil"/>
            </w:tcBorders>
          </w:tcPr>
          <w:p w14:paraId="79A6D802" w14:textId="0E705179"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2524" w:type="dxa"/>
            <w:tcBorders>
              <w:top w:val="nil"/>
              <w:left w:val="nil"/>
              <w:bottom w:val="nil"/>
              <w:right w:val="nil"/>
            </w:tcBorders>
          </w:tcPr>
          <w:p w14:paraId="10B9C8C1" w14:textId="05F23A32" w:rsidR="00E35E65" w:rsidRPr="00CC12E4" w:rsidRDefault="00E35E65" w:rsidP="00E35E65">
            <w:pPr>
              <w:jc w:val="right"/>
              <w:rPr>
                <w:rFonts w:ascii="GDS Transport Website Light" w:hAnsi="GDS Transport Website Light"/>
                <w:noProof/>
              </w:rPr>
            </w:pPr>
            <w:r>
              <w:rPr>
                <w:rFonts w:ascii="GDS Transport Website Light" w:hAnsi="GDS Transport Website Light"/>
              </w:rPr>
              <w:t>&lt;&lt;defendantNum&gt;&gt;</w:t>
            </w:r>
          </w:p>
        </w:tc>
      </w:tr>
      <w:tr w:rsidR="00E35E65" w:rsidRPr="00CC12E4" w14:paraId="6A678FA3" w14:textId="77777777" w:rsidTr="00E35E65">
        <w:tc>
          <w:tcPr>
            <w:tcW w:w="3213" w:type="dxa"/>
            <w:tcBorders>
              <w:top w:val="nil"/>
              <w:left w:val="nil"/>
              <w:bottom w:val="nil"/>
              <w:right w:val="nil"/>
            </w:tcBorders>
          </w:tcPr>
          <w:p w14:paraId="075B1050" w14:textId="38AF47B9" w:rsidR="00E35E65" w:rsidRPr="00CC12E4" w:rsidRDefault="00E35E65" w:rsidP="00E35E65">
            <w:pPr>
              <w:rPr>
                <w:rFonts w:ascii="GDS Transport Website Light" w:hAnsi="GDS Transport Website Light"/>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c>
          <w:tcPr>
            <w:tcW w:w="3294" w:type="dxa"/>
            <w:tcBorders>
              <w:top w:val="nil"/>
              <w:left w:val="nil"/>
              <w:bottom w:val="nil"/>
              <w:right w:val="nil"/>
            </w:tcBorders>
          </w:tcPr>
          <w:p w14:paraId="4B8D712D" w14:textId="77777777" w:rsidR="00E35E65" w:rsidRPr="00CC12E4" w:rsidRDefault="00E35E65" w:rsidP="00E35E65">
            <w:pPr>
              <w:jc w:val="center"/>
              <w:rPr>
                <w:rFonts w:ascii="GDS Transport Website Light" w:hAnsi="GDS Transport Website Light"/>
              </w:rPr>
            </w:pPr>
          </w:p>
        </w:tc>
        <w:tc>
          <w:tcPr>
            <w:tcW w:w="2524" w:type="dxa"/>
            <w:tcBorders>
              <w:top w:val="nil"/>
              <w:left w:val="nil"/>
              <w:bottom w:val="nil"/>
              <w:right w:val="nil"/>
            </w:tcBorders>
          </w:tcPr>
          <w:p w14:paraId="0C3BBA52" w14:textId="77777777" w:rsidR="00E35E65" w:rsidRPr="00CC12E4" w:rsidRDefault="00E35E65" w:rsidP="00E35E65">
            <w:pPr>
              <w:jc w:val="right"/>
              <w:rPr>
                <w:rFonts w:ascii="GDS Transport Website Light" w:hAnsi="GDS Transport Website Light"/>
                <w:noProof/>
              </w:rPr>
            </w:pPr>
          </w:p>
        </w:tc>
      </w:tr>
      <w:tr w:rsidR="00E35E65" w:rsidRPr="00CC12E4" w14:paraId="06F34AC1" w14:textId="77777777" w:rsidTr="00E35E65">
        <w:tc>
          <w:tcPr>
            <w:tcW w:w="3213" w:type="dxa"/>
            <w:tcBorders>
              <w:top w:val="nil"/>
              <w:left w:val="nil"/>
              <w:bottom w:val="nil"/>
              <w:right w:val="nil"/>
            </w:tcBorders>
          </w:tcPr>
          <w:p w14:paraId="3528D60F" w14:textId="77777777" w:rsidR="00E35E65" w:rsidRPr="00CC12E4" w:rsidRDefault="00E35E65" w:rsidP="00E35E65">
            <w:pPr>
              <w:rPr>
                <w:rFonts w:ascii="GDS Transport Website Light" w:hAnsi="GDS Transport Website Light"/>
              </w:rPr>
            </w:pPr>
          </w:p>
        </w:tc>
        <w:tc>
          <w:tcPr>
            <w:tcW w:w="3294" w:type="dxa"/>
            <w:tcBorders>
              <w:top w:val="nil"/>
              <w:left w:val="nil"/>
              <w:bottom w:val="nil"/>
              <w:right w:val="nil"/>
            </w:tcBorders>
          </w:tcPr>
          <w:p w14:paraId="7AA8D57D" w14:textId="375F6534"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2524" w:type="dxa"/>
            <w:tcBorders>
              <w:top w:val="nil"/>
              <w:left w:val="nil"/>
              <w:bottom w:val="nil"/>
              <w:right w:val="nil"/>
            </w:tcBorders>
          </w:tcPr>
          <w:p w14:paraId="3A1306A9" w14:textId="61BA47B7" w:rsidR="00E35E65" w:rsidRPr="00CC12E4" w:rsidRDefault="00E35E65" w:rsidP="00E35E65">
            <w:pPr>
              <w:jc w:val="right"/>
              <w:rPr>
                <w:rFonts w:ascii="GDS Transport Website Light" w:hAnsi="GDS Transport Website Light"/>
                <w:noProof/>
              </w:rPr>
            </w:pPr>
            <w:r>
              <w:rPr>
                <w:rFonts w:ascii="GDS Transport Website Light" w:hAnsi="GDS Transport Website Light"/>
              </w:rPr>
              <w:t>Defendant 2</w:t>
            </w:r>
          </w:p>
        </w:tc>
      </w:tr>
      <w:tr w:rsidR="00E35E65" w:rsidRPr="00CC12E4" w14:paraId="486690DA" w14:textId="77777777" w:rsidTr="00832E34">
        <w:tc>
          <w:tcPr>
            <w:tcW w:w="9031" w:type="dxa"/>
            <w:gridSpan w:val="3"/>
            <w:tcBorders>
              <w:top w:val="nil"/>
              <w:left w:val="nil"/>
              <w:bottom w:val="nil"/>
              <w:right w:val="nil"/>
            </w:tcBorders>
          </w:tcPr>
          <w:p w14:paraId="4F8F52C1" w14:textId="0299E5F9" w:rsidR="00E35E65" w:rsidRPr="00CC12E4" w:rsidRDefault="00E35E65" w:rsidP="00E35E65">
            <w:pPr>
              <w:rPr>
                <w:rFonts w:ascii="GDS Transport Website Light" w:hAnsi="GDS Transport Website Light"/>
                <w:noProof/>
              </w:rPr>
            </w:pPr>
            <w:r>
              <w:rPr>
                <w:rFonts w:ascii="GDSTransportWebsite" w:hAnsi="GDSTransportWebsite"/>
                <w:color w:val="0A0A0A"/>
              </w:rPr>
              <w:t>&lt;&lt;er_&gt;&gt;</w:t>
            </w:r>
          </w:p>
        </w:tc>
      </w:tr>
      <w:tr w:rsidR="00E35E65" w:rsidRPr="00CC12E4" w14:paraId="2AE91F54" w14:textId="77777777" w:rsidTr="00292E23">
        <w:tc>
          <w:tcPr>
            <w:tcW w:w="9031" w:type="dxa"/>
            <w:gridSpan w:val="3"/>
            <w:tcBorders>
              <w:top w:val="nil"/>
              <w:left w:val="nil"/>
              <w:right w:val="nil"/>
            </w:tcBorders>
          </w:tcPr>
          <w:p w14:paraId="00D5F372" w14:textId="77777777" w:rsidR="00E35E65" w:rsidRPr="00CC12E4" w:rsidRDefault="00E35E65" w:rsidP="00E35E65">
            <w:pPr>
              <w:rPr>
                <w:rFonts w:ascii="GDS Transport Website Light" w:hAnsi="GDS Transport Website Light"/>
                <w:noProof/>
              </w:rPr>
            </w:pPr>
          </w:p>
        </w:tc>
      </w:tr>
    </w:tbl>
    <w:p w14:paraId="3F7E1242" w14:textId="77777777" w:rsidR="00FE465A" w:rsidRPr="00CC12E4" w:rsidRDefault="00FE465A" w:rsidP="00FE465A">
      <w:pPr>
        <w:autoSpaceDE w:val="0"/>
        <w:autoSpaceDN w:val="0"/>
        <w:adjustRightInd w:val="0"/>
        <w:spacing w:after="0" w:line="240" w:lineRule="auto"/>
        <w:jc w:val="both"/>
        <w:rPr>
          <w:rFonts w:ascii="Arial" w:eastAsia="Times New Roman" w:hAnsi="Arial" w:cs="Arial"/>
          <w:kern w:val="0"/>
          <w14:ligatures w14:val="none"/>
        </w:rPr>
      </w:pPr>
    </w:p>
    <w:p w14:paraId="052474EE" w14:textId="10D0C717" w:rsidR="006C12A2" w:rsidRPr="004D2257" w:rsidRDefault="00FE465A"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CC12E4">
        <w:rPr>
          <w:rStyle w:val="ui-provider"/>
          <w:rFonts w:ascii="Arial" w:hAnsi="Arial" w:cs="Arial"/>
        </w:rPr>
        <w:t>Where this order, or any rule</w:t>
      </w:r>
      <w:r w:rsidR="00E8735F" w:rsidRPr="00CC12E4">
        <w:rPr>
          <w:rStyle w:val="ui-provider"/>
          <w:rFonts w:ascii="Arial" w:hAnsi="Arial" w:cs="Arial"/>
        </w:rPr>
        <w:t xml:space="preserve"> or practice direction,</w:t>
      </w:r>
      <w:r w:rsidRPr="00CC12E4">
        <w:rPr>
          <w:rStyle w:val="ui-provider"/>
          <w:rFonts w:ascii="Arial" w:hAnsi="Arial" w:cs="Arial"/>
        </w:rPr>
        <w:t xml:space="preserve"> requires a party to file or serve a document</w:t>
      </w:r>
      <w:r w:rsidR="00E8735F" w:rsidRPr="00CC12E4">
        <w:rPr>
          <w:rStyle w:val="ui-provider"/>
          <w:rFonts w:ascii="Arial" w:hAnsi="Arial" w:cs="Arial"/>
        </w:rPr>
        <w:t xml:space="preserve"> which can be uploaded to the Digital Portal then the document must be uploaded to the Digital Portal (and need not separately be filed).</w:t>
      </w:r>
    </w:p>
    <w:p w14:paraId="0C32AF69" w14:textId="77777777" w:rsidR="004D2257" w:rsidRDefault="004D2257" w:rsidP="004D2257">
      <w:pPr>
        <w:autoSpaceDE w:val="0"/>
        <w:autoSpaceDN w:val="0"/>
        <w:adjustRightInd w:val="0"/>
        <w:spacing w:after="0" w:line="240" w:lineRule="auto"/>
        <w:jc w:val="both"/>
        <w:rPr>
          <w:rStyle w:val="ui-provider"/>
          <w:rFonts w:ascii="Arial" w:eastAsia="Times New Roman" w:hAnsi="Arial" w:cs="Arial"/>
          <w:kern w:val="0"/>
          <w14:ligatures w14:val="none"/>
        </w:rPr>
      </w:pPr>
    </w:p>
    <w:p w14:paraId="2E8BA287" w14:textId="10A95FBF" w:rsidR="004D2257" w:rsidRPr="004D2257" w:rsidRDefault="004D2257" w:rsidP="004D2257">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This case is allocated to the Multi Track.</w:t>
      </w:r>
    </w:p>
    <w:p w14:paraId="5F41C774" w14:textId="77777777" w:rsidR="004D2257" w:rsidRPr="004D2257" w:rsidRDefault="004D2257" w:rsidP="004D2257">
      <w:pPr>
        <w:autoSpaceDE w:val="0"/>
        <w:autoSpaceDN w:val="0"/>
        <w:adjustRightInd w:val="0"/>
        <w:spacing w:after="0" w:line="240" w:lineRule="auto"/>
        <w:jc w:val="both"/>
        <w:rPr>
          <w:rStyle w:val="ui-provider"/>
          <w:rFonts w:ascii="Arial" w:eastAsia="Times New Roman" w:hAnsi="Arial" w:cs="Arial"/>
          <w:kern w:val="0"/>
          <w14:ligatures w14:val="none"/>
        </w:rPr>
      </w:pPr>
    </w:p>
    <w:p w14:paraId="2B1E0B7A" w14:textId="253D9A77" w:rsidR="006C12A2" w:rsidRDefault="006C12A2"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A costs and case management conference is to be listed on the first available date after 28 days before a District Judge with an ELH of</w:t>
      </w:r>
      <w:r w:rsidR="004D2257">
        <w:rPr>
          <w:rStyle w:val="ui-provider"/>
          <w:rFonts w:ascii="Arial" w:eastAsia="Times New Roman" w:hAnsi="Arial" w:cs="Arial"/>
          <w:kern w:val="0"/>
          <w14:ligatures w14:val="none"/>
        </w:rPr>
        <w:t xml:space="preserve"> [ ]</w:t>
      </w:r>
      <w:r>
        <w:rPr>
          <w:rStyle w:val="ui-provider"/>
          <w:rFonts w:ascii="Arial" w:eastAsia="Times New Roman" w:hAnsi="Arial" w:cs="Arial"/>
          <w:kern w:val="0"/>
          <w14:ligatures w14:val="none"/>
        </w:rPr>
        <w:t xml:space="preserve"> [plus minutes pre-reading].</w:t>
      </w:r>
    </w:p>
    <w:p w14:paraId="3AFAA7AE" w14:textId="77777777" w:rsidR="006C12A2" w:rsidRDefault="006C12A2" w:rsidP="006C12A2">
      <w:pPr>
        <w:autoSpaceDE w:val="0"/>
        <w:autoSpaceDN w:val="0"/>
        <w:adjustRightInd w:val="0"/>
        <w:spacing w:after="0" w:line="240" w:lineRule="auto"/>
        <w:jc w:val="both"/>
        <w:rPr>
          <w:rStyle w:val="ui-provider"/>
          <w:rFonts w:ascii="Arial" w:eastAsia="Times New Roman" w:hAnsi="Arial" w:cs="Arial"/>
          <w:kern w:val="0"/>
          <w14:ligatures w14:val="none"/>
        </w:rPr>
      </w:pPr>
    </w:p>
    <w:p w14:paraId="7B2989E6" w14:textId="256FE773" w:rsidR="006C12A2" w:rsidRDefault="006C12A2"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The costs and case management conference has been listed for further active case management by the Court and for approval of the parties’ costs budgets.</w:t>
      </w:r>
    </w:p>
    <w:p w14:paraId="74989EA5" w14:textId="77777777" w:rsidR="006C12A2" w:rsidRPr="006C12A2" w:rsidRDefault="006C12A2" w:rsidP="006C12A2">
      <w:pPr>
        <w:pStyle w:val="ListParagraph"/>
        <w:rPr>
          <w:rStyle w:val="ui-provider"/>
          <w:rFonts w:ascii="Arial" w:eastAsia="Times New Roman" w:hAnsi="Arial" w:cs="Arial"/>
          <w:kern w:val="0"/>
          <w14:ligatures w14:val="none"/>
        </w:rPr>
      </w:pPr>
    </w:p>
    <w:p w14:paraId="164B23ED" w14:textId="475B9707" w:rsidR="006C12A2" w:rsidRDefault="006C12A2"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[The costs and case management conference will be conducted remotely by [telephone] [video hearing]]</w:t>
      </w:r>
      <w:r w:rsidR="004D2257">
        <w:rPr>
          <w:rStyle w:val="ui-provider"/>
          <w:rFonts w:ascii="Arial" w:eastAsia="Times New Roman" w:hAnsi="Arial" w:cs="Arial"/>
          <w:kern w:val="0"/>
          <w14:ligatures w14:val="none"/>
        </w:rPr>
        <w:t>.</w:t>
      </w:r>
      <w:r>
        <w:rPr>
          <w:rStyle w:val="ui-provider"/>
          <w:rFonts w:ascii="Arial" w:eastAsia="Times New Roman" w:hAnsi="Arial" w:cs="Arial"/>
          <w:kern w:val="0"/>
          <w14:ligatures w14:val="none"/>
        </w:rPr>
        <w:t xml:space="preserve"> [The costs and case management conference will not be conducted remotely].</w:t>
      </w:r>
    </w:p>
    <w:p w14:paraId="65488FC9" w14:textId="77777777" w:rsidR="006C12A2" w:rsidRPr="006C12A2" w:rsidRDefault="006C12A2" w:rsidP="006C12A2">
      <w:pPr>
        <w:pStyle w:val="ListParagraph"/>
        <w:rPr>
          <w:rStyle w:val="ui-provider"/>
          <w:rFonts w:ascii="Arial" w:eastAsia="Times New Roman" w:hAnsi="Arial" w:cs="Arial"/>
          <w:kern w:val="0"/>
          <w14:ligatures w14:val="none"/>
        </w:rPr>
      </w:pPr>
    </w:p>
    <w:p w14:paraId="3888704A" w14:textId="7CDB6A83" w:rsidR="006C12A2" w:rsidRDefault="006C12A2"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 xml:space="preserve">All parties must ensure that they have complied with CPR 3.13 (filing and exchanging costs budgets and budget discussion reports) save that CPR 3.13(1)(a) is disapplied and all parties except litigants in person must file and exchange budgets in accordance with CPR 3.13(1)(b), namely not later than 21 days before the first case management conference. </w:t>
      </w:r>
    </w:p>
    <w:p w14:paraId="00D2020B" w14:textId="77777777" w:rsidR="006C12A2" w:rsidRPr="006C12A2" w:rsidRDefault="006C12A2" w:rsidP="006C12A2">
      <w:pPr>
        <w:pStyle w:val="ListParagraph"/>
        <w:rPr>
          <w:rStyle w:val="ui-provider"/>
          <w:rFonts w:ascii="Arial" w:eastAsia="Times New Roman" w:hAnsi="Arial" w:cs="Arial"/>
          <w:kern w:val="0"/>
          <w14:ligatures w14:val="none"/>
        </w:rPr>
      </w:pPr>
    </w:p>
    <w:p w14:paraId="6A48AAEC" w14:textId="695D5E70" w:rsidR="006C12A2" w:rsidRDefault="006C12A2"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 xml:space="preserve">At least 3 clear days before the costs and case management conference the Claimant must file and send to the other party or parties: </w:t>
      </w:r>
    </w:p>
    <w:p w14:paraId="4A7345AC" w14:textId="77777777" w:rsidR="006C12A2" w:rsidRPr="006C12A2" w:rsidRDefault="006C12A2" w:rsidP="006C12A2">
      <w:pPr>
        <w:pStyle w:val="ListParagraph"/>
        <w:rPr>
          <w:rStyle w:val="ui-provider"/>
          <w:rFonts w:ascii="Arial" w:eastAsia="Times New Roman" w:hAnsi="Arial" w:cs="Arial"/>
          <w:kern w:val="0"/>
          <w14:ligatures w14:val="none"/>
        </w:rPr>
      </w:pPr>
    </w:p>
    <w:p w14:paraId="2B6B323E" w14:textId="777F123B" w:rsidR="006C12A2" w:rsidRDefault="006C12A2" w:rsidP="006C12A2">
      <w:pPr>
        <w:pStyle w:val="ListParagraph"/>
        <w:numPr>
          <w:ilvl w:val="1"/>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A copy of the core bundle</w:t>
      </w:r>
    </w:p>
    <w:p w14:paraId="414F9910" w14:textId="25FFDFB9" w:rsidR="006C12A2" w:rsidRDefault="006C12A2" w:rsidP="006C12A2">
      <w:pPr>
        <w:pStyle w:val="ListParagraph"/>
        <w:numPr>
          <w:ilvl w:val="1"/>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Draft directions</w:t>
      </w:r>
    </w:p>
    <w:p w14:paraId="196CC6F8" w14:textId="422F8D6C" w:rsidR="006C12A2" w:rsidRDefault="006C12A2" w:rsidP="006C12A2">
      <w:pPr>
        <w:pStyle w:val="ListParagraph"/>
        <w:numPr>
          <w:ilvl w:val="1"/>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A chronology</w:t>
      </w:r>
    </w:p>
    <w:p w14:paraId="066F8676" w14:textId="47323E26" w:rsidR="006C12A2" w:rsidRDefault="006C12A2" w:rsidP="006C12A2">
      <w:pPr>
        <w:pStyle w:val="ListParagraph"/>
        <w:numPr>
          <w:ilvl w:val="1"/>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A case summary (limited to 500 words)</w:t>
      </w:r>
    </w:p>
    <w:p w14:paraId="7380044E" w14:textId="1B207B85" w:rsidR="006C12A2" w:rsidRDefault="006C12A2" w:rsidP="006C12A2">
      <w:pPr>
        <w:pStyle w:val="ListParagraph"/>
        <w:numPr>
          <w:ilvl w:val="1"/>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A one page summary of the Precedents H of both parties to enable the judge to undertake a comparison of the total for each party of each phase of the litigation</w:t>
      </w:r>
    </w:p>
    <w:p w14:paraId="5E713CEB" w14:textId="480347EC" w:rsidR="006C12A2" w:rsidRPr="006C12A2" w:rsidRDefault="006C12A2" w:rsidP="006C12A2">
      <w:pPr>
        <w:pStyle w:val="ListParagraph"/>
        <w:numPr>
          <w:ilvl w:val="1"/>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A breakdown of the pre-action and issue/pleadings costs included in the respective Forms H.</w:t>
      </w:r>
    </w:p>
    <w:p w14:paraId="37EB2E3F" w14:textId="77777777" w:rsidR="00FE465A" w:rsidRPr="00CC12E4" w:rsidRDefault="00FE465A" w:rsidP="00FE465A">
      <w:pPr>
        <w:rPr>
          <w:rFonts w:ascii="Arial" w:hAnsi="Arial" w:cs="Arial"/>
        </w:rPr>
      </w:pPr>
    </w:p>
    <w:p w14:paraId="5459F928" w14:textId="77777777" w:rsidR="00FE465A" w:rsidRPr="00DC7E66" w:rsidRDefault="00FE465A" w:rsidP="00FE465A">
      <w:pPr>
        <w:spacing w:after="0" w:line="240" w:lineRule="auto"/>
        <w:rPr>
          <w:rFonts w:ascii="Arial" w:eastAsia="Times New Roman" w:hAnsi="Arial" w:cs="Arial"/>
          <w:b/>
          <w:bCs/>
          <w:kern w:val="0"/>
          <w14:ligatures w14:val="none"/>
        </w:rPr>
      </w:pPr>
      <w:r w:rsidRPr="00CC12E4">
        <w:rPr>
          <w:rFonts w:ascii="Arial" w:eastAsia="Times New Roman" w:hAnsi="Arial" w:cs="Arial"/>
          <w:b/>
          <w:bCs/>
          <w:kern w:val="0"/>
          <w14:ligatures w14:val="none"/>
        </w:rPr>
        <w:t>Because this Order has been made without a hearing, the parties have the right to apply to have the Order set aside, varied or stayed.  A party making such an application must send or deliver the application to the court (together with any appropriate fee) to arrive within 7 days of service of this Order.</w:t>
      </w:r>
    </w:p>
    <w:p w14:paraId="43560772" w14:textId="5AC0C86D" w:rsidR="007411DD" w:rsidRDefault="007411DD" w:rsidP="00E23751"/>
    <w:p w14:paraId="7FDD592C" w14:textId="77777777" w:rsidR="007979C9" w:rsidRPr="007411DD" w:rsidRDefault="007979C9" w:rsidP="00E23751"/>
    <w:p w14:paraId="048FDECE" w14:textId="77777777" w:rsidR="00A16019" w:rsidRDefault="00A16019"/>
    <w:sectPr w:rsidR="00A160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0822A" w14:textId="77777777" w:rsidR="00F138E7" w:rsidRDefault="00F138E7" w:rsidP="007411DD">
      <w:pPr>
        <w:spacing w:after="0" w:line="240" w:lineRule="auto"/>
      </w:pPr>
      <w:r>
        <w:separator/>
      </w:r>
    </w:p>
  </w:endnote>
  <w:endnote w:type="continuationSeparator" w:id="0">
    <w:p w14:paraId="69296694" w14:textId="77777777" w:rsidR="00F138E7" w:rsidRDefault="00F138E7" w:rsidP="007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DS Transport Website Light">
    <w:altName w:val="Calibri"/>
    <w:charset w:val="01"/>
    <w:family w:val="roman"/>
    <w:pitch w:val="variable"/>
  </w:font>
  <w:font w:name="GDSTransportWebsite">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57490" w14:textId="6D140554" w:rsidR="007411DD" w:rsidRDefault="007411DD">
    <w:pPr>
      <w:pStyle w:val="Footer"/>
    </w:pPr>
    <w:r>
      <w:rPr>
        <w:noProof/>
      </w:rPr>
      <mc:AlternateContent>
        <mc:Choice Requires="wps">
          <w:drawing>
            <wp:anchor distT="0" distB="0" distL="0" distR="0" simplePos="0" relativeHeight="251659264" behindDoc="0" locked="0" layoutInCell="1" allowOverlap="1" wp14:anchorId="341D63D3" wp14:editId="5F1A9F5A">
              <wp:simplePos x="635" y="635"/>
              <wp:positionH relativeFrom="page">
                <wp:align>left</wp:align>
              </wp:positionH>
              <wp:positionV relativeFrom="page">
                <wp:align>bottom</wp:align>
              </wp:positionV>
              <wp:extent cx="1017905" cy="290830"/>
              <wp:effectExtent l="0" t="0" r="10795" b="0"/>
              <wp:wrapNone/>
              <wp:docPr id="200220862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0830"/>
                      </a:xfrm>
                      <a:prstGeom prst="rect">
                        <a:avLst/>
                      </a:prstGeom>
                      <a:noFill/>
                      <a:ln>
                        <a:noFill/>
                      </a:ln>
                    </wps:spPr>
                    <wps:txbx>
                      <w:txbxContent>
                        <w:p w14:paraId="3336218B" w14:textId="3EB194EF"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1D63D3" id="_x0000_t202" coordsize="21600,21600" o:spt="202" path="m,l,21600r21600,l21600,xe">
              <v:stroke joinstyle="miter"/>
              <v:path gradientshapeok="t" o:connecttype="rect"/>
            </v:shapetype>
            <v:shape id="Text Box 2" o:spid="_x0000_s1026" type="#_x0000_t202" alt="Classification: Controlled" style="position:absolute;margin-left:0;margin-top:0;width:80.15pt;height:22.9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" filled="f" stroked="f">
              <v:textbox style="mso-fit-shape-to-text:t" inset="20pt,0,0,15pt">
                <w:txbxContent>
                  <w:p w14:paraId="3336218B" w14:textId="3EB194EF"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D387F" w14:textId="03FCCEAD" w:rsidR="007411DD" w:rsidRDefault="0074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A8426" w14:textId="31500841" w:rsidR="007411DD" w:rsidRDefault="007411DD">
    <w:pPr>
      <w:pStyle w:val="Footer"/>
    </w:pPr>
    <w:r>
      <w:rPr>
        <w:noProof/>
      </w:rPr>
      <mc:AlternateContent>
        <mc:Choice Requires="wps">
          <w:drawing>
            <wp:anchor distT="0" distB="0" distL="0" distR="0" simplePos="0" relativeHeight="251658240" behindDoc="0" locked="0" layoutInCell="1" allowOverlap="1" wp14:anchorId="66597E7A" wp14:editId="66982868">
              <wp:simplePos x="635" y="635"/>
              <wp:positionH relativeFrom="page">
                <wp:align>left</wp:align>
              </wp:positionH>
              <wp:positionV relativeFrom="page">
                <wp:align>bottom</wp:align>
              </wp:positionV>
              <wp:extent cx="1017905" cy="290830"/>
              <wp:effectExtent l="0" t="0" r="10795" b="0"/>
              <wp:wrapNone/>
              <wp:docPr id="235569499"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0830"/>
                      </a:xfrm>
                      <a:prstGeom prst="rect">
                        <a:avLst/>
                      </a:prstGeom>
                      <a:noFill/>
                      <a:ln>
                        <a:noFill/>
                      </a:ln>
                    </wps:spPr>
                    <wps:txbx>
                      <w:txbxContent>
                        <w:p w14:paraId="133B463C" w14:textId="6402189A"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597E7A" id="_x0000_t202" coordsize="21600,21600" o:spt="202" path="m,l,21600r21600,l21600,xe">
              <v:stroke joinstyle="miter"/>
              <v:path gradientshapeok="t" o:connecttype="rect"/>
            </v:shapetype>
            <v:shape id="Text Box 1" o:spid="_x0000_s1027" type="#_x0000_t202" alt="Classification: Controlled" style="position:absolute;margin-left:0;margin-top:0;width:80.15pt;height:22.9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" filled="f" stroked="f">
              <v:textbox style="mso-fit-shape-to-text:t" inset="20pt,0,0,15pt">
                <w:txbxContent>
                  <w:p w14:paraId="133B463C" w14:textId="6402189A"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A27CB" w14:textId="77777777" w:rsidR="00F138E7" w:rsidRDefault="00F138E7" w:rsidP="007411DD">
      <w:pPr>
        <w:spacing w:after="0" w:line="240" w:lineRule="auto"/>
      </w:pPr>
      <w:r>
        <w:separator/>
      </w:r>
    </w:p>
  </w:footnote>
  <w:footnote w:type="continuationSeparator" w:id="0">
    <w:p w14:paraId="6F8DA40D" w14:textId="77777777" w:rsidR="00F138E7" w:rsidRDefault="00F138E7" w:rsidP="00741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A9509" w14:textId="77777777" w:rsidR="00F550D8" w:rsidRDefault="00F55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934E8" w14:textId="77777777" w:rsidR="00F550D8" w:rsidRDefault="00F55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11BAB" w14:textId="77777777" w:rsidR="00F550D8" w:rsidRDefault="00F55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47A52"/>
    <w:multiLevelType w:val="hybridMultilevel"/>
    <w:tmpl w:val="E8B284B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15:restartNumberingAfterBreak="0">
    <w:nsid w:val="45982DE4"/>
    <w:multiLevelType w:val="hybridMultilevel"/>
    <w:tmpl w:val="3B7C633A"/>
    <w:lvl w:ilvl="0" w:tplc="01B4BF58">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06DE1"/>
    <w:multiLevelType w:val="hybridMultilevel"/>
    <w:tmpl w:val="629C72D0"/>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16cid:durableId="6127092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41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8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DD"/>
    <w:rsid w:val="000707E9"/>
    <w:rsid w:val="000A07CD"/>
    <w:rsid w:val="000A3F7D"/>
    <w:rsid w:val="000B77B9"/>
    <w:rsid w:val="000F1A4E"/>
    <w:rsid w:val="00143EDB"/>
    <w:rsid w:val="0016305B"/>
    <w:rsid w:val="001B1964"/>
    <w:rsid w:val="001D6CDD"/>
    <w:rsid w:val="00206A05"/>
    <w:rsid w:val="00206AC3"/>
    <w:rsid w:val="00246CBF"/>
    <w:rsid w:val="002848ED"/>
    <w:rsid w:val="002E219F"/>
    <w:rsid w:val="00312DC7"/>
    <w:rsid w:val="00322CCE"/>
    <w:rsid w:val="00322F71"/>
    <w:rsid w:val="003C1D61"/>
    <w:rsid w:val="003C6FBF"/>
    <w:rsid w:val="00415792"/>
    <w:rsid w:val="0044447F"/>
    <w:rsid w:val="004D2257"/>
    <w:rsid w:val="0051394C"/>
    <w:rsid w:val="005402CA"/>
    <w:rsid w:val="00570292"/>
    <w:rsid w:val="0057486B"/>
    <w:rsid w:val="005905FD"/>
    <w:rsid w:val="00596346"/>
    <w:rsid w:val="0061645B"/>
    <w:rsid w:val="00646E98"/>
    <w:rsid w:val="006C12A2"/>
    <w:rsid w:val="006C6C0B"/>
    <w:rsid w:val="007411DD"/>
    <w:rsid w:val="00783362"/>
    <w:rsid w:val="007979C9"/>
    <w:rsid w:val="007A1F72"/>
    <w:rsid w:val="007E58E5"/>
    <w:rsid w:val="00872295"/>
    <w:rsid w:val="008F09BC"/>
    <w:rsid w:val="00922A3F"/>
    <w:rsid w:val="00945743"/>
    <w:rsid w:val="00A07AF2"/>
    <w:rsid w:val="00A16019"/>
    <w:rsid w:val="00A17CCE"/>
    <w:rsid w:val="00A24B0B"/>
    <w:rsid w:val="00A440FF"/>
    <w:rsid w:val="00A514CB"/>
    <w:rsid w:val="00AC2782"/>
    <w:rsid w:val="00AC6DF3"/>
    <w:rsid w:val="00B00426"/>
    <w:rsid w:val="00B721B9"/>
    <w:rsid w:val="00BC4532"/>
    <w:rsid w:val="00C40D7E"/>
    <w:rsid w:val="00C54D46"/>
    <w:rsid w:val="00C57346"/>
    <w:rsid w:val="00C576F8"/>
    <w:rsid w:val="00CC12E4"/>
    <w:rsid w:val="00CC722B"/>
    <w:rsid w:val="00CE6C31"/>
    <w:rsid w:val="00CF5601"/>
    <w:rsid w:val="00E23751"/>
    <w:rsid w:val="00E24FC2"/>
    <w:rsid w:val="00E35E65"/>
    <w:rsid w:val="00E75CD3"/>
    <w:rsid w:val="00E8735F"/>
    <w:rsid w:val="00EB7DC5"/>
    <w:rsid w:val="00ED42A6"/>
    <w:rsid w:val="00F138E7"/>
    <w:rsid w:val="00F550D8"/>
    <w:rsid w:val="00F72953"/>
    <w:rsid w:val="00F7337F"/>
    <w:rsid w:val="00F847A0"/>
    <w:rsid w:val="00FE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7C1"/>
  <w15:chartTrackingRefBased/>
  <w15:docId w15:val="{7722C24F-E1E2-4871-AB0B-6F13988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DD"/>
    <w:rPr>
      <w:rFonts w:eastAsiaTheme="majorEastAsia" w:cstheme="majorBidi"/>
      <w:color w:val="272727" w:themeColor="text1" w:themeTint="D8"/>
    </w:rPr>
  </w:style>
  <w:style w:type="paragraph" w:styleId="Title">
    <w:name w:val="Title"/>
    <w:basedOn w:val="Normal"/>
    <w:next w:val="Normal"/>
    <w:link w:val="TitleChar"/>
    <w:uiPriority w:val="10"/>
    <w:qFormat/>
    <w:rsid w:val="00741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DD"/>
    <w:pPr>
      <w:spacing w:before="160"/>
      <w:jc w:val="center"/>
    </w:pPr>
    <w:rPr>
      <w:i/>
      <w:iCs/>
      <w:color w:val="404040" w:themeColor="text1" w:themeTint="BF"/>
    </w:rPr>
  </w:style>
  <w:style w:type="character" w:customStyle="1" w:styleId="QuoteChar">
    <w:name w:val="Quote Char"/>
    <w:basedOn w:val="DefaultParagraphFont"/>
    <w:link w:val="Quote"/>
    <w:uiPriority w:val="29"/>
    <w:rsid w:val="007411DD"/>
    <w:rPr>
      <w:i/>
      <w:iCs/>
      <w:color w:val="404040" w:themeColor="text1" w:themeTint="BF"/>
    </w:rPr>
  </w:style>
  <w:style w:type="paragraph" w:styleId="ListParagraph">
    <w:name w:val="List Paragraph"/>
    <w:basedOn w:val="Normal"/>
    <w:uiPriority w:val="34"/>
    <w:qFormat/>
    <w:rsid w:val="007411DD"/>
    <w:pPr>
      <w:ind w:left="720"/>
      <w:contextualSpacing/>
    </w:pPr>
  </w:style>
  <w:style w:type="character" w:styleId="IntenseEmphasis">
    <w:name w:val="Intense Emphasis"/>
    <w:basedOn w:val="DefaultParagraphFont"/>
    <w:uiPriority w:val="21"/>
    <w:qFormat/>
    <w:rsid w:val="007411DD"/>
    <w:rPr>
      <w:i/>
      <w:iCs/>
      <w:color w:val="0F4761" w:themeColor="accent1" w:themeShade="BF"/>
    </w:rPr>
  </w:style>
  <w:style w:type="paragraph" w:styleId="IntenseQuote">
    <w:name w:val="Intense Quote"/>
    <w:basedOn w:val="Normal"/>
    <w:next w:val="Normal"/>
    <w:link w:val="IntenseQuoteChar"/>
    <w:uiPriority w:val="30"/>
    <w:qFormat/>
    <w:rsid w:val="0074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DD"/>
    <w:rPr>
      <w:i/>
      <w:iCs/>
      <w:color w:val="0F4761" w:themeColor="accent1" w:themeShade="BF"/>
    </w:rPr>
  </w:style>
  <w:style w:type="character" w:styleId="IntenseReference">
    <w:name w:val="Intense Reference"/>
    <w:basedOn w:val="DefaultParagraphFont"/>
    <w:uiPriority w:val="32"/>
    <w:qFormat/>
    <w:rsid w:val="007411DD"/>
    <w:rPr>
      <w:b/>
      <w:bCs/>
      <w:smallCaps/>
      <w:color w:val="0F4761" w:themeColor="accent1" w:themeShade="BF"/>
      <w:spacing w:val="5"/>
    </w:rPr>
  </w:style>
  <w:style w:type="paragraph" w:styleId="Footer">
    <w:name w:val="footer"/>
    <w:basedOn w:val="Normal"/>
    <w:link w:val="FooterChar"/>
    <w:uiPriority w:val="99"/>
    <w:unhideWhenUsed/>
    <w:rsid w:val="0074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DD"/>
  </w:style>
  <w:style w:type="table" w:styleId="TableGrid">
    <w:name w:val="Table Grid"/>
    <w:basedOn w:val="TableNormal"/>
    <w:uiPriority w:val="39"/>
    <w:rsid w:val="00CC722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D8"/>
  </w:style>
  <w:style w:type="character" w:customStyle="1" w:styleId="ui-provider">
    <w:name w:val="ui-provider"/>
    <w:basedOn w:val="DefaultParagraphFont"/>
    <w:rsid w:val="00FE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3695">
      <w:bodyDiv w:val="1"/>
      <w:marLeft w:val="0"/>
      <w:marRight w:val="0"/>
      <w:marTop w:val="0"/>
      <w:marBottom w:val="0"/>
      <w:divBdr>
        <w:top w:val="none" w:sz="0" w:space="0" w:color="auto"/>
        <w:left w:val="none" w:sz="0" w:space="0" w:color="auto"/>
        <w:bottom w:val="none" w:sz="0" w:space="0" w:color="auto"/>
        <w:right w:val="none" w:sz="0" w:space="0" w:color="auto"/>
      </w:divBdr>
    </w:div>
    <w:div w:id="46905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52</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Byrne</dc:creator>
  <cp:keywords/>
  <dc:description/>
  <cp:lastModifiedBy>Sankavi Mohanraj</cp:lastModifiedBy>
  <cp:revision>12</cp:revision>
  <dcterms:created xsi:type="dcterms:W3CDTF">2024-09-03T14:45:00Z</dcterms:created>
  <dcterms:modified xsi:type="dcterms:W3CDTF">2024-09-05T13:51:00Z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e0a815b,7757476e,178277fe</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