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r w:rsidRPr="007B0088">
              <w:rPr>
                <w:rFonts w:ascii="GDS Transport Website Light" w:hAnsi="GDS Transport Website Light"/>
                <w:b/>
                <w:bCs/>
                <w:szCs w:val="22"/>
              </w:rPr>
              <w:t>courtLocation</w:t>
            </w:r>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&lt;&lt;caseNumber&gt;&gt;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2B7C50AD">
                  <wp:extent cx="690968" cy="634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90968" cy="634331"/>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77DA7735"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 xml:space="preserve">&lt;&lt; receivedDate&gt;&gt; at </w:t>
      </w:r>
      <w:r w:rsidR="009828E2">
        <w:rPr>
          <w:rFonts w:cstheme="minorHAnsi"/>
        </w:rPr>
        <w:t>&lt;&lt;siteName&gt;&gt;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22CB97B2"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&lt;&lt;orderMadeSingleDate&gt;&gt; &lt;&lt;es_&gt;&gt;&lt;&lt;cs_{isDateRange=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009828E2" w:rsidRPr="002002DA">
        <w:rPr>
          <w:rFonts w:ascii="GDS Transport Website Light" w:hAnsi="GDS Transport Website Light"/>
          <w:szCs w:val="22"/>
        </w:rPr>
        <w:t>&lt;&lt;siteName&gt;&gt; - &lt;&lt;address&gt;&gt; - &lt;&lt;postcode&gt;&gt;.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lastRenderedPageBreak/>
              <w:t>&lt;&lt;cr_{claimantRepresentation='Counsel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&lt;&lt;cr_{defendantRepresentation='Counsel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lastRenderedPageBreak/>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&lt;&lt;furtherHearingListFromDate&gt;&gt;.&lt;&lt;es_&gt;&gt;&lt;&lt;cs_{checkListToDate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&lt;&lt;cs_{ checkDatesToAvoid==true}&gt;&gt;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furtherHearingMethod=’VIDEO’}&gt;&gt;by video&lt;&lt;es_&gt;&gt;&lt;&lt;cs_{furtherHearingMethod=’TELEPHONE’}&gt;&gt; by 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52F398BF" w:rsidR="00675320" w:rsidRPr="0082596D" w:rsidRDefault="00675320" w:rsidP="00242C65">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w:t>
      </w:r>
      <w:r w:rsidR="00AF0F26">
        <w:rPr>
          <w:rFonts w:ascii="GDS Transport Website Light" w:hAnsi="GDS Transport Website Light"/>
          <w:kern w:val="0"/>
          <w:szCs w:val="22"/>
          <w14:ligatures w14:val="none"/>
        </w:rPr>
        <w:t>Bespoke costs order</w:t>
      </w:r>
      <w:r w:rsidR="00845735">
        <w:rPr>
          <w:rFonts w:ascii="GDS Transport Website Light" w:hAnsi="GDS Transport Website Light"/>
          <w:kern w:val="0"/>
          <w:szCs w:val="22"/>
          <w14:ligatures w14:val="none"/>
        </w:rPr>
        <w:t>.</w:t>
      </w:r>
      <w:r w:rsidRPr="0082596D">
        <w:rPr>
          <w:rFonts w:ascii="GDS Transport Website Light" w:hAnsi="GDS Transport Website Light"/>
          <w:szCs w:val="22"/>
        </w:rPr>
        <w:t>&lt;&lt;</w:t>
      </w:r>
      <w:r w:rsidR="008D0E8A" w:rsidRPr="0082596D">
        <w:rPr>
          <w:rFonts w:ascii="GDS Transport Website Light" w:hAnsi="GDS Transport Website Light"/>
          <w:szCs w:val="22"/>
        </w:rPr>
        <w:t>beSpokeCostDetailsText</w:t>
      </w:r>
      <w:r w:rsidRPr="0082596D">
        <w:rPr>
          <w:rFonts w:ascii="GDS Transport Website Light" w:hAnsi="GDS Transport Website Light"/>
          <w:szCs w:val="22"/>
        </w:rPr>
        <w:t>&gt;&gt;&lt;&lt;es_&gt;&gt;</w:t>
      </w:r>
    </w:p>
    <w:p w14:paraId="654D52EE" w14:textId="77777777" w:rsidR="00675320" w:rsidRDefault="00675320" w:rsidP="00937AFD">
      <w:pPr>
        <w:ind w:left="360"/>
      </w:pPr>
      <w:r w:rsidRPr="009403CD">
        <w:rPr>
          <w:rFonts w:ascii="GDS Transport Website Light" w:hAnsi="GDS Transport Website Light"/>
          <w:szCs w:val="22"/>
        </w:rPr>
        <w:lastRenderedPageBreak/>
        <w:t>&lt;&lt;cs_{interimPayment!=null}&gt;&gt;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&lt;&lt;cs_{reasonsText!=’null’}&gt;&gt;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00BA" w14:textId="77777777" w:rsidR="007811FF" w:rsidRDefault="007811FF" w:rsidP="004D0E83">
      <w:r>
        <w:separator/>
      </w:r>
    </w:p>
  </w:endnote>
  <w:endnote w:type="continuationSeparator" w:id="0">
    <w:p w14:paraId="0CFEDCBE" w14:textId="77777777" w:rsidR="007811FF" w:rsidRDefault="007811FF"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CB22" w14:textId="77777777" w:rsidR="007811FF" w:rsidRDefault="007811FF" w:rsidP="004D0E83">
      <w:r>
        <w:separator/>
      </w:r>
    </w:p>
  </w:footnote>
  <w:footnote w:type="continuationSeparator" w:id="0">
    <w:p w14:paraId="3D025956" w14:textId="77777777" w:rsidR="007811FF" w:rsidRDefault="007811FF"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8674D"/>
    <w:rsid w:val="001A592F"/>
    <w:rsid w:val="001B1E1D"/>
    <w:rsid w:val="001B2A42"/>
    <w:rsid w:val="001F36CE"/>
    <w:rsid w:val="002002DA"/>
    <w:rsid w:val="00242C65"/>
    <w:rsid w:val="00252BBA"/>
    <w:rsid w:val="00261AF4"/>
    <w:rsid w:val="00261DEA"/>
    <w:rsid w:val="00262CF7"/>
    <w:rsid w:val="00264751"/>
    <w:rsid w:val="0027528E"/>
    <w:rsid w:val="00281FA3"/>
    <w:rsid w:val="0029450A"/>
    <w:rsid w:val="002979AF"/>
    <w:rsid w:val="002A5F43"/>
    <w:rsid w:val="002A7883"/>
    <w:rsid w:val="002B195F"/>
    <w:rsid w:val="002B1DF7"/>
    <w:rsid w:val="002B56CF"/>
    <w:rsid w:val="002F22F9"/>
    <w:rsid w:val="002F61C8"/>
    <w:rsid w:val="0030429E"/>
    <w:rsid w:val="00314D5B"/>
    <w:rsid w:val="00316EC2"/>
    <w:rsid w:val="00322FBD"/>
    <w:rsid w:val="0032354F"/>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E26BE"/>
    <w:rsid w:val="004F1C6D"/>
    <w:rsid w:val="00507C53"/>
    <w:rsid w:val="00517411"/>
    <w:rsid w:val="005246FF"/>
    <w:rsid w:val="00544BB6"/>
    <w:rsid w:val="0054562F"/>
    <w:rsid w:val="005459F2"/>
    <w:rsid w:val="0055355D"/>
    <w:rsid w:val="00553D59"/>
    <w:rsid w:val="005637E8"/>
    <w:rsid w:val="00564F1B"/>
    <w:rsid w:val="0056598C"/>
    <w:rsid w:val="005662CA"/>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67EEA"/>
    <w:rsid w:val="007716F5"/>
    <w:rsid w:val="007811FF"/>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596D"/>
    <w:rsid w:val="00826BB8"/>
    <w:rsid w:val="008356F0"/>
    <w:rsid w:val="00837526"/>
    <w:rsid w:val="00845735"/>
    <w:rsid w:val="008477ED"/>
    <w:rsid w:val="00867E73"/>
    <w:rsid w:val="00876515"/>
    <w:rsid w:val="008767AE"/>
    <w:rsid w:val="0089609E"/>
    <w:rsid w:val="008A200A"/>
    <w:rsid w:val="008B10A9"/>
    <w:rsid w:val="008B2824"/>
    <w:rsid w:val="008B5ACB"/>
    <w:rsid w:val="008D0E8A"/>
    <w:rsid w:val="008D7C92"/>
    <w:rsid w:val="008E47BF"/>
    <w:rsid w:val="009010E0"/>
    <w:rsid w:val="00904AE2"/>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828E2"/>
    <w:rsid w:val="009919C4"/>
    <w:rsid w:val="009973FE"/>
    <w:rsid w:val="009B25BD"/>
    <w:rsid w:val="009B2B17"/>
    <w:rsid w:val="009B5EEB"/>
    <w:rsid w:val="009C163F"/>
    <w:rsid w:val="009C1957"/>
    <w:rsid w:val="009C49A2"/>
    <w:rsid w:val="009E4B26"/>
    <w:rsid w:val="00A02B18"/>
    <w:rsid w:val="00A056BD"/>
    <w:rsid w:val="00A10F2F"/>
    <w:rsid w:val="00A13CB2"/>
    <w:rsid w:val="00A2215A"/>
    <w:rsid w:val="00A252DE"/>
    <w:rsid w:val="00A26054"/>
    <w:rsid w:val="00A318DE"/>
    <w:rsid w:val="00A57673"/>
    <w:rsid w:val="00A6216B"/>
    <w:rsid w:val="00A72993"/>
    <w:rsid w:val="00A900D0"/>
    <w:rsid w:val="00AA7198"/>
    <w:rsid w:val="00AB0DFD"/>
    <w:rsid w:val="00AB3647"/>
    <w:rsid w:val="00AC0056"/>
    <w:rsid w:val="00AF0F2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0769"/>
    <w:rsid w:val="00C81AB5"/>
    <w:rsid w:val="00C853E0"/>
    <w:rsid w:val="00CB71EF"/>
    <w:rsid w:val="00CC25CF"/>
    <w:rsid w:val="00CD1104"/>
    <w:rsid w:val="00CD6183"/>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DF596B"/>
    <w:rsid w:val="00E154BA"/>
    <w:rsid w:val="00E16464"/>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70304171">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05824085">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7663</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Leonardo Palmeiro</cp:lastModifiedBy>
  <cp:revision>497</cp:revision>
  <dcterms:created xsi:type="dcterms:W3CDTF">2023-03-28T12:57:00Z</dcterms:created>
  <dcterms:modified xsi:type="dcterms:W3CDTF">2025-02-06T13:15:00Z</dcterms:modified>
</cp:coreProperties>
</file>