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56691" w14:textId="77777777" w:rsidR="00B25D39" w:rsidRPr="00C35FB0" w:rsidRDefault="00B25D39" w:rsidP="00B25D39">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In the County Court</w:t>
      </w:r>
      <w:r>
        <w:rPr>
          <w:rFonts w:ascii="Arial" w:eastAsia="Arial" w:hAnsi="Arial" w:cs="Arial"/>
          <w:b/>
          <w:sz w:val="28"/>
        </w:rPr>
        <w:t xml:space="preserve"> at</w:t>
      </w:r>
      <w:r w:rsidRPr="00C35FB0">
        <w:rPr>
          <w:rFonts w:ascii="Arial" w:eastAsia="Arial" w:hAnsi="Arial" w:cs="Arial"/>
          <w:b/>
          <w:sz w:val="28"/>
        </w:rPr>
        <w:t xml:space="preserve">  </w:t>
      </w:r>
      <w:r w:rsidRPr="00C35FB0">
        <w:rPr>
          <w:rFonts w:ascii="Arial" w:eastAsia="Tahoma" w:hAnsi="Arial" w:cs="Arial"/>
        </w:rPr>
        <w:t>Case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031C854C" w14:textId="77777777" w:rsidR="00B25D39" w:rsidRPr="008D0BF6" w:rsidRDefault="00B25D39" w:rsidP="00B25D39">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832660F" w14:textId="77777777" w:rsidR="00B25D39" w:rsidRDefault="00B25D39" w:rsidP="00B25D39">
      <w:pPr>
        <w:tabs>
          <w:tab w:val="center" w:pos="4742"/>
        </w:tabs>
        <w:spacing w:after="0"/>
        <w:rPr>
          <w:rFonts w:ascii="Arial" w:eastAsia="Arial" w:hAnsi="Arial" w:cs="Arial"/>
          <w:b/>
        </w:rPr>
      </w:pPr>
      <w:r w:rsidRPr="00C35FB0">
        <w:rPr>
          <w:rFonts w:ascii="Arial" w:eastAsia="Arial" w:hAnsi="Arial" w:cs="Arial"/>
          <w:b/>
        </w:rPr>
        <w:t xml:space="preserve"> </w:t>
      </w:r>
      <w:r w:rsidRPr="00C35FB0">
        <w:rPr>
          <w:rFonts w:ascii="Arial" w:eastAsia="Arial" w:hAnsi="Arial" w:cs="Arial"/>
          <w:b/>
        </w:rPr>
        <w:tab/>
      </w:r>
    </w:p>
    <w:p w14:paraId="40824929" w14:textId="77777777" w:rsidR="00B25D39" w:rsidRDefault="00B25D39" w:rsidP="00B25D39">
      <w:pPr>
        <w:tabs>
          <w:tab w:val="center" w:pos="4742"/>
        </w:tabs>
        <w:spacing w:after="0"/>
        <w:rPr>
          <w:rFonts w:ascii="Arial" w:eastAsia="Arial" w:hAnsi="Arial" w:cs="Arial"/>
          <w:b/>
        </w:rPr>
      </w:pPr>
    </w:p>
    <w:p w14:paraId="613D701A" w14:textId="7EE8D64C" w:rsidR="00B25D39" w:rsidRPr="00262257" w:rsidRDefault="00B25D39" w:rsidP="00B25D39">
      <w:pPr>
        <w:tabs>
          <w:tab w:val="center" w:pos="4742"/>
        </w:tabs>
        <w:spacing w:after="0"/>
        <w:jc w:val="center"/>
        <w:rPr>
          <w:rFonts w:ascii="Arial" w:hAnsi="Arial" w:cs="Arial"/>
          <w:b/>
          <w:bCs/>
          <w:sz w:val="28"/>
          <w:szCs w:val="28"/>
        </w:rPr>
      </w:pPr>
      <w:bookmarkStart w:id="1" w:name="_Hlk137734029"/>
      <w:r w:rsidRPr="00262257">
        <w:rPr>
          <w:rFonts w:ascii="Arial" w:hAnsi="Arial" w:cs="Arial"/>
          <w:b/>
          <w:bCs/>
          <w:sz w:val="28"/>
          <w:szCs w:val="28"/>
        </w:rPr>
        <w:t>&lt;&lt;cs_{writtenByJudge}&gt;&gt;&lt;&lt;</w:t>
      </w:r>
      <w:r w:rsidR="00786862" w:rsidRPr="00786862">
        <w:rPr>
          <w:rFonts w:ascii="Arial" w:hAnsi="Arial" w:cs="Arial"/>
          <w:b/>
          <w:bCs/>
          <w:sz w:val="28"/>
          <w:szCs w:val="28"/>
        </w:rPr>
        <w:t>caseManagementLocation</w:t>
      </w:r>
      <w:r w:rsidRPr="00262257">
        <w:rPr>
          <w:rFonts w:ascii="Arial" w:hAnsi="Arial" w:cs="Arial"/>
          <w:b/>
          <w:bCs/>
          <w:sz w:val="28"/>
          <w:szCs w:val="28"/>
        </w:rPr>
        <w:t>.site_name&gt;&gt;&lt;&lt;else&gt;&gt; Online Civil Claims&lt;&lt;es_&gt;&gt;</w:t>
      </w:r>
    </w:p>
    <w:p w14:paraId="0D0276DB" w14:textId="77777777" w:rsidR="00B25D39" w:rsidRPr="00F82BFC" w:rsidRDefault="00B25D39" w:rsidP="00B25D39">
      <w:pPr>
        <w:tabs>
          <w:tab w:val="center" w:pos="4742"/>
        </w:tabs>
        <w:spacing w:after="0"/>
        <w:jc w:val="center"/>
        <w:rPr>
          <w:rFonts w:ascii="Arial" w:hAnsi="Arial" w:cs="Arial"/>
          <w:b/>
          <w:bCs/>
          <w:sz w:val="28"/>
          <w:szCs w:val="28"/>
        </w:rPr>
      </w:pPr>
      <w:bookmarkStart w:id="2" w:name="_Hlk137733953"/>
      <w:bookmarkEnd w:id="1"/>
      <w:r w:rsidRPr="00F82BFC">
        <w:rPr>
          <w:rFonts w:ascii="Arial" w:hAnsi="Arial" w:cs="Arial"/>
          <w:b/>
          <w:bCs/>
          <w:sz w:val="28"/>
          <w:szCs w:val="28"/>
        </w:rPr>
        <w:t>&lt;&lt;</w:t>
      </w:r>
      <w:proofErr w:type="spellStart"/>
      <w:r w:rsidRPr="00F82BFC">
        <w:rPr>
          <w:rFonts w:ascii="Arial" w:hAnsi="Arial" w:cs="Arial"/>
          <w:b/>
          <w:bCs/>
          <w:sz w:val="28"/>
          <w:szCs w:val="28"/>
        </w:rPr>
        <w:t>judgeName</w:t>
      </w:r>
      <w:proofErr w:type="spellEnd"/>
      <w:r w:rsidRPr="00F82BFC">
        <w:rPr>
          <w:rFonts w:ascii="Arial" w:hAnsi="Arial" w:cs="Arial"/>
          <w:b/>
          <w:bCs/>
          <w:sz w:val="28"/>
          <w:szCs w:val="28"/>
        </w:rPr>
        <w:t>&gt;&gt;</w:t>
      </w:r>
      <w:bookmarkEnd w:id="2"/>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3"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3"/>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w:t>
      </w:r>
      <w:proofErr w:type="spellStart"/>
      <w:r>
        <w:rPr>
          <w:rFonts w:ascii="Arial" w:hAnsi="Arial" w:cs="Arial"/>
        </w:rPr>
        <w:t>fastTrack</w:t>
      </w:r>
      <w:r w:rsidR="0034693F">
        <w:rPr>
          <w:rFonts w:ascii="Arial" w:hAnsi="Arial" w:cs="Arial"/>
        </w:rPr>
        <w:t>Allocation</w:t>
      </w:r>
      <w:proofErr w:type="spellEnd"/>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w:t>
      </w:r>
      <w:proofErr w:type="spellStart"/>
      <w:r w:rsidR="003B5D06" w:rsidRPr="009F2C96">
        <w:rPr>
          <w:rFonts w:ascii="Arial" w:eastAsia="Arial" w:hAnsi="Arial" w:cs="Arial"/>
          <w:bCs/>
          <w:lang w:val="es-ES"/>
        </w:rPr>
        <w:t>dateFormat</w:t>
      </w:r>
      <w:proofErr w:type="spellEnd"/>
      <w:r w:rsidR="003B5D06" w:rsidRPr="009F2C96">
        <w:rPr>
          <w:rFonts w:ascii="Arial" w:eastAsia="Arial" w:hAnsi="Arial" w:cs="Arial"/>
          <w:bCs/>
          <w:lang w:val="es-ES"/>
        </w:rPr>
        <w: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 xml:space="preserve"> MMMM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 ‘</w:t>
      </w:r>
      <w:proofErr w:type="spellStart"/>
      <w:r w:rsidR="003B5D06" w:rsidRPr="009F2C96">
        <w:rPr>
          <w:rFonts w:ascii="Arial" w:eastAsia="Arial" w:hAnsi="Arial" w:cs="Arial"/>
          <w:bCs/>
          <w:lang w:val="es-ES"/>
        </w:rPr>
        <w:t>yyyy</w:t>
      </w:r>
      <w:proofErr w:type="spellEnd"/>
      <w:r w:rsidR="003B5D06" w:rsidRPr="009F2C96">
        <w:rPr>
          <w:rFonts w:ascii="Arial" w:eastAsia="Arial" w:hAnsi="Arial" w:cs="Arial"/>
          <w:bCs/>
          <w:lang w:val="es-ES"/>
        </w:rPr>
        <w:t>-MM-</w:t>
      </w:r>
      <w:proofErr w:type="spellStart"/>
      <w:r w:rsidR="003B5D06" w:rsidRPr="009F2C96">
        <w:rPr>
          <w:rFonts w:ascii="Arial" w:eastAsia="Arial" w:hAnsi="Arial" w:cs="Arial"/>
          <w:bCs/>
          <w:lang w:val="es-ES"/>
        </w:rPr>
        <w:t>dd</w:t>
      </w:r>
      <w:proofErr w:type="spellEnd"/>
      <w:r w:rsidR="003B5D06" w:rsidRPr="009F2C96">
        <w:rPr>
          <w:rFonts w:ascii="Arial" w:eastAsia="Arial" w:hAnsi="Arial" w:cs="Arial"/>
          <w:bCs/>
          <w:lang w:val="es-ES"/>
        </w:rPr>
        <w:t>’)}</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w:t>
      </w:r>
      <w:proofErr w:type="spellStart"/>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r w:rsidRPr="00C35FB0">
        <w:rPr>
          <w:rFonts w:ascii="Arial" w:hAnsi="Arial" w:cs="Arial"/>
          <w:bCs/>
        </w:rPr>
        <w:t>value.directionComment</w:t>
      </w:r>
      <w:proofErr w:type="spell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9AF6" w14:textId="77777777" w:rsidR="0007023F" w:rsidRDefault="0007023F" w:rsidP="002A64AF">
      <w:pPr>
        <w:spacing w:after="0" w:line="240" w:lineRule="auto"/>
      </w:pPr>
      <w:r>
        <w:separator/>
      </w:r>
    </w:p>
  </w:endnote>
  <w:endnote w:type="continuationSeparator" w:id="0">
    <w:p w14:paraId="657698EC" w14:textId="77777777" w:rsidR="0007023F" w:rsidRDefault="0007023F" w:rsidP="002A64AF">
      <w:pPr>
        <w:spacing w:after="0" w:line="240" w:lineRule="auto"/>
      </w:pPr>
      <w:r>
        <w:continuationSeparator/>
      </w:r>
    </w:p>
  </w:endnote>
  <w:endnote w:type="continuationNotice" w:id="1">
    <w:p w14:paraId="472E4928" w14:textId="77777777" w:rsidR="0007023F" w:rsidRDefault="000702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DDE9" w14:textId="77777777" w:rsidR="0007023F" w:rsidRDefault="0007023F" w:rsidP="002A64AF">
      <w:pPr>
        <w:spacing w:after="0" w:line="240" w:lineRule="auto"/>
      </w:pPr>
      <w:r>
        <w:separator/>
      </w:r>
    </w:p>
  </w:footnote>
  <w:footnote w:type="continuationSeparator" w:id="0">
    <w:p w14:paraId="492D3F0E" w14:textId="77777777" w:rsidR="0007023F" w:rsidRDefault="0007023F" w:rsidP="002A64AF">
      <w:pPr>
        <w:spacing w:after="0" w:line="240" w:lineRule="auto"/>
      </w:pPr>
      <w:r>
        <w:continuationSeparator/>
      </w:r>
    </w:p>
  </w:footnote>
  <w:footnote w:type="continuationNotice" w:id="1">
    <w:p w14:paraId="051DB091" w14:textId="77777777" w:rsidR="0007023F" w:rsidRDefault="000702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023F"/>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45A7C"/>
    <w:rsid w:val="0034693F"/>
    <w:rsid w:val="00360AAA"/>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1ED7"/>
    <w:rsid w:val="006A7063"/>
    <w:rsid w:val="006A7D61"/>
    <w:rsid w:val="006D3141"/>
    <w:rsid w:val="006E4B79"/>
    <w:rsid w:val="00703C22"/>
    <w:rsid w:val="00721EB2"/>
    <w:rsid w:val="00725269"/>
    <w:rsid w:val="00734DFD"/>
    <w:rsid w:val="007425A9"/>
    <w:rsid w:val="00743BA9"/>
    <w:rsid w:val="0077134C"/>
    <w:rsid w:val="00772622"/>
    <w:rsid w:val="007865A6"/>
    <w:rsid w:val="00786862"/>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A6228"/>
    <w:rsid w:val="00AB298D"/>
    <w:rsid w:val="00AC2C6B"/>
    <w:rsid w:val="00AD72DC"/>
    <w:rsid w:val="00AE69ED"/>
    <w:rsid w:val="00AF4264"/>
    <w:rsid w:val="00B025F3"/>
    <w:rsid w:val="00B169A8"/>
    <w:rsid w:val="00B25D39"/>
    <w:rsid w:val="00B268BF"/>
    <w:rsid w:val="00B276DE"/>
    <w:rsid w:val="00B501B1"/>
    <w:rsid w:val="00B9132C"/>
    <w:rsid w:val="00B92306"/>
    <w:rsid w:val="00BA084E"/>
    <w:rsid w:val="00BA79A6"/>
    <w:rsid w:val="00BB02BA"/>
    <w:rsid w:val="00BB28C4"/>
    <w:rsid w:val="00BC60CE"/>
    <w:rsid w:val="00BC6A68"/>
    <w:rsid w:val="00BD2F59"/>
    <w:rsid w:val="00BE3827"/>
    <w:rsid w:val="00BF4A7A"/>
    <w:rsid w:val="00C24B53"/>
    <w:rsid w:val="00C35FB0"/>
    <w:rsid w:val="00C3604E"/>
    <w:rsid w:val="00C90537"/>
    <w:rsid w:val="00CA0F06"/>
    <w:rsid w:val="00CC6734"/>
    <w:rsid w:val="00CD3686"/>
    <w:rsid w:val="00CD4D69"/>
    <w:rsid w:val="00CD70D9"/>
    <w:rsid w:val="00CE292B"/>
    <w:rsid w:val="00CF61E9"/>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CV-UNS-STD-ENG-99994     Now: CV-UNS-STD-ENG-01307.docx</dc:title>
  <dc:subject/>
  <dc:creator>Hasnat, Abul</dc:creator>
  <cp:keywords/>
  <dc:description/>
  <cp:lastModifiedBy>Astha Malviya</cp:lastModifiedBy>
  <cp:revision>3</cp:revision>
  <dcterms:created xsi:type="dcterms:W3CDTF">2023-09-05T16:59:00Z</dcterms:created>
  <dcterms:modified xsi:type="dcterms:W3CDTF">2023-09-06T09:42:00Z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