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27B1429A" w:rsidR="00C34514" w:rsidRPr="00B512FE" w:rsidRDefault="002C2CFF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39DA7522">
            <wp:simplePos x="0" y="0"/>
            <wp:positionH relativeFrom="column">
              <wp:posOffset>4538345</wp:posOffset>
            </wp:positionH>
            <wp:positionV relativeFrom="paragraph">
              <wp:posOffset>-42545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119C6548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DEEA809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2AA609A4" w14:textId="246D86F1" w:rsidR="005C46D1" w:rsidRDefault="005C46D1" w:rsidP="005C46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22B0E086" w14:textId="77777777" w:rsidR="00C34514" w:rsidRPr="00A12CC4" w:rsidRDefault="00C34514" w:rsidP="00E53F05">
      <w:p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2F3876B" w14:textId="24146852" w:rsidR="000C4D94" w:rsidRPr="007E435B" w:rsidRDefault="00E216AF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F2DC096" w:rsidR="00041653" w:rsidRPr="00A12CC4" w:rsidRDefault="00D811A5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</w:p>
    <w:p w14:paraId="0B39200E" w14:textId="757BA125" w:rsidR="001566F0" w:rsidRPr="001566F0" w:rsidRDefault="001566F0" w:rsidP="00191AC8">
      <w:pPr>
        <w:ind w:left="-567" w:right="-608"/>
        <w:rPr>
          <w:b/>
          <w:bCs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2855ACC9" w14:textId="31BF00EE" w:rsidR="00EF0748" w:rsidRDefault="00EF0748" w:rsidP="00191AC8">
      <w:pPr>
        <w:ind w:left="-567" w:right="-608"/>
        <w:rPr>
          <w:b/>
          <w:sz w:val="28"/>
          <w:szCs w:val="28"/>
        </w:rPr>
      </w:pPr>
    </w:p>
    <w:p w14:paraId="5691F9C5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4B176868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F44BE7E" w14:textId="269096B4" w:rsidR="00597451" w:rsidRPr="00DC4A56" w:rsidRDefault="00041653" w:rsidP="00D81807">
      <w:pPr>
        <w:ind w:left="-227" w:right="-608"/>
        <w:rPr>
          <w:rFonts w:ascii="GDS Transport Website" w:hAnsi="GDS Transport Website"/>
          <w:sz w:val="24"/>
          <w:szCs w:val="24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76A03" w:rsidRPr="00161FE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374EE2BE" w14:textId="77777777" w:rsidR="00F00DAC" w:rsidRDefault="0085192C" w:rsidP="007D0FA0">
      <w:pPr>
        <w:ind w:left="-567" w:right="-567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 xml:space="preserve">2. </w:t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F035D2">
        <w:rPr>
          <w:rFonts w:ascii="GDS Transport Website Light" w:hAnsi="GDS Transport Website Light"/>
          <w:sz w:val="24"/>
          <w:szCs w:val="24"/>
        </w:rPr>
        <w:t xml:space="preserve"> </w:t>
      </w:r>
      <w:r w:rsidR="007D0FA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04839382" w14:textId="60858A38" w:rsidR="00EF0748" w:rsidRPr="0085192C" w:rsidRDefault="007D0FA0" w:rsidP="007D0FA0">
      <w:pPr>
        <w:ind w:left="-567" w:right="-567"/>
        <w:rPr>
          <w:rFonts w:ascii="GDS Transport Website" w:hAnsi="GDS Transport Website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 xml:space="preserve">    </w:t>
      </w:r>
      <w:bookmarkStart w:id="0" w:name="_GoBack"/>
      <w:bookmarkEnd w:id="0"/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55841CAF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69529F97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0A4AB72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2ED8B91D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C9789B">
        <w:rPr>
          <w:sz w:val="24"/>
          <w:szCs w:val="24"/>
        </w:rPr>
        <w:t xml:space="preserve">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77777777" w:rsidR="00155ED6" w:rsidRDefault="003D2D59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492471FD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CE6A3C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lastRenderedPageBreak/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64546B6" w:rsidR="00B512FE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1AB68112" w14:textId="77777777" w:rsidR="00B818A9" w:rsidRPr="007E435B" w:rsidRDefault="00B818A9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D3C4" w14:textId="77777777" w:rsidR="00CE6A3C" w:rsidRDefault="00CE6A3C">
      <w:pPr>
        <w:spacing w:line="240" w:lineRule="auto"/>
      </w:pPr>
      <w:r>
        <w:separator/>
      </w:r>
    </w:p>
  </w:endnote>
  <w:endnote w:type="continuationSeparator" w:id="0">
    <w:p w14:paraId="49F67F9D" w14:textId="77777777" w:rsidR="00CE6A3C" w:rsidRDefault="00CE6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FA5A9" w14:textId="77777777" w:rsidR="00CE6A3C" w:rsidRDefault="00CE6A3C">
      <w:pPr>
        <w:spacing w:line="240" w:lineRule="auto"/>
      </w:pPr>
      <w:r>
        <w:separator/>
      </w:r>
    </w:p>
  </w:footnote>
  <w:footnote w:type="continuationSeparator" w:id="0">
    <w:p w14:paraId="61232042" w14:textId="77777777" w:rsidR="00CE6A3C" w:rsidRDefault="00CE6A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A2601"/>
    <w:rsid w:val="004A7FFD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71C3A"/>
    <w:rsid w:val="0057277C"/>
    <w:rsid w:val="00576A03"/>
    <w:rsid w:val="0058126E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B1BAE"/>
    <w:rsid w:val="006D42FB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940534"/>
    <w:rsid w:val="00943AAF"/>
    <w:rsid w:val="0097622F"/>
    <w:rsid w:val="00990E7B"/>
    <w:rsid w:val="00A12CC4"/>
    <w:rsid w:val="00A51FA3"/>
    <w:rsid w:val="00A56E44"/>
    <w:rsid w:val="00A747E7"/>
    <w:rsid w:val="00A75BC4"/>
    <w:rsid w:val="00A92677"/>
    <w:rsid w:val="00B1318B"/>
    <w:rsid w:val="00B512FE"/>
    <w:rsid w:val="00B708BD"/>
    <w:rsid w:val="00B818A9"/>
    <w:rsid w:val="00B90193"/>
    <w:rsid w:val="00BA3736"/>
    <w:rsid w:val="00BB3A43"/>
    <w:rsid w:val="00BD04B2"/>
    <w:rsid w:val="00BD40FD"/>
    <w:rsid w:val="00BE7444"/>
    <w:rsid w:val="00C34514"/>
    <w:rsid w:val="00C37172"/>
    <w:rsid w:val="00C4145A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CE6A3C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9C751-A401-6342-943D-3E1DCE5D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42</cp:revision>
  <dcterms:created xsi:type="dcterms:W3CDTF">2019-10-09T16:20:00Z</dcterms:created>
  <dcterms:modified xsi:type="dcterms:W3CDTF">2019-10-10T10:30:00Z</dcterms:modified>
</cp:coreProperties>
</file>