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095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52450"/>
                    </a:xfrm>
                    <a:prstGeom prst="rect">
                      <a:avLst/>
                    </a:prstGeom>
                  </pic:spPr>
                </pic:pic>
              </a:graphicData>
            </a:graphic>
          </wp:inline>
        </w:drawing>
      </w:r>
    </w:p>
    <w:p>
      <w:pPr>
        <w:spacing w:after="20"/>
        <w:jc w:val="center"/>
      </w:pPr>
      <w:r>
        <w:rPr>
          <w:b/>
          <w:bCs/>
          <w:color w:val="444444"/>
          <w:sz w:val="20"/>
          <w:szCs w:val="20"/>
        </w:rPr>
        <w:t xml:space="preserve">ELECTIVA LIBRE III — Análisis de Datos, Ingeniería de Sistemas</w:t>
      </w:r>
    </w:p>
    <w:p>
      <w:pPr>
        <w:spacing w:after="260"/>
        <w:jc w:val="center"/>
      </w:pPr>
      <w:r>
        <w:rPr>
          <w:color w:val="444444"/>
          <w:sz w:val="18"/>
          <w:szCs w:val="18"/>
        </w:rPr>
        <w:t xml:space="preserve">Jueves 6:45–9:00 p.m. · Caso conductor de todo el semestre</w:t>
      </w:r>
    </w:p>
    <w:p>
      <w:pPr>
        <w:spacing w:after="60"/>
        <w:jc w:val="center"/>
      </w:pPr>
      <w:r>
        <w:rPr>
          <w:b/>
          <w:bCs/>
          <w:color w:val="0B2240"/>
          <w:sz w:val="36"/>
          <w:szCs w:val="36"/>
        </w:rPr>
        <w:t xml:space="preserve">INFORMACIÓN GENERAL DEL CURSO</w:t>
      </w:r>
    </w:p>
    <w:p>
      <w:pPr>
        <w:spacing w:after="300"/>
        <w:jc w:val="center"/>
      </w:pPr>
      <w:r>
        <w:rPr>
          <w:b/>
          <w:bCs/>
          <w:color w:val="A8791A"/>
          <w:sz w:val="24"/>
          <w:szCs w:val="24"/>
        </w:rPr>
        <w:t xml:space="preserve">Cumbre Sport &amp; Outdoor S.A.S. — Perfil de Empresa, Objetivos, Banco de Preguntas y Diccionario de Datos</w:t>
      </w:r>
    </w:p>
    <w:p>
      <w:pPr>
        <w:spacing w:after="150" w:line="300"/>
        <w:jc w:val="both"/>
      </w:pPr>
      <w:r>
        <w:rPr>
          <w:sz w:val="21"/>
          <w:szCs w:val="21"/>
        </w:rPr>
        <w:t xml:space="preserve">Material de referencia compartido para toda la Unidad 1 (Python/ETL) y las Unidades 2-3 (Power BI) de este curso — no se repite por sesión. El caso Cumbre Sport &amp; Outdoor S.A.S. es el mismo usado en el Módulo 3 del Diplomado de Inteligencia Artificial y Transformación Digital de esta institución; este documento adapta su perfil de empresa y diccionario de datos oficiales al contexto de Ingeniería de Sistemas, donde Unidad 1 trabaja sobre una muestra deliberadamente sucia del mismo dataset real.</w:t>
      </w:r>
    </w:p>
    <w:p>
      <w:r>
        <w:br w:type="page"/>
      </w:r>
    </w:p>
    <w:p>
      <w:pPr>
        <w:pStyle w:val="Heading1"/>
        <w:pBdr>
          <w:bottom w:val="single" w:color="0B2240" w:sz="6" w:space="4"/>
        </w:pBdr>
        <w:spacing w:after="140" w:before="320"/>
      </w:pPr>
      <w:r>
        <w:rPr>
          <w:b/>
          <w:bCs/>
          <w:color w:val="0B2240"/>
          <w:sz w:val="28"/>
          <w:szCs w:val="28"/>
        </w:rPr>
        <w:t xml:space="preserve">1. Perfil de la empresa</w:t>
      </w:r>
    </w:p>
    <w:p>
      <w:pPr>
        <w:pStyle w:val="Heading2"/>
        <w:spacing w:after="100" w:before="240"/>
      </w:pPr>
      <w:r>
        <w:rPr>
          <w:b/>
          <w:bCs/>
          <w:color w:val="0B2240"/>
          <w:sz w:val="23"/>
          <w:szCs w:val="23"/>
        </w:rPr>
        <w:t xml:space="preserve">1.1 Historia y contexto</w:t>
      </w:r>
    </w:p>
    <w:p>
      <w:pPr>
        <w:spacing w:after="150" w:line="300"/>
        <w:jc w:val="both"/>
      </w:pPr>
      <w:r>
        <w:rPr>
          <w:sz w:val="21"/>
          <w:szCs w:val="21"/>
        </w:rPr>
        <w:t xml:space="preserve">Cumbre Sport &amp; Outdoor S.A.S. fue fundada en 2005 en Quito, Ecuador, por un grupo de deportistas y comerciantes que identificaron la falta de tiendas especializadas en equipo de fútbol en la ciudad. Inició como una única tienda física distribuyendo guayos y balones de fútbol exclusivamente en Ecuador.</w:t>
      </w:r>
    </w:p>
    <w:p>
      <w:pPr>
        <w:spacing w:after="150" w:line="300"/>
        <w:jc w:val="both"/>
      </w:pPr>
      <w:r>
        <w:rPr>
          <w:sz w:val="21"/>
          <w:szCs w:val="21"/>
        </w:rPr>
        <w:t xml:space="preserve">Entre 2008 y 2011 amplió su catálogo a equipo de camping y montañismo. Entre 2012 y 2015 dio su primer salto internacional, llegando a Colombia y Perú y sumando golf a su oferta. Entre 2016 y 2020 completó su expansión regional a Panamá, Guatemala, Honduras, México y Nicaragua, alcanzando los 8 países que opera hoy. En 2021 lanzó su aplicación móvil y su canal de redes sociales, digitalizando buena parte de las ventas remotas.</w:t>
      </w:r>
    </w:p>
    <w:p>
      <w:pPr>
        <w:spacing w:after="150" w:line="300"/>
        <w:jc w:val="both"/>
      </w:pPr>
      <w:r>
        <w:rPr>
          <w:sz w:val="21"/>
          <w:szCs w:val="21"/>
        </w:rPr>
        <w:t xml:space="preserve">Hoy, con 20 años de historia, la empresa cuenta con más de 81,000 transacciones registradas entre 2005 y 2024 y un catálogo de 152 referencias agrupadas en 7 categorías: fútbol - calzado, fútbol - indumentaria y accesorios, camping y montañismo, golf, ciclismo, cuidado y protección outdoor, y ropa y accesorios deportivos.</w:t>
      </w:r>
    </w:p>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Objeto social</w:t>
            </w:r>
          </w:p>
          <w:p>
            <w:pPr>
              <w:spacing w:after="0"/>
            </w:pPr>
            <w:r>
              <w:rPr>
                <w:sz w:val="20"/>
                <w:szCs w:val="20"/>
              </w:rPr>
              <w:t xml:space="preserve">Comercialización omnicanal (punto de venta físico, teléfono, redes sociales y aplicación móvil) de artículos deportivos y equipo outdoor, dirigida a consumidores finales y pequeños distribuidores minoristas en ocho países de Latinoamérica.</w:t>
            </w:r>
          </w:p>
        </w:tc>
      </w:tr>
    </w:tbl>
    <w:p>
      <w:pPr>
        <w:pStyle w:val="Heading2"/>
        <w:spacing w:after="100" w:before="240"/>
      </w:pPr>
      <w:r>
        <w:rPr>
          <w:b/>
          <w:bCs/>
          <w:color w:val="0B2240"/>
          <w:sz w:val="23"/>
          <w:szCs w:val="23"/>
        </w:rPr>
        <w:t xml:space="preserve">1.2 Misión y visión</w:t>
      </w:r>
    </w:p>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Misión</w:t>
            </w:r>
          </w:p>
          <w:p>
            <w:pPr>
              <w:spacing w:after="0"/>
            </w:pPr>
            <w:r>
              <w:rPr>
                <w:sz w:val="20"/>
                <w:szCs w:val="20"/>
              </w:rPr>
              <w:t xml:space="preserve">Acercar a las familias y deportistas de Latinoamérica el mejor equipo deportivo y outdoor, con un servicio cercano y confiable a través de todos nuestros canales, impulsando estilos de vida activos y saludables en cada país donde operamos.</w:t>
            </w:r>
          </w:p>
        </w:tc>
      </w:tr>
    </w:tbl>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Visión 2028</w:t>
            </w:r>
          </w:p>
          <w:p>
            <w:pPr>
              <w:spacing w:after="0"/>
            </w:pPr>
            <w:r>
              <w:rPr>
                <w:sz w:val="20"/>
                <w:szCs w:val="20"/>
              </w:rPr>
              <w:t xml:space="preserve">Ser la comercializadora de artículos deportivos y outdoor líder en la región andina y Centroamérica, reconocida por su innovación omnicanal, la cercanía con sus clientes y la solidez de sus decisiones basadas en datos.</w:t>
            </w:r>
          </w:p>
        </w:tc>
      </w:tr>
    </w:tbl>
    <w:p>
      <w:pPr>
        <w:pStyle w:val="Heading2"/>
        <w:spacing w:after="100" w:before="240"/>
      </w:pPr>
      <w:r>
        <w:rPr>
          <w:b/>
          <w:bCs/>
          <w:color w:val="0B2240"/>
          <w:sz w:val="23"/>
          <w:szCs w:val="23"/>
        </w:rPr>
        <w:t xml:space="preserve">1.3 Objetivos estratégicos 2025-2027</w:t>
      </w:r>
    </w:p>
    <w:p>
      <w:pPr>
        <w:spacing w:after="150" w:line="300"/>
        <w:jc w:val="both"/>
      </w:pPr>
      <w:r>
        <w:rPr>
          <w:sz w:val="21"/>
          <w:szCs w:val="21"/>
        </w:rPr>
        <w:t xml:space="preserve">Estos objetivos, definidos por la Junta Directiva, son la base real del banco de preguntas de negocio de la sección 3 — no son metas inventadas para el ejercicio académico.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Objetivo</w:t>
            </w:r>
          </w:p>
        </w:tc>
        <w:tc>
          <w:tcPr>
            <w:tcW w:type="dxa" w:w="6240"/>
            <w:shd w:fill="0B2240" w:val="clear"/>
            <w:tcMar>
              <w:top w:type="dxa" w:w="80"/>
              <w:left w:type="dxa" w:w="100"/>
              <w:bottom w:type="dxa" w:w="80"/>
              <w:right w:type="dxa" w:w="100"/>
            </w:tcMar>
          </w:tcPr>
          <w:p>
            <w:r>
              <w:rPr>
                <w:b/>
                <w:bCs/>
                <w:color w:val="FFFFFF"/>
                <w:sz w:val="18"/>
                <w:szCs w:val="18"/>
              </w:rPr>
              <w:t xml:space="preserve">Meta declarada</w:t>
            </w:r>
          </w:p>
        </w:tc>
      </w:tr>
      <w:tr>
        <w:tc>
          <w:tcPr>
            <w:tcW w:type="dxa" w:w="3200"/>
            <w:tcMar>
              <w:top w:type="dxa" w:w="80"/>
              <w:left w:type="dxa" w:w="100"/>
              <w:bottom w:type="dxa" w:w="80"/>
              <w:right w:type="dxa" w:w="100"/>
            </w:tcMar>
          </w:tcPr>
          <w:p>
            <w:r>
              <w:rPr>
                <w:b w:val="false"/>
                <w:bCs w:val="false"/>
                <w:color w:val="111111"/>
                <w:sz w:val="18"/>
                <w:szCs w:val="18"/>
              </w:rPr>
              <w:t xml:space="preserve">Crecimiento en ventas</w:t>
            </w:r>
          </w:p>
        </w:tc>
        <w:tc>
          <w:tcPr>
            <w:tcW w:type="dxa" w:w="6240"/>
            <w:tcMar>
              <w:top w:type="dxa" w:w="80"/>
              <w:left w:type="dxa" w:w="100"/>
              <w:bottom w:type="dxa" w:w="80"/>
              <w:right w:type="dxa" w:w="100"/>
            </w:tcMar>
          </w:tcPr>
          <w:p>
            <w:r>
              <w:rPr>
                <w:b w:val="false"/>
                <w:bCs w:val="false"/>
                <w:color w:val="111111"/>
                <w:sz w:val="18"/>
                <w:szCs w:val="18"/>
              </w:rPr>
              <w:t xml:space="preserve">Crecer 15% cada año frente al año anterior, en cada país</w:t>
            </w:r>
          </w:p>
        </w:tc>
      </w:tr>
      <w:tr>
        <w:tc>
          <w:tcPr>
            <w:tcW w:type="dxa" w:w="3200"/>
            <w:tcMar>
              <w:top w:type="dxa" w:w="80"/>
              <w:left w:type="dxa" w:w="100"/>
              <w:bottom w:type="dxa" w:w="80"/>
              <w:right w:type="dxa" w:w="100"/>
            </w:tcMar>
          </w:tcPr>
          <w:p>
            <w:r>
              <w:rPr>
                <w:b w:val="false"/>
                <w:bCs w:val="false"/>
                <w:color w:val="111111"/>
                <w:sz w:val="18"/>
                <w:szCs w:val="18"/>
              </w:rPr>
              <w:t xml:space="preserve">Digitalización comercial</w:t>
            </w:r>
          </w:p>
        </w:tc>
        <w:tc>
          <w:tcPr>
            <w:tcW w:type="dxa" w:w="6240"/>
            <w:tcMar>
              <w:top w:type="dxa" w:w="80"/>
              <w:left w:type="dxa" w:w="100"/>
              <w:bottom w:type="dxa" w:w="80"/>
              <w:right w:type="dxa" w:w="100"/>
            </w:tcMar>
          </w:tcPr>
          <w:p>
            <w:r>
              <w:rPr>
                <w:b w:val="false"/>
                <w:bCs w:val="false"/>
                <w:color w:val="111111"/>
                <w:sz w:val="18"/>
                <w:szCs w:val="18"/>
              </w:rPr>
              <w:t xml:space="preserve">Duplicar la participación de canales digitales (App + Redes Sociales) sobre el total de ventas, para 2027</w:t>
            </w:r>
          </w:p>
        </w:tc>
      </w:tr>
      <w:tr>
        <w:tc>
          <w:tcPr>
            <w:tcW w:type="dxa" w:w="3200"/>
            <w:tcMar>
              <w:top w:type="dxa" w:w="80"/>
              <w:left w:type="dxa" w:w="100"/>
              <w:bottom w:type="dxa" w:w="80"/>
              <w:right w:type="dxa" w:w="100"/>
            </w:tcMar>
          </w:tcPr>
          <w:p>
            <w:r>
              <w:rPr>
                <w:b w:val="false"/>
                <w:bCs w:val="false"/>
                <w:color w:val="111111"/>
                <w:sz w:val="18"/>
                <w:szCs w:val="18"/>
              </w:rPr>
              <w:t xml:space="preserve">Disponibilidad de producto</w:t>
            </w:r>
          </w:p>
        </w:tc>
        <w:tc>
          <w:tcPr>
            <w:tcW w:type="dxa" w:w="6240"/>
            <w:tcMar>
              <w:top w:type="dxa" w:w="80"/>
              <w:left w:type="dxa" w:w="100"/>
              <w:bottom w:type="dxa" w:w="80"/>
              <w:right w:type="dxa" w:w="100"/>
            </w:tcMar>
          </w:tcPr>
          <w:p>
            <w:r>
              <w:rPr>
                <w:b w:val="false"/>
                <w:bCs w:val="false"/>
                <w:color w:val="111111"/>
                <w:sz w:val="18"/>
                <w:szCs w:val="18"/>
              </w:rPr>
              <w:t xml:space="preserve">Reducir a menos del 5% el quiebre de stock en categorías de alta rotación (fútbol - calzado)</w:t>
            </w:r>
          </w:p>
        </w:tc>
      </w:tr>
      <w:tr>
        <w:tc>
          <w:tcPr>
            <w:tcW w:type="dxa" w:w="3200"/>
            <w:tcMar>
              <w:top w:type="dxa" w:w="80"/>
              <w:left w:type="dxa" w:w="100"/>
              <w:bottom w:type="dxa" w:w="80"/>
              <w:right w:type="dxa" w:w="100"/>
            </w:tcMar>
          </w:tcPr>
          <w:p>
            <w:r>
              <w:rPr>
                <w:b w:val="false"/>
                <w:bCs w:val="false"/>
                <w:color w:val="111111"/>
                <w:sz w:val="18"/>
                <w:szCs w:val="18"/>
              </w:rPr>
              <w:t xml:space="preserve">Rentabilidad</w:t>
            </w:r>
          </w:p>
        </w:tc>
        <w:tc>
          <w:tcPr>
            <w:tcW w:type="dxa" w:w="6240"/>
            <w:tcMar>
              <w:top w:type="dxa" w:w="80"/>
              <w:left w:type="dxa" w:w="100"/>
              <w:bottom w:type="dxa" w:w="80"/>
              <w:right w:type="dxa" w:w="100"/>
            </w:tcMar>
          </w:tcPr>
          <w:p>
            <w:r>
              <w:rPr>
                <w:b w:val="false"/>
                <w:bCs w:val="false"/>
                <w:color w:val="111111"/>
                <w:sz w:val="18"/>
                <w:szCs w:val="18"/>
              </w:rPr>
              <w:t xml:space="preserve">Aumentar el margen bruto promedio en 3 puntos porcentuales mediante mejor mezcla de categorías y canales</w:t>
            </w:r>
          </w:p>
        </w:tc>
      </w:tr>
    </w:tbl>
    <w:p>
      <w:pPr>
        <w:pStyle w:val="Heading2"/>
        <w:spacing w:after="100" w:before="240"/>
      </w:pPr>
      <w:r>
        <w:rPr>
          <w:b/>
          <w:bCs/>
          <w:color w:val="0B2240"/>
          <w:sz w:val="23"/>
          <w:szCs w:val="23"/>
        </w:rPr>
        <w:t xml:space="preserve">1.4 Estructura de costos (para calcular margen en Unidad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40"/>
      </w:tblGrid>
      <w:tr>
        <w:tc>
          <w:tcPr>
            <w:tcW w:type="dxa" w:w="4700"/>
            <w:shd w:fill="0B2240" w:val="clear"/>
            <w:tcMar>
              <w:top w:type="dxa" w:w="80"/>
              <w:left w:type="dxa" w:w="100"/>
              <w:bottom w:type="dxa" w:w="80"/>
              <w:right w:type="dxa" w:w="100"/>
            </w:tcMar>
          </w:tcPr>
          <w:p>
            <w:r>
              <w:rPr>
                <w:b/>
                <w:bCs/>
                <w:color w:val="FFFFFF"/>
                <w:sz w:val="18"/>
                <w:szCs w:val="18"/>
              </w:rPr>
              <w:t xml:space="preserve">Concepto</w:t>
            </w:r>
          </w:p>
        </w:tc>
        <w:tc>
          <w:tcPr>
            <w:tcW w:type="dxa" w:w="4740"/>
            <w:shd w:fill="0B2240" w:val="clear"/>
            <w:tcMar>
              <w:top w:type="dxa" w:w="80"/>
              <w:left w:type="dxa" w:w="100"/>
              <w:bottom w:type="dxa" w:w="80"/>
              <w:right w:type="dxa" w:w="100"/>
            </w:tcMar>
          </w:tcPr>
          <w:p>
            <w:r>
              <w:rPr>
                <w:b/>
                <w:bCs/>
                <w:color w:val="FFFFFF"/>
                <w:sz w:val="18"/>
                <w:szCs w:val="18"/>
              </w:rPr>
              <w:t xml:space="preserve">Costo estimado</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Fútbol (calzado)</w:t>
            </w:r>
          </w:p>
        </w:tc>
        <w:tc>
          <w:tcPr>
            <w:tcW w:type="dxa" w:w="4740"/>
            <w:tcMar>
              <w:top w:type="dxa" w:w="80"/>
              <w:left w:type="dxa" w:w="100"/>
              <w:bottom w:type="dxa" w:w="80"/>
              <w:right w:type="dxa" w:w="100"/>
            </w:tcMar>
          </w:tcPr>
          <w:p>
            <w:r>
              <w:rPr>
                <w:b w:val="false"/>
                <w:bCs w:val="false"/>
                <w:color w:val="111111"/>
                <w:sz w:val="18"/>
                <w:szCs w:val="18"/>
              </w:rPr>
              <w:t xml:space="preserve">60%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Fútbol (indumentaria)</w:t>
            </w:r>
          </w:p>
        </w:tc>
        <w:tc>
          <w:tcPr>
            <w:tcW w:type="dxa" w:w="4740"/>
            <w:tcMar>
              <w:top w:type="dxa" w:w="80"/>
              <w:left w:type="dxa" w:w="100"/>
              <w:bottom w:type="dxa" w:w="80"/>
              <w:right w:type="dxa" w:w="100"/>
            </w:tcMar>
          </w:tcPr>
          <w:p>
            <w:r>
              <w:rPr>
                <w:b w:val="false"/>
                <w:bCs w:val="false"/>
                <w:color w:val="111111"/>
                <w:sz w:val="18"/>
                <w:szCs w:val="18"/>
              </w:rPr>
              <w:t xml:space="preserve">55%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Camping y Montañismo</w:t>
            </w:r>
          </w:p>
        </w:tc>
        <w:tc>
          <w:tcPr>
            <w:tcW w:type="dxa" w:w="4740"/>
            <w:tcMar>
              <w:top w:type="dxa" w:w="80"/>
              <w:left w:type="dxa" w:w="100"/>
              <w:bottom w:type="dxa" w:w="80"/>
              <w:right w:type="dxa" w:w="100"/>
            </w:tcMar>
          </w:tcPr>
          <w:p>
            <w:r>
              <w:rPr>
                <w:b w:val="false"/>
                <w:bCs w:val="false"/>
                <w:color w:val="111111"/>
                <w:sz w:val="18"/>
                <w:szCs w:val="18"/>
              </w:rPr>
              <w:t xml:space="preserve">58%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Golf</w:t>
            </w:r>
          </w:p>
        </w:tc>
        <w:tc>
          <w:tcPr>
            <w:tcW w:type="dxa" w:w="4740"/>
            <w:tcMar>
              <w:top w:type="dxa" w:w="80"/>
              <w:left w:type="dxa" w:w="100"/>
              <w:bottom w:type="dxa" w:w="80"/>
              <w:right w:type="dxa" w:w="100"/>
            </w:tcMar>
          </w:tcPr>
          <w:p>
            <w:r>
              <w:rPr>
                <w:b w:val="false"/>
                <w:bCs w:val="false"/>
                <w:color w:val="111111"/>
                <w:sz w:val="18"/>
                <w:szCs w:val="18"/>
              </w:rPr>
              <w:t xml:space="preserve">45% del precio de venta (mayor margen)</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Ciclismo</w:t>
            </w:r>
          </w:p>
        </w:tc>
        <w:tc>
          <w:tcPr>
            <w:tcW w:type="dxa" w:w="4740"/>
            <w:tcMar>
              <w:top w:type="dxa" w:w="80"/>
              <w:left w:type="dxa" w:w="100"/>
              <w:bottom w:type="dxa" w:w="80"/>
              <w:right w:type="dxa" w:w="100"/>
            </w:tcMar>
          </w:tcPr>
          <w:p>
            <w:r>
              <w:rPr>
                <w:b w:val="false"/>
                <w:bCs w:val="false"/>
                <w:color w:val="111111"/>
                <w:sz w:val="18"/>
                <w:szCs w:val="18"/>
              </w:rPr>
              <w:t xml:space="preserve">55%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Cuidado y Protección Outdoor</w:t>
            </w:r>
          </w:p>
        </w:tc>
        <w:tc>
          <w:tcPr>
            <w:tcW w:type="dxa" w:w="4740"/>
            <w:tcMar>
              <w:top w:type="dxa" w:w="80"/>
              <w:left w:type="dxa" w:w="100"/>
              <w:bottom w:type="dxa" w:w="80"/>
              <w:right w:type="dxa" w:w="100"/>
            </w:tcMar>
          </w:tcPr>
          <w:p>
            <w:r>
              <w:rPr>
                <w:b w:val="false"/>
                <w:bCs w:val="false"/>
                <w:color w:val="111111"/>
                <w:sz w:val="18"/>
                <w:szCs w:val="18"/>
              </w:rPr>
              <w:t xml:space="preserve">50%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Costo de mercancía — Ropa y Accesorios Deportivos</w:t>
            </w:r>
          </w:p>
        </w:tc>
        <w:tc>
          <w:tcPr>
            <w:tcW w:type="dxa" w:w="4740"/>
            <w:tcMar>
              <w:top w:type="dxa" w:w="80"/>
              <w:left w:type="dxa" w:w="100"/>
              <w:bottom w:type="dxa" w:w="80"/>
              <w:right w:type="dxa" w:w="100"/>
            </w:tcMar>
          </w:tcPr>
          <w:p>
            <w:r>
              <w:rPr>
                <w:b w:val="false"/>
                <w:bCs w:val="false"/>
                <w:color w:val="111111"/>
                <w:sz w:val="18"/>
                <w:szCs w:val="18"/>
              </w:rPr>
              <w:t xml:space="preserve">52% del precio de venta</w:t>
            </w:r>
          </w:p>
        </w:tc>
      </w:tr>
      <w:tr>
        <w:tc>
          <w:tcPr>
            <w:tcW w:type="dxa" w:w="4700"/>
            <w:tcMar>
              <w:top w:type="dxa" w:w="80"/>
              <w:left w:type="dxa" w:w="100"/>
              <w:bottom w:type="dxa" w:w="80"/>
              <w:right w:type="dxa" w:w="100"/>
            </w:tcMar>
          </w:tcPr>
          <w:p>
            <w:r>
              <w:rPr>
                <w:b w:val="false"/>
                <w:bCs w:val="false"/>
                <w:color w:val="111111"/>
                <w:sz w:val="18"/>
                <w:szCs w:val="18"/>
              </w:rPr>
              <w:t xml:space="preserve">Gasto operativo — Punto de Venta</w:t>
            </w:r>
          </w:p>
        </w:tc>
        <w:tc>
          <w:tcPr>
            <w:tcW w:type="dxa" w:w="4740"/>
            <w:tcMar>
              <w:top w:type="dxa" w:w="80"/>
              <w:left w:type="dxa" w:w="100"/>
              <w:bottom w:type="dxa" w:w="80"/>
              <w:right w:type="dxa" w:w="100"/>
            </w:tcMar>
          </w:tcPr>
          <w:p>
            <w:r>
              <w:rPr>
                <w:b w:val="false"/>
                <w:bCs w:val="false"/>
                <w:color w:val="111111"/>
                <w:sz w:val="18"/>
                <w:szCs w:val="18"/>
              </w:rPr>
              <w:t xml:space="preserve">18% de la venta</w:t>
            </w:r>
          </w:p>
        </w:tc>
      </w:tr>
      <w:tr>
        <w:tc>
          <w:tcPr>
            <w:tcW w:type="dxa" w:w="4700"/>
            <w:tcMar>
              <w:top w:type="dxa" w:w="80"/>
              <w:left w:type="dxa" w:w="100"/>
              <w:bottom w:type="dxa" w:w="80"/>
              <w:right w:type="dxa" w:w="100"/>
            </w:tcMar>
          </w:tcPr>
          <w:p>
            <w:r>
              <w:rPr>
                <w:b w:val="false"/>
                <w:bCs w:val="false"/>
                <w:color w:val="111111"/>
                <w:sz w:val="18"/>
                <w:szCs w:val="18"/>
              </w:rPr>
              <w:t xml:space="preserve">Gasto operativo — Teléfono</w:t>
            </w:r>
          </w:p>
        </w:tc>
        <w:tc>
          <w:tcPr>
            <w:tcW w:type="dxa" w:w="4740"/>
            <w:tcMar>
              <w:top w:type="dxa" w:w="80"/>
              <w:left w:type="dxa" w:w="100"/>
              <w:bottom w:type="dxa" w:w="80"/>
              <w:right w:type="dxa" w:w="100"/>
            </w:tcMar>
          </w:tcPr>
          <w:p>
            <w:r>
              <w:rPr>
                <w:b w:val="false"/>
                <w:bCs w:val="false"/>
                <w:color w:val="111111"/>
                <w:sz w:val="18"/>
                <w:szCs w:val="18"/>
              </w:rPr>
              <w:t xml:space="preserve">12% de la venta</w:t>
            </w:r>
          </w:p>
        </w:tc>
      </w:tr>
      <w:tr>
        <w:tc>
          <w:tcPr>
            <w:tcW w:type="dxa" w:w="4700"/>
            <w:tcMar>
              <w:top w:type="dxa" w:w="80"/>
              <w:left w:type="dxa" w:w="100"/>
              <w:bottom w:type="dxa" w:w="80"/>
              <w:right w:type="dxa" w:w="100"/>
            </w:tcMar>
          </w:tcPr>
          <w:p>
            <w:r>
              <w:rPr>
                <w:b w:val="false"/>
                <w:bCs w:val="false"/>
                <w:color w:val="111111"/>
                <w:sz w:val="18"/>
                <w:szCs w:val="18"/>
              </w:rPr>
              <w:t xml:space="preserve">Gasto operativo — Redes Sociales</w:t>
            </w:r>
          </w:p>
        </w:tc>
        <w:tc>
          <w:tcPr>
            <w:tcW w:type="dxa" w:w="4740"/>
            <w:tcMar>
              <w:top w:type="dxa" w:w="80"/>
              <w:left w:type="dxa" w:w="100"/>
              <w:bottom w:type="dxa" w:w="80"/>
              <w:right w:type="dxa" w:w="100"/>
            </w:tcMar>
          </w:tcPr>
          <w:p>
            <w:r>
              <w:rPr>
                <w:b w:val="false"/>
                <w:bCs w:val="false"/>
                <w:color w:val="111111"/>
                <w:sz w:val="18"/>
                <w:szCs w:val="18"/>
              </w:rPr>
              <w:t xml:space="preserve">8% de la venta</w:t>
            </w:r>
          </w:p>
        </w:tc>
      </w:tr>
      <w:tr>
        <w:tc>
          <w:tcPr>
            <w:tcW w:type="dxa" w:w="4700"/>
            <w:tcMar>
              <w:top w:type="dxa" w:w="80"/>
              <w:left w:type="dxa" w:w="100"/>
              <w:bottom w:type="dxa" w:w="80"/>
              <w:right w:type="dxa" w:w="100"/>
            </w:tcMar>
          </w:tcPr>
          <w:p>
            <w:r>
              <w:rPr>
                <w:b w:val="false"/>
                <w:bCs w:val="false"/>
                <w:color w:val="111111"/>
                <w:sz w:val="18"/>
                <w:szCs w:val="18"/>
              </w:rPr>
              <w:t xml:space="preserve">Gasto operativo — App</w:t>
            </w:r>
          </w:p>
        </w:tc>
        <w:tc>
          <w:tcPr>
            <w:tcW w:type="dxa" w:w="4740"/>
            <w:tcMar>
              <w:top w:type="dxa" w:w="80"/>
              <w:left w:type="dxa" w:w="100"/>
              <w:bottom w:type="dxa" w:w="80"/>
              <w:right w:type="dxa" w:w="100"/>
            </w:tcMar>
          </w:tcPr>
          <w:p>
            <w:r>
              <w:rPr>
                <w:b w:val="false"/>
                <w:bCs w:val="false"/>
                <w:color w:val="111111"/>
                <w:sz w:val="18"/>
                <w:szCs w:val="18"/>
              </w:rPr>
              <w:t xml:space="preserve">6% de la venta (canal más eficiente)</w:t>
            </w:r>
          </w:p>
        </w:tc>
      </w:tr>
      <w:tr>
        <w:tc>
          <w:tcPr>
            <w:tcW w:type="dxa" w:w="4700"/>
            <w:tcMar>
              <w:top w:type="dxa" w:w="80"/>
              <w:left w:type="dxa" w:w="100"/>
              <w:bottom w:type="dxa" w:w="80"/>
              <w:right w:type="dxa" w:w="100"/>
            </w:tcMar>
          </w:tcPr>
          <w:p>
            <w:r>
              <w:rPr>
                <w:b w:val="false"/>
                <w:bCs w:val="false"/>
                <w:color w:val="111111"/>
                <w:sz w:val="18"/>
                <w:szCs w:val="18"/>
              </w:rPr>
              <w:t xml:space="preserve">Comisión gerentes comerciales</w:t>
            </w:r>
          </w:p>
        </w:tc>
        <w:tc>
          <w:tcPr>
            <w:tcW w:type="dxa" w:w="4740"/>
            <w:tcMar>
              <w:top w:type="dxa" w:w="80"/>
              <w:left w:type="dxa" w:w="100"/>
              <w:bottom w:type="dxa" w:w="80"/>
              <w:right w:type="dxa" w:w="100"/>
            </w:tcMar>
          </w:tcPr>
          <w:p>
            <w:r>
              <w:rPr>
                <w:b w:val="false"/>
                <w:bCs w:val="false"/>
                <w:color w:val="111111"/>
                <w:sz w:val="18"/>
                <w:szCs w:val="18"/>
              </w:rPr>
              <w:t xml:space="preserve">3% sobre ventas, todos los canales</w:t>
            </w:r>
          </w:p>
        </w:tc>
      </w:tr>
    </w:tbl>
    <w:p>
      <w:pPr>
        <w:pStyle w:val="Heading2"/>
        <w:spacing w:after="100" w:before="240"/>
      </w:pPr>
      <w:r>
        <w:rPr>
          <w:b/>
          <w:bCs/>
          <w:color w:val="0B2240"/>
          <w:sz w:val="23"/>
          <w:szCs w:val="23"/>
        </w:rPr>
        <w:t xml:space="preserve">1.5 Los 7 gerentes comerciales (columna VENDEDOR)</w:t>
      </w:r>
    </w:p>
    <w:p>
      <w:pPr>
        <w:spacing w:after="150" w:line="300"/>
        <w:jc w:val="both"/>
      </w:pPr>
      <w:r>
        <w:rPr>
          <w:sz w:val="21"/>
          <w:szCs w:val="21"/>
        </w:rPr>
        <w:t xml:space="preserve">La columna VENDEDOR no representa vendedores individuales de mostrador, sino a los gerentes comerciales que consolidan y registran las ventas de su zona o canal: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Gerente comercial</w:t>
            </w:r>
          </w:p>
        </w:tc>
        <w:tc>
          <w:tcPr>
            <w:tcW w:type="dxa" w:w="6240"/>
            <w:shd w:fill="0B2240" w:val="clear"/>
            <w:tcMar>
              <w:top w:type="dxa" w:w="80"/>
              <w:left w:type="dxa" w:w="100"/>
              <w:bottom w:type="dxa" w:w="80"/>
              <w:right w:type="dxa" w:w="100"/>
            </w:tcMar>
          </w:tcPr>
          <w:p>
            <w:r>
              <w:rPr>
                <w:b/>
                <w:bCs/>
                <w:color w:val="FFFFFF"/>
                <w:sz w:val="18"/>
                <w:szCs w:val="18"/>
              </w:rPr>
              <w:t xml:space="preserve">Responsabilidad</w:t>
            </w:r>
          </w:p>
        </w:tc>
      </w:tr>
      <w:tr>
        <w:tc>
          <w:tcPr>
            <w:tcW w:type="dxa" w:w="3200"/>
            <w:tcMar>
              <w:top w:type="dxa" w:w="80"/>
              <w:left w:type="dxa" w:w="100"/>
              <w:bottom w:type="dxa" w:w="80"/>
              <w:right w:type="dxa" w:w="100"/>
            </w:tcMar>
          </w:tcPr>
          <w:p>
            <w:r>
              <w:rPr>
                <w:b w:val="false"/>
                <w:bCs w:val="false"/>
                <w:color w:val="111111"/>
                <w:sz w:val="18"/>
                <w:szCs w:val="18"/>
              </w:rPr>
              <w:t xml:space="preserve">Lidia Bueno</w:t>
            </w:r>
          </w:p>
        </w:tc>
        <w:tc>
          <w:tcPr>
            <w:tcW w:type="dxa" w:w="6240"/>
            <w:tcMar>
              <w:top w:type="dxa" w:w="80"/>
              <w:left w:type="dxa" w:w="100"/>
              <w:bottom w:type="dxa" w:w="80"/>
              <w:right w:type="dxa" w:w="100"/>
            </w:tcMar>
          </w:tcPr>
          <w:p>
            <w:r>
              <w:rPr>
                <w:b w:val="false"/>
                <w:bCs w:val="false"/>
                <w:color w:val="111111"/>
                <w:sz w:val="18"/>
                <w:szCs w:val="18"/>
              </w:rPr>
              <w:t xml:space="preserve">Región Norte: México, Guatemala, Honduras, Nicaragua</w:t>
            </w:r>
          </w:p>
        </w:tc>
      </w:tr>
      <w:tr>
        <w:tc>
          <w:tcPr>
            <w:tcW w:type="dxa" w:w="3200"/>
            <w:tcMar>
              <w:top w:type="dxa" w:w="80"/>
              <w:left w:type="dxa" w:w="100"/>
              <w:bottom w:type="dxa" w:w="80"/>
              <w:right w:type="dxa" w:w="100"/>
            </w:tcMar>
          </w:tcPr>
          <w:p>
            <w:r>
              <w:rPr>
                <w:b w:val="false"/>
                <w:bCs w:val="false"/>
                <w:color w:val="111111"/>
                <w:sz w:val="18"/>
                <w:szCs w:val="18"/>
              </w:rPr>
              <w:t xml:space="preserve">Viviana Cano</w:t>
            </w:r>
          </w:p>
        </w:tc>
        <w:tc>
          <w:tcPr>
            <w:tcW w:type="dxa" w:w="6240"/>
            <w:tcMar>
              <w:top w:type="dxa" w:w="80"/>
              <w:left w:type="dxa" w:w="100"/>
              <w:bottom w:type="dxa" w:w="80"/>
              <w:right w:type="dxa" w:w="100"/>
            </w:tcMar>
          </w:tcPr>
          <w:p>
            <w:r>
              <w:rPr>
                <w:b w:val="false"/>
                <w:bCs w:val="false"/>
                <w:color w:val="111111"/>
                <w:sz w:val="18"/>
                <w:szCs w:val="18"/>
              </w:rPr>
              <w:t xml:space="preserve">Región Andina: Ecuador, Colombia, Perú</w:t>
            </w:r>
          </w:p>
        </w:tc>
      </w:tr>
      <w:tr>
        <w:tc>
          <w:tcPr>
            <w:tcW w:type="dxa" w:w="3200"/>
            <w:tcMar>
              <w:top w:type="dxa" w:w="80"/>
              <w:left w:type="dxa" w:w="100"/>
              <w:bottom w:type="dxa" w:w="80"/>
              <w:right w:type="dxa" w:w="100"/>
            </w:tcMar>
          </w:tcPr>
          <w:p>
            <w:r>
              <w:rPr>
                <w:b w:val="false"/>
                <w:bCs w:val="false"/>
                <w:color w:val="111111"/>
                <w:sz w:val="18"/>
                <w:szCs w:val="18"/>
              </w:rPr>
              <w:t xml:space="preserve">Hernando Portilla</w:t>
            </w:r>
          </w:p>
        </w:tc>
        <w:tc>
          <w:tcPr>
            <w:tcW w:type="dxa" w:w="6240"/>
            <w:tcMar>
              <w:top w:type="dxa" w:w="80"/>
              <w:left w:type="dxa" w:w="100"/>
              <w:bottom w:type="dxa" w:w="80"/>
              <w:right w:type="dxa" w:w="100"/>
            </w:tcMar>
          </w:tcPr>
          <w:p>
            <w:r>
              <w:rPr>
                <w:b w:val="false"/>
                <w:bCs w:val="false"/>
                <w:color w:val="111111"/>
                <w:sz w:val="18"/>
                <w:szCs w:val="18"/>
              </w:rPr>
              <w:t xml:space="preserve">Centroamérica y Panamá</w:t>
            </w:r>
          </w:p>
        </w:tc>
      </w:tr>
      <w:tr>
        <w:tc>
          <w:tcPr>
            <w:tcW w:type="dxa" w:w="3200"/>
            <w:tcMar>
              <w:top w:type="dxa" w:w="80"/>
              <w:left w:type="dxa" w:w="100"/>
              <w:bottom w:type="dxa" w:w="80"/>
              <w:right w:type="dxa" w:w="100"/>
            </w:tcMar>
          </w:tcPr>
          <w:p>
            <w:r>
              <w:rPr>
                <w:b w:val="false"/>
                <w:bCs w:val="false"/>
                <w:color w:val="111111"/>
                <w:sz w:val="18"/>
                <w:szCs w:val="18"/>
              </w:rPr>
              <w:t xml:space="preserve">Patricia Angarita</w:t>
            </w:r>
          </w:p>
        </w:tc>
        <w:tc>
          <w:tcPr>
            <w:tcW w:type="dxa" w:w="6240"/>
            <w:tcMar>
              <w:top w:type="dxa" w:w="80"/>
              <w:left w:type="dxa" w:w="100"/>
              <w:bottom w:type="dxa" w:w="80"/>
              <w:right w:type="dxa" w:w="100"/>
            </w:tcMar>
          </w:tcPr>
          <w:p>
            <w:r>
              <w:rPr>
                <w:b w:val="false"/>
                <w:bCs w:val="false"/>
                <w:color w:val="111111"/>
                <w:sz w:val="18"/>
                <w:szCs w:val="18"/>
              </w:rPr>
              <w:t xml:space="preserve">Canal Digital: Redes Sociales y App</w:t>
            </w:r>
          </w:p>
        </w:tc>
      </w:tr>
      <w:tr>
        <w:tc>
          <w:tcPr>
            <w:tcW w:type="dxa" w:w="3200"/>
            <w:tcMar>
              <w:top w:type="dxa" w:w="80"/>
              <w:left w:type="dxa" w:w="100"/>
              <w:bottom w:type="dxa" w:w="80"/>
              <w:right w:type="dxa" w:w="100"/>
            </w:tcMar>
          </w:tcPr>
          <w:p>
            <w:r>
              <w:rPr>
                <w:b w:val="false"/>
                <w:bCs w:val="false"/>
                <w:color w:val="111111"/>
                <w:sz w:val="18"/>
                <w:szCs w:val="18"/>
              </w:rPr>
              <w:t xml:space="preserve">Bernardo Cifuentes</w:t>
            </w:r>
          </w:p>
        </w:tc>
        <w:tc>
          <w:tcPr>
            <w:tcW w:type="dxa" w:w="6240"/>
            <w:tcMar>
              <w:top w:type="dxa" w:w="80"/>
              <w:left w:type="dxa" w:w="100"/>
              <w:bottom w:type="dxa" w:w="80"/>
              <w:right w:type="dxa" w:w="100"/>
            </w:tcMar>
          </w:tcPr>
          <w:p>
            <w:r>
              <w:rPr>
                <w:b w:val="false"/>
                <w:bCs w:val="false"/>
                <w:color w:val="111111"/>
                <w:sz w:val="18"/>
                <w:szCs w:val="18"/>
              </w:rPr>
              <w:t xml:space="preserve">Canal Punto de Venta</w:t>
            </w:r>
          </w:p>
        </w:tc>
      </w:tr>
      <w:tr>
        <w:tc>
          <w:tcPr>
            <w:tcW w:type="dxa" w:w="3200"/>
            <w:tcMar>
              <w:top w:type="dxa" w:w="80"/>
              <w:left w:type="dxa" w:w="100"/>
              <w:bottom w:type="dxa" w:w="80"/>
              <w:right w:type="dxa" w:w="100"/>
            </w:tcMar>
          </w:tcPr>
          <w:p>
            <w:r>
              <w:rPr>
                <w:b w:val="false"/>
                <w:bCs w:val="false"/>
                <w:color w:val="111111"/>
                <w:sz w:val="18"/>
                <w:szCs w:val="18"/>
              </w:rPr>
              <w:t xml:space="preserve">Guillermo Benavides</w:t>
            </w:r>
          </w:p>
        </w:tc>
        <w:tc>
          <w:tcPr>
            <w:tcW w:type="dxa" w:w="6240"/>
            <w:tcMar>
              <w:top w:type="dxa" w:w="80"/>
              <w:left w:type="dxa" w:w="100"/>
              <w:bottom w:type="dxa" w:w="80"/>
              <w:right w:type="dxa" w:w="100"/>
            </w:tcMar>
          </w:tcPr>
          <w:p>
            <w:r>
              <w:rPr>
                <w:b w:val="false"/>
                <w:bCs w:val="false"/>
                <w:color w:val="111111"/>
                <w:sz w:val="18"/>
                <w:szCs w:val="18"/>
              </w:rPr>
              <w:t xml:space="preserve">Canal Telefónico (Call Center)</w:t>
            </w:r>
          </w:p>
        </w:tc>
      </w:tr>
      <w:tr>
        <w:tc>
          <w:tcPr>
            <w:tcW w:type="dxa" w:w="3200"/>
            <w:tcMar>
              <w:top w:type="dxa" w:w="80"/>
              <w:left w:type="dxa" w:w="100"/>
              <w:bottom w:type="dxa" w:w="80"/>
              <w:right w:type="dxa" w:w="100"/>
            </w:tcMar>
          </w:tcPr>
          <w:p>
            <w:r>
              <w:rPr>
                <w:b w:val="false"/>
                <w:bCs w:val="false"/>
                <w:color w:val="111111"/>
                <w:sz w:val="18"/>
                <w:szCs w:val="18"/>
              </w:rPr>
              <w:t xml:space="preserve">Armando Casas</w:t>
            </w:r>
          </w:p>
        </w:tc>
        <w:tc>
          <w:tcPr>
            <w:tcW w:type="dxa" w:w="6240"/>
            <w:tcMar>
              <w:top w:type="dxa" w:w="80"/>
              <w:left w:type="dxa" w:w="100"/>
              <w:bottom w:type="dxa" w:w="80"/>
              <w:right w:type="dxa" w:w="100"/>
            </w:tcMar>
          </w:tcPr>
          <w:p>
            <w:r>
              <w:rPr>
                <w:b w:val="false"/>
                <w:bCs w:val="false"/>
                <w:color w:val="111111"/>
                <w:sz w:val="18"/>
                <w:szCs w:val="18"/>
              </w:rPr>
              <w:t xml:space="preserve">Gerente comercial junior — cuentas nuevas</w:t>
            </w:r>
          </w:p>
        </w:tc>
      </w:tr>
    </w:tbl>
    <w:p>
      <w:pPr>
        <w:pStyle w:val="Heading2"/>
        <w:spacing w:after="100" w:before="240"/>
      </w:pPr>
      <w:r>
        <w:rPr>
          <w:b/>
          <w:bCs/>
          <w:color w:val="0B2240"/>
          <w:sz w:val="23"/>
          <w:szCs w:val="23"/>
        </w:rPr>
        <w:t xml:space="preserve">1.6 Principales retos operativos</w:t>
      </w:r>
    </w:p>
    <w:p>
      <w:pPr>
        <w:pStyle w:val="ListParagraph"/>
        <w:numPr>
          <w:ilvl w:val="0"/>
          <w:numId w:val="1"/>
        </w:numPr>
        <w:spacing w:after="80" w:line="280"/>
      </w:pPr>
      <w:r>
        <w:rPr>
          <w:sz w:val="21"/>
          <w:szCs w:val="21"/>
        </w:rPr>
        <w:t xml:space="preserve">Reto 1 — Visión fragmentada por país y canal: cada gerente comercial reporta en su propio Excel; no existe panorama único.</w:t>
      </w:r>
    </w:p>
    <w:p>
      <w:pPr>
        <w:pStyle w:val="ListParagraph"/>
        <w:numPr>
          <w:ilvl w:val="0"/>
          <w:numId w:val="1"/>
        </w:numPr>
        <w:spacing w:after="80" w:line="280"/>
      </w:pPr>
      <w:r>
        <w:rPr>
          <w:sz w:val="21"/>
          <w:szCs w:val="21"/>
        </w:rPr>
        <w:t xml:space="preserve">Reto 2 — No se sabe qué canal realmente vende más: nadie ha comparado sistemáticamente punto de venta, teléfono, redes sociales y app.</w:t>
      </w:r>
    </w:p>
    <w:p>
      <w:pPr>
        <w:pStyle w:val="ListParagraph"/>
        <w:numPr>
          <w:ilvl w:val="0"/>
          <w:numId w:val="1"/>
        </w:numPr>
        <w:spacing w:after="80" w:line="280"/>
      </w:pPr>
      <w:r>
        <w:rPr>
          <w:sz w:val="21"/>
          <w:szCs w:val="21"/>
        </w:rPr>
        <w:t xml:space="preserve">Reto 3 — Quiebres de stock sin alerta temprana: categorías de alta rotación (calzado de fútbol) se desabastecen sin que el equipo lo detecte a tiempo.</w:t>
      </w:r>
    </w:p>
    <w:p>
      <w:pPr>
        <w:pStyle w:val="ListParagraph"/>
        <w:numPr>
          <w:ilvl w:val="0"/>
          <w:numId w:val="1"/>
        </w:numPr>
        <w:spacing w:after="80" w:line="280"/>
      </w:pPr>
      <w:r>
        <w:rPr>
          <w:sz w:val="21"/>
          <w:szCs w:val="21"/>
        </w:rPr>
        <w:t xml:space="preserve">Reto 4 — Consolidación financiera lenta: Finanzas tarda varios días en consolidar ventas y rentabilidad de los 8 países.</w:t>
      </w:r>
    </w:p>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Por qué esto importa para Unidad 1</w:t>
            </w:r>
          </w:p>
          <w:p>
            <w:pPr>
              <w:spacing w:after="0"/>
            </w:pPr>
            <w:r>
              <w:rPr>
                <w:sz w:val="20"/>
                <w:szCs w:val="20"/>
              </w:rPr>
              <w:t xml:space="preserve">Antes de que Power BI pueda resolver estos 4 retos en las Unidades 2-3, los datos que los van a responder deben ser confiables. Ese es exactamente el trabajo de Unidad 1: sin ingesta defensiva, sin tratamiento de nulos/duplicados/outliers, cualquier conclusión sobre estos retos estaría construida sobre una base rota — un dashboard bonito con datos sucios sigue dando decisiones equivocadas.</w:t>
            </w:r>
          </w:p>
        </w:tc>
      </w:tr>
    </w:tbl>
    <w:p>
      <w:pPr>
        <w:pStyle w:val="Heading1"/>
        <w:pBdr>
          <w:bottom w:val="single" w:color="0B2240" w:sz="6" w:space="4"/>
        </w:pBdr>
        <w:spacing w:after="140" w:before="320"/>
      </w:pPr>
      <w:r>
        <w:rPr>
          <w:b/>
          <w:bCs/>
          <w:color w:val="0B2240"/>
          <w:sz w:val="28"/>
          <w:szCs w:val="28"/>
        </w:rPr>
        <w:t xml:space="preserve">2. Objetivos del sistema de datos y reportes</w:t>
      </w:r>
    </w:p>
    <w:p>
      <w:pPr>
        <w:pStyle w:val="ListParagraph"/>
        <w:numPr>
          <w:ilvl w:val="0"/>
          <w:numId w:val="1"/>
        </w:numPr>
        <w:spacing w:after="80" w:line="280"/>
      </w:pPr>
      <w:r>
        <w:rPr>
          <w:sz w:val="21"/>
          <w:szCs w:val="21"/>
        </w:rPr>
        <w:t xml:space="preserve">Consolidar la información fragmentada de los 8 países y 4 canales en un único pipeline de datos confiable (Unidad 1) y un dashboard integrado (Unidades 2-3).</w:t>
      </w:r>
    </w:p>
    <w:p>
      <w:pPr>
        <w:pStyle w:val="ListParagraph"/>
        <w:numPr>
          <w:ilvl w:val="0"/>
          <w:numId w:val="1"/>
        </w:numPr>
        <w:spacing w:after="80" w:line="280"/>
      </w:pPr>
      <w:r>
        <w:rPr>
          <w:sz w:val="21"/>
          <w:szCs w:val="21"/>
        </w:rPr>
        <w:t xml:space="preserve">Determinar objetivamente qué canal y qué país tienen mejor desempeño, en vez de depender de percepciones de cada gerente comercial.</w:t>
      </w:r>
    </w:p>
    <w:p>
      <w:pPr>
        <w:pStyle w:val="ListParagraph"/>
        <w:numPr>
          <w:ilvl w:val="0"/>
          <w:numId w:val="1"/>
        </w:numPr>
        <w:spacing w:after="80" w:line="280"/>
      </w:pPr>
      <w:r>
        <w:rPr>
          <w:sz w:val="21"/>
          <w:szCs w:val="21"/>
        </w:rPr>
        <w:t xml:space="preserve">Detectar a tiempo quiebres de stock en categorías de alta rotación, cruzando ventas con el catálogo de productos.</w:t>
      </w:r>
    </w:p>
    <w:p>
      <w:pPr>
        <w:pStyle w:val="ListParagraph"/>
        <w:numPr>
          <w:ilvl w:val="0"/>
          <w:numId w:val="1"/>
        </w:numPr>
        <w:spacing w:after="80" w:line="280"/>
      </w:pPr>
      <w:r>
        <w:rPr>
          <w:sz w:val="21"/>
          <w:szCs w:val="21"/>
        </w:rPr>
        <w:t xml:space="preserve">Medir el cumplimiento real de los 4 objetivos estratégicos (crecimiento, digitalización, disponibilidad, rentabilidad) con datos, no con estimaciones.</w:t>
      </w:r>
    </w:p>
    <w:p>
      <w:pPr>
        <w:pStyle w:val="ListParagraph"/>
        <w:numPr>
          <w:ilvl w:val="0"/>
          <w:numId w:val="1"/>
        </w:numPr>
        <w:spacing w:after="80" w:line="280"/>
      </w:pPr>
      <w:r>
        <w:rPr>
          <w:sz w:val="21"/>
          <w:szCs w:val="21"/>
        </w:rPr>
        <w:t xml:space="preserve">Reducir de días a minutos el tiempo de consolidación financiera entre los 8 países.</w:t>
      </w:r>
    </w:p>
    <w:p>
      <w:pPr>
        <w:pStyle w:val="Heading1"/>
        <w:pBdr>
          <w:bottom w:val="single" w:color="0B2240" w:sz="6" w:space="4"/>
        </w:pBdr>
        <w:spacing w:after="140" w:before="320"/>
      </w:pPr>
      <w:r>
        <w:rPr>
          <w:b/>
          <w:bCs/>
          <w:color w:val="0B2240"/>
          <w:sz w:val="28"/>
          <w:szCs w:val="28"/>
        </w:rPr>
        <w:t xml:space="preserve">3. Banco de preguntas de negocio</w:t>
      </w:r>
    </w:p>
    <w:p>
      <w:pPr>
        <w:spacing w:after="150" w:line="300"/>
        <w:jc w:val="both"/>
      </w:pPr>
      <w:r>
        <w:rPr>
          <w:sz w:val="21"/>
          <w:szCs w:val="21"/>
        </w:rPr>
        <w:t xml:space="preserve">Organizado según los 4 objetivos estratégicos reales de la empresa (sección 1.3) y los 4 retos operativos (sección 1.6). Cada semana de este curso cita explícitamente a cuál de estas preguntas contribuye — la secuencia siempre es Objetivo → Pregunta → Variables necesarias → (Unidad 3) Medida DAX → Visualización.</w:t>
      </w:r>
    </w:p>
    <w:p>
      <w:pPr>
        <w:pStyle w:val="Heading2"/>
        <w:spacing w:after="100" w:before="240"/>
      </w:pPr>
      <w:r>
        <w:rPr>
          <w:b/>
          <w:bCs/>
          <w:color w:val="0B2240"/>
          <w:sz w:val="23"/>
          <w:szCs w:val="23"/>
        </w:rPr>
        <w:t xml:space="preserve">3.1 Preguntas descriptivas (qué pasó) — apoyadas por el pipeline de Unidad 1</w:t>
      </w:r>
    </w:p>
    <w:p>
      <w:pPr>
        <w:pStyle w:val="ListParagraph"/>
        <w:numPr>
          <w:ilvl w:val="0"/>
          <w:numId w:val="1"/>
        </w:numPr>
        <w:spacing w:after="80" w:line="280"/>
      </w:pPr>
      <w:r>
        <w:rPr>
          <w:sz w:val="21"/>
          <w:szCs w:val="21"/>
        </w:rPr>
        <w:t xml:space="preserve">¿Cuántas transacciones y qué monto total de ventas se registraron, y cómo se distribuyen por país y canal?</w:t>
      </w:r>
    </w:p>
    <w:p>
      <w:pPr>
        <w:pStyle w:val="ListParagraph"/>
        <w:numPr>
          <w:ilvl w:val="0"/>
          <w:numId w:val="1"/>
        </w:numPr>
        <w:spacing w:after="80" w:line="280"/>
      </w:pPr>
      <w:r>
        <w:rPr>
          <w:sz w:val="21"/>
          <w:szCs w:val="21"/>
        </w:rPr>
        <w:t xml:space="preserve">¿Cuál es el producto/categoría con mayor volumen de ventas?</w:t>
      </w:r>
    </w:p>
    <w:p>
      <w:pPr>
        <w:pStyle w:val="ListParagraph"/>
        <w:numPr>
          <w:ilvl w:val="0"/>
          <w:numId w:val="1"/>
        </w:numPr>
        <w:spacing w:after="80" w:line="280"/>
      </w:pPr>
      <w:r>
        <w:rPr>
          <w:sz w:val="21"/>
          <w:szCs w:val="21"/>
        </w:rPr>
        <w:t xml:space="preserve">¿Qué porcentaje de las transacciones tuvo algún problema de calidad de datos (nulos, duplicados, valores atípicos) antes de la limpieza de Unidad 1?</w:t>
      </w:r>
    </w:p>
    <w:p>
      <w:pPr>
        <w:pStyle w:val="Heading2"/>
        <w:spacing w:after="100" w:before="240"/>
      </w:pPr>
      <w:r>
        <w:rPr>
          <w:b/>
          <w:bCs/>
          <w:color w:val="0B2240"/>
          <w:sz w:val="23"/>
          <w:szCs w:val="23"/>
        </w:rPr>
        <w:t xml:space="preserve">3.2 Preguntas diagnósticas (por qué pasó) — Unidad 2-3, objetivo Crecimiento y Digitalización</w:t>
      </w:r>
    </w:p>
    <w:p>
      <w:pPr>
        <w:pStyle w:val="ListParagraph"/>
        <w:numPr>
          <w:ilvl w:val="0"/>
          <w:numId w:val="1"/>
        </w:numPr>
        <w:spacing w:after="80" w:line="280"/>
      </w:pPr>
      <w:r>
        <w:rPr>
          <w:sz w:val="21"/>
          <w:szCs w:val="21"/>
        </w:rPr>
        <w:t xml:space="preserve">¿El crecimiento real de ventas por país cumple la meta del 15% anual? (requiere Dim_Calendario + PREVIOUSYEAR)</w:t>
      </w:r>
    </w:p>
    <w:p>
      <w:pPr>
        <w:pStyle w:val="ListParagraph"/>
        <w:numPr>
          <w:ilvl w:val="0"/>
          <w:numId w:val="1"/>
        </w:numPr>
        <w:spacing w:after="80" w:line="280"/>
      </w:pPr>
      <w:r>
        <w:rPr>
          <w:sz w:val="21"/>
          <w:szCs w:val="21"/>
        </w:rPr>
        <w:t xml:space="preserve">¿Qué canal ha crecido más rápido desde su lanzamiento — coincide con la meta de duplicar la participación digital para 2027?</w:t>
      </w:r>
    </w:p>
    <w:p>
      <w:pPr>
        <w:pStyle w:val="ListParagraph"/>
        <w:numPr>
          <w:ilvl w:val="0"/>
          <w:numId w:val="1"/>
        </w:numPr>
        <w:spacing w:after="80" w:line="280"/>
      </w:pPr>
      <w:r>
        <w:rPr>
          <w:sz w:val="21"/>
          <w:szCs w:val="21"/>
        </w:rPr>
        <w:t xml:space="preserve">¿Los países con menor crecimiento comparten alguna característica en común (canal predominante, categoría más vendida)?</w:t>
      </w:r>
    </w:p>
    <w:p>
      <w:pPr>
        <w:pStyle w:val="Heading2"/>
        <w:spacing w:after="100" w:before="240"/>
      </w:pPr>
      <w:r>
        <w:rPr>
          <w:b/>
          <w:bCs/>
          <w:color w:val="0B2240"/>
          <w:sz w:val="23"/>
          <w:szCs w:val="23"/>
        </w:rPr>
        <w:t xml:space="preserve">3.3 Preguntas de rentabilidad y stock — objetivo Rentabilidad y Disponibilidad de producto</w:t>
      </w:r>
    </w:p>
    <w:p>
      <w:pPr>
        <w:pStyle w:val="ListParagraph"/>
        <w:numPr>
          <w:ilvl w:val="0"/>
          <w:numId w:val="1"/>
        </w:numPr>
        <w:spacing w:after="80" w:line="280"/>
      </w:pPr>
      <w:r>
        <w:rPr>
          <w:sz w:val="21"/>
          <w:szCs w:val="21"/>
        </w:rPr>
        <w:t xml:space="preserve">¿Cuál es el margen bruto real por categoría y canal, y se está cumpliendo la meta de +3 puntos porcentuales?</w:t>
      </w:r>
    </w:p>
    <w:p>
      <w:pPr>
        <w:pStyle w:val="ListParagraph"/>
        <w:numPr>
          <w:ilvl w:val="0"/>
          <w:numId w:val="1"/>
        </w:numPr>
        <w:spacing w:after="80" w:line="280"/>
      </w:pPr>
      <w:r>
        <w:rPr>
          <w:sz w:val="21"/>
          <w:szCs w:val="21"/>
        </w:rPr>
        <w:t xml:space="preserve">¿Qué referencias de "fútbol - calzado" (categoría de alta rotación) muestran señales de posible quiebre de stock?</w:t>
      </w:r>
    </w:p>
    <w:p>
      <w:pPr>
        <w:pStyle w:val="ListParagraph"/>
        <w:numPr>
          <w:ilvl w:val="0"/>
          <w:numId w:val="1"/>
        </w:numPr>
        <w:spacing w:after="80" w:line="280"/>
      </w:pPr>
      <w:r>
        <w:rPr>
          <w:sz w:val="21"/>
          <w:szCs w:val="21"/>
        </w:rPr>
        <w:t xml:space="preserve">¿Qué combinación de categoría + canal genera el mejor margen neto, considerando costo de mercancía y gasto operativo?</w:t>
      </w:r>
    </w:p>
    <w:p>
      <w:r>
        <w:br w:type="page"/>
      </w:r>
    </w:p>
    <w:p>
      <w:pPr>
        <w:pStyle w:val="Heading1"/>
        <w:pBdr>
          <w:bottom w:val="single" w:color="0B2240" w:sz="6" w:space="4"/>
        </w:pBdr>
        <w:spacing w:after="140" w:before="320"/>
      </w:pPr>
      <w:r>
        <w:rPr>
          <w:b/>
          <w:bCs/>
          <w:color w:val="0B2240"/>
          <w:sz w:val="28"/>
          <w:szCs w:val="28"/>
        </w:rPr>
        <w:t xml:space="preserve">4. Diccionario de datos</w:t>
      </w:r>
    </w:p>
    <w:p>
      <w:pPr>
        <w:spacing w:after="150" w:line="300"/>
        <w:jc w:val="both"/>
      </w:pPr>
      <w:r>
        <w:rPr>
          <w:i/>
          <w:iCs/>
          <w:sz w:val="19"/>
          <w:szCs w:val="19"/>
        </w:rPr>
        <w:t xml:space="preserve">Todas las tablas se consumen desde: https://raw.githubusercontent.com/hmedrano1979/ITC/main/CumbreSportOutdoor/</w:t>
      </w:r>
    </w:p>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Diferencia clave frente al Módulo 3 del Diplomado</w:t>
            </w:r>
          </w:p>
          <w:p>
            <w:pPr>
              <w:spacing w:after="0"/>
            </w:pPr>
            <w:r>
              <w:rPr>
                <w:sz w:val="20"/>
                <w:szCs w:val="20"/>
              </w:rPr>
              <w:t xml:space="preserve">El Módulo 3 usa las 81,126 transacciones reales, limpias, en UTF-8. Electiva Libre III usa una MUESTRA de 2,045 filas del mismo periodo completo (2005-2024), guardada en separador ';' y codificación Latin-1, y ENSUCIADA deliberadamente (nulos, tipos mixtos, duplicados, texto inconsistente, outliers) — es el mismo negocio, pero con el desafío de calidad de datos que Unidad 1 necesita para enseñar ETL. Dim_Pais, Dim_Vendedor y Dim_Canal permanecen exactamente iguales, limpias, tal como las entrega el Módulo 3.</w:t>
            </w:r>
          </w:p>
        </w:tc>
      </w:tr>
    </w:tbl>
    <w:p>
      <w:pPr>
        <w:pStyle w:val="Heading2"/>
        <w:spacing w:after="100" w:before="240"/>
      </w:pPr>
      <w:r>
        <w:rPr>
          <w:b/>
          <w:bCs/>
          <w:color w:val="0B2240"/>
          <w:sz w:val="23"/>
          <w:szCs w:val="23"/>
        </w:rPr>
        <w:t xml:space="preserve">4.1 Ventas_CumbreSportOutdoor_Sucio.csv (hechos, 2,045 filas, muestra 2005-2024)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40"/>
      </w:tblGrid>
      <w:tr>
        <w:tc>
          <w:tcPr>
            <w:tcW w:type="dxa" w:w="2400"/>
            <w:shd w:fill="0B2240" w:val="clear"/>
            <w:tcMar>
              <w:top w:type="dxa" w:w="80"/>
              <w:left w:type="dxa" w:w="100"/>
              <w:bottom w:type="dxa" w:w="80"/>
              <w:right w:type="dxa" w:w="100"/>
            </w:tcMar>
          </w:tcPr>
          <w:p>
            <w:r>
              <w:rPr>
                <w:b/>
                <w:bCs/>
                <w:color w:val="FFFFFF"/>
                <w:sz w:val="18"/>
                <w:szCs w:val="18"/>
              </w:rPr>
              <w:t xml:space="preserve">Columna</w:t>
            </w:r>
          </w:p>
        </w:tc>
        <w:tc>
          <w:tcPr>
            <w:tcW w:type="dxa" w:w="1600"/>
            <w:shd w:fill="0B2240" w:val="clear"/>
            <w:tcMar>
              <w:top w:type="dxa" w:w="80"/>
              <w:left w:type="dxa" w:w="100"/>
              <w:bottom w:type="dxa" w:w="80"/>
              <w:right w:type="dxa" w:w="100"/>
            </w:tcMar>
          </w:tcPr>
          <w:p>
            <w:r>
              <w:rPr>
                <w:b/>
                <w:bCs/>
                <w:color w:val="FFFFFF"/>
                <w:sz w:val="18"/>
                <w:szCs w:val="18"/>
              </w:rPr>
              <w:t xml:space="preserve">Tipo</w:t>
            </w:r>
          </w:p>
        </w:tc>
        <w:tc>
          <w:tcPr>
            <w:tcW w:type="dxa" w:w="5440"/>
            <w:shd w:fill="0B2240" w:val="clear"/>
            <w:tcMar>
              <w:top w:type="dxa" w:w="80"/>
              <w:left w:type="dxa" w:w="100"/>
              <w:bottom w:type="dxa" w:w="80"/>
              <w:right w:type="dxa" w:w="100"/>
            </w:tcMar>
          </w:tcPr>
          <w:p>
            <w:r>
              <w:rPr>
                <w:b/>
                <w:bCs/>
                <w:color w:val="FFFFFF"/>
                <w:sz w:val="18"/>
                <w:szCs w:val="18"/>
              </w:rPr>
              <w:t xml:space="preserve">Descripción / problema introducido</w:t>
            </w:r>
          </w:p>
        </w:tc>
      </w:tr>
      <w:tr>
        <w:tc>
          <w:tcPr>
            <w:tcW w:type="dxa" w:w="2400"/>
            <w:tcMar>
              <w:top w:type="dxa" w:w="80"/>
              <w:left w:type="dxa" w:w="100"/>
              <w:bottom w:type="dxa" w:w="80"/>
              <w:right w:type="dxa" w:w="100"/>
            </w:tcMar>
          </w:tcPr>
          <w:p>
            <w:r>
              <w:rPr>
                <w:b w:val="false"/>
                <w:bCs w:val="false"/>
                <w:color w:val="111111"/>
                <w:sz w:val="18"/>
                <w:szCs w:val="18"/>
              </w:rPr>
              <w:t xml:space="preserve">CLIENTE</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Nombre del cliente. ~3% de nulos introducidos</w:t>
            </w:r>
          </w:p>
        </w:tc>
      </w:tr>
      <w:tr>
        <w:tc>
          <w:tcPr>
            <w:tcW w:type="dxa" w:w="2400"/>
            <w:tcMar>
              <w:top w:type="dxa" w:w="80"/>
              <w:left w:type="dxa" w:w="100"/>
              <w:bottom w:type="dxa" w:w="80"/>
              <w:right w:type="dxa" w:w="100"/>
            </w:tcMar>
          </w:tcPr>
          <w:p>
            <w:r>
              <w:rPr>
                <w:b w:val="false"/>
                <w:bCs w:val="false"/>
                <w:color w:val="111111"/>
                <w:sz w:val="18"/>
                <w:szCs w:val="18"/>
              </w:rPr>
              <w:t xml:space="preserve">IDENTIFICACION</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Identificación tributaria. ~2.5% de nulos — llave de identificación, se elimina (no se imputa) en Semana 2</w:t>
            </w:r>
          </w:p>
        </w:tc>
      </w:tr>
      <w:tr>
        <w:tc>
          <w:tcPr>
            <w:tcW w:type="dxa" w:w="2400"/>
            <w:tcMar>
              <w:top w:type="dxa" w:w="80"/>
              <w:left w:type="dxa" w:w="100"/>
              <w:bottom w:type="dxa" w:w="80"/>
              <w:right w:type="dxa" w:w="100"/>
            </w:tcMar>
          </w:tcPr>
          <w:p>
            <w:r>
              <w:rPr>
                <w:b w:val="false"/>
                <w:bCs w:val="false"/>
                <w:color w:val="111111"/>
                <w:sz w:val="18"/>
                <w:szCs w:val="18"/>
              </w:rPr>
              <w:t xml:space="preserve">DOCUMENTO</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Número de factura — identificador único de la transacción, sin alterar</w:t>
            </w:r>
          </w:p>
        </w:tc>
      </w:tr>
      <w:tr>
        <w:tc>
          <w:tcPr>
            <w:tcW w:type="dxa" w:w="2400"/>
            <w:tcMar>
              <w:top w:type="dxa" w:w="80"/>
              <w:left w:type="dxa" w:w="100"/>
              <w:bottom w:type="dxa" w:w="80"/>
              <w:right w:type="dxa" w:w="100"/>
            </w:tcMar>
          </w:tcPr>
          <w:p>
            <w:r>
              <w:rPr>
                <w:b w:val="false"/>
                <w:bCs w:val="false"/>
                <w:color w:val="111111"/>
                <w:sz w:val="18"/>
                <w:szCs w:val="18"/>
              </w:rPr>
              <w:t xml:space="preserve">PAIS</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8 valores posibles; ensuciado con variantes de mayúsculas/espacios — se limpia en Semana 3</w:t>
            </w:r>
          </w:p>
        </w:tc>
      </w:tr>
      <w:tr>
        <w:tc>
          <w:tcPr>
            <w:tcW w:type="dxa" w:w="2400"/>
            <w:tcMar>
              <w:top w:type="dxa" w:w="80"/>
              <w:left w:type="dxa" w:w="100"/>
              <w:bottom w:type="dxa" w:w="80"/>
              <w:right w:type="dxa" w:w="100"/>
            </w:tcMar>
          </w:tcPr>
          <w:p>
            <w:r>
              <w:rPr>
                <w:b w:val="false"/>
                <w:bCs w:val="false"/>
                <w:color w:val="111111"/>
                <w:sz w:val="18"/>
                <w:szCs w:val="18"/>
              </w:rPr>
              <w:t xml:space="preserve">CANAL</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4 valores; ya trae inconsistencias REALES de origen (Punto de Venta/punto de venta/PUNTO DE VENTA) — se limpia en Semana 3</w:t>
            </w:r>
          </w:p>
        </w:tc>
      </w:tr>
      <w:tr>
        <w:tc>
          <w:tcPr>
            <w:tcW w:type="dxa" w:w="2400"/>
            <w:tcMar>
              <w:top w:type="dxa" w:w="80"/>
              <w:left w:type="dxa" w:w="100"/>
              <w:bottom w:type="dxa" w:w="80"/>
              <w:right w:type="dxa" w:w="100"/>
            </w:tcMar>
          </w:tcPr>
          <w:p>
            <w:r>
              <w:rPr>
                <w:b w:val="false"/>
                <w:bCs w:val="false"/>
                <w:color w:val="111111"/>
                <w:sz w:val="18"/>
                <w:szCs w:val="18"/>
              </w:rPr>
              <w:t xml:space="preserve">FORMA DE PAGO</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4 valores; también con inconsistencias reales de espacios ("Cheque"/"Cheque  ")</w:t>
            </w:r>
          </w:p>
        </w:tc>
      </w:tr>
      <w:tr>
        <w:tc>
          <w:tcPr>
            <w:tcW w:type="dxa" w:w="2400"/>
            <w:tcMar>
              <w:top w:type="dxa" w:w="80"/>
              <w:left w:type="dxa" w:w="100"/>
              <w:bottom w:type="dxa" w:w="80"/>
              <w:right w:type="dxa" w:w="100"/>
            </w:tcMar>
          </w:tcPr>
          <w:p>
            <w:r>
              <w:rPr>
                <w:b w:val="false"/>
                <w:bCs w:val="false"/>
                <w:color w:val="111111"/>
                <w:sz w:val="18"/>
                <w:szCs w:val="18"/>
              </w:rPr>
              <w:t xml:space="preserve">PRODUCTO</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152 valores posibles; se relaciona con Dim_Producto</w:t>
            </w:r>
          </w:p>
        </w:tc>
      </w:tr>
      <w:tr>
        <w:tc>
          <w:tcPr>
            <w:tcW w:type="dxa" w:w="2400"/>
            <w:tcMar>
              <w:top w:type="dxa" w:w="80"/>
              <w:left w:type="dxa" w:w="100"/>
              <w:bottom w:type="dxa" w:w="80"/>
              <w:right w:type="dxa" w:w="100"/>
            </w:tcMar>
          </w:tcPr>
          <w:p>
            <w:r>
              <w:rPr>
                <w:b w:val="false"/>
                <w:bCs w:val="false"/>
                <w:color w:val="111111"/>
                <w:sz w:val="18"/>
                <w:szCs w:val="18"/>
              </w:rPr>
              <w:t xml:space="preserve">VENDEDOR</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Gerente comercial responsable; se relaciona con Dim_Vendedor</w:t>
            </w:r>
          </w:p>
        </w:tc>
      </w:tr>
      <w:tr>
        <w:tc>
          <w:tcPr>
            <w:tcW w:type="dxa" w:w="2400"/>
            <w:tcMar>
              <w:top w:type="dxa" w:w="80"/>
              <w:left w:type="dxa" w:w="100"/>
              <w:bottom w:type="dxa" w:w="80"/>
              <w:right w:type="dxa" w:w="100"/>
            </w:tcMar>
          </w:tcPr>
          <w:p>
            <w:r>
              <w:rPr>
                <w:b w:val="false"/>
                <w:bCs w:val="false"/>
                <w:color w:val="111111"/>
                <w:sz w:val="18"/>
                <w:szCs w:val="18"/>
              </w:rPr>
              <w:t xml:space="preserve">FECHA</w:t>
            </w:r>
          </w:p>
        </w:tc>
        <w:tc>
          <w:tcPr>
            <w:tcW w:type="dxa" w:w="1600"/>
            <w:tcMar>
              <w:top w:type="dxa" w:w="80"/>
              <w:left w:type="dxa" w:w="100"/>
              <w:bottom w:type="dxa" w:w="80"/>
              <w:right w:type="dxa" w:w="100"/>
            </w:tcMar>
          </w:tcPr>
          <w:p>
            <w:r>
              <w:rPr>
                <w:b w:val="false"/>
                <w:bCs w:val="false"/>
                <w:color w:val="111111"/>
                <w:sz w:val="18"/>
                <w:szCs w:val="18"/>
              </w:rPr>
              <w:t xml:space="preserve">Fecha</w:t>
            </w:r>
          </w:p>
        </w:tc>
        <w:tc>
          <w:tcPr>
            <w:tcW w:type="dxa" w:w="5440"/>
            <w:tcMar>
              <w:top w:type="dxa" w:w="80"/>
              <w:left w:type="dxa" w:w="100"/>
              <w:bottom w:type="dxa" w:w="80"/>
              <w:right w:type="dxa" w:w="100"/>
            </w:tcMar>
          </w:tcPr>
          <w:p>
            <w:r>
              <w:rPr>
                <w:b w:val="false"/>
                <w:bCs w:val="false"/>
                <w:color w:val="111111"/>
                <w:sz w:val="18"/>
                <w:szCs w:val="18"/>
              </w:rPr>
              <w:t xml:space="preserve">Rango 2005-2024, sin alterar</w:t>
            </w:r>
          </w:p>
        </w:tc>
      </w:tr>
      <w:tr>
        <w:tc>
          <w:tcPr>
            <w:tcW w:type="dxa" w:w="2400"/>
            <w:tcMar>
              <w:top w:type="dxa" w:w="80"/>
              <w:left w:type="dxa" w:w="100"/>
              <w:bottom w:type="dxa" w:w="80"/>
              <w:right w:type="dxa" w:w="100"/>
            </w:tcMar>
          </w:tcPr>
          <w:p>
            <w:r>
              <w:rPr>
                <w:b w:val="false"/>
                <w:bCs w:val="false"/>
                <w:color w:val="111111"/>
                <w:sz w:val="18"/>
                <w:szCs w:val="18"/>
              </w:rPr>
              <w:t xml:space="preserve">VENTAS</w:t>
            </w:r>
          </w:p>
        </w:tc>
        <w:tc>
          <w:tcPr>
            <w:tcW w:type="dxa" w:w="1600"/>
            <w:tcMar>
              <w:top w:type="dxa" w:w="80"/>
              <w:left w:type="dxa" w:w="100"/>
              <w:bottom w:type="dxa" w:w="80"/>
              <w:right w:type="dxa" w:w="100"/>
            </w:tcMar>
          </w:tcPr>
          <w:p>
            <w:r>
              <w:rPr>
                <w:b w:val="false"/>
                <w:bCs w:val="false"/>
                <w:color w:val="111111"/>
                <w:sz w:val="18"/>
                <w:szCs w:val="18"/>
              </w:rPr>
              <w:t xml:space="preserve">Número/Texto</w:t>
            </w:r>
          </w:p>
        </w:tc>
        <w:tc>
          <w:tcPr>
            <w:tcW w:type="dxa" w:w="5440"/>
            <w:tcMar>
              <w:top w:type="dxa" w:w="80"/>
              <w:left w:type="dxa" w:w="100"/>
              <w:bottom w:type="dxa" w:w="80"/>
              <w:right w:type="dxa" w:w="100"/>
            </w:tcMar>
          </w:tcPr>
          <w:p>
            <w:r>
              <w:rPr>
                <w:b w:val="false"/>
                <w:bCs w:val="false"/>
                <w:color w:val="111111"/>
                <w:sz w:val="18"/>
                <w:szCs w:val="18"/>
              </w:rPr>
              <w:t xml:space="preserve">Valor de venta; ensuciado con texto ("N/A", "Pendiente", "Sin dato", "?") y 12 outliers reales (x15-30)</w:t>
            </w:r>
          </w:p>
        </w:tc>
      </w:tr>
      <w:tr>
        <w:tc>
          <w:tcPr>
            <w:tcW w:type="dxa" w:w="2400"/>
            <w:tcMar>
              <w:top w:type="dxa" w:w="80"/>
              <w:left w:type="dxa" w:w="100"/>
              <w:bottom w:type="dxa" w:w="80"/>
              <w:right w:type="dxa" w:w="100"/>
            </w:tcMar>
          </w:tcPr>
          <w:p>
            <w:r>
              <w:rPr>
                <w:b w:val="false"/>
                <w:bCs w:val="false"/>
                <w:color w:val="111111"/>
                <w:sz w:val="18"/>
                <w:szCs w:val="18"/>
              </w:rPr>
              <w:t xml:space="preserve">CANTIDAD</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Unidades vendidas, sin alterar</w:t>
            </w:r>
          </w:p>
        </w:tc>
      </w:tr>
      <w:tr>
        <w:tc>
          <w:tcPr>
            <w:tcW w:type="dxa" w:w="2400"/>
            <w:tcMar>
              <w:top w:type="dxa" w:w="80"/>
              <w:left w:type="dxa" w:w="100"/>
              <w:bottom w:type="dxa" w:w="80"/>
              <w:right w:type="dxa" w:w="100"/>
            </w:tcMar>
          </w:tcPr>
          <w:p>
            <w:r>
              <w:rPr>
                <w:b w:val="false"/>
                <w:bCs w:val="false"/>
                <w:color w:val="111111"/>
                <w:sz w:val="18"/>
                <w:szCs w:val="18"/>
              </w:rPr>
              <w:t xml:space="preserve">DESCUENTO_PORCENTAJE</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Porcentaje de descuento, sin alterar</w:t>
            </w:r>
          </w:p>
        </w:tc>
      </w:tr>
      <w:tr>
        <w:tc>
          <w:tcPr>
            <w:tcW w:type="dxa" w:w="2400"/>
            <w:tcMar>
              <w:top w:type="dxa" w:w="80"/>
              <w:left w:type="dxa" w:w="100"/>
              <w:bottom w:type="dxa" w:w="80"/>
              <w:right w:type="dxa" w:w="100"/>
            </w:tcMar>
          </w:tcPr>
          <w:p>
            <w:r>
              <w:rPr>
                <w:b w:val="false"/>
                <w:bCs w:val="false"/>
                <w:color w:val="111111"/>
                <w:sz w:val="18"/>
                <w:szCs w:val="18"/>
              </w:rPr>
              <w:t xml:space="preserve">PRECIO_UNITARIO</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Valor unitario, sin alterar</w:t>
            </w:r>
          </w:p>
        </w:tc>
      </w:tr>
    </w:tbl>
    <w:p>
      <w:pPr>
        <w:pStyle w:val="Heading2"/>
        <w:spacing w:after="100" w:before="240"/>
      </w:pPr>
      <w:r>
        <w:rPr>
          <w:b/>
          <w:bCs/>
          <w:color w:val="0B2240"/>
          <w:sz w:val="23"/>
          <w:szCs w:val="23"/>
        </w:rPr>
        <w:t xml:space="preserve">4.2 Dim_Producto_Sucio.csv (dimensión, 160 filas, usada en Talleres 1.1-1.2)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40"/>
      </w:tblGrid>
      <w:tr>
        <w:tc>
          <w:tcPr>
            <w:tcW w:type="dxa" w:w="2400"/>
            <w:shd w:fill="0B2240" w:val="clear"/>
            <w:tcMar>
              <w:top w:type="dxa" w:w="80"/>
              <w:left w:type="dxa" w:w="100"/>
              <w:bottom w:type="dxa" w:w="80"/>
              <w:right w:type="dxa" w:w="100"/>
            </w:tcMar>
          </w:tcPr>
          <w:p>
            <w:r>
              <w:rPr>
                <w:b/>
                <w:bCs/>
                <w:color w:val="FFFFFF"/>
                <w:sz w:val="18"/>
                <w:szCs w:val="18"/>
              </w:rPr>
              <w:t xml:space="preserve">Columna</w:t>
            </w:r>
          </w:p>
        </w:tc>
        <w:tc>
          <w:tcPr>
            <w:tcW w:type="dxa" w:w="1600"/>
            <w:shd w:fill="0B2240" w:val="clear"/>
            <w:tcMar>
              <w:top w:type="dxa" w:w="80"/>
              <w:left w:type="dxa" w:w="100"/>
              <w:bottom w:type="dxa" w:w="80"/>
              <w:right w:type="dxa" w:w="100"/>
            </w:tcMar>
          </w:tcPr>
          <w:p>
            <w:r>
              <w:rPr>
                <w:b/>
                <w:bCs/>
                <w:color w:val="FFFFFF"/>
                <w:sz w:val="18"/>
                <w:szCs w:val="18"/>
              </w:rPr>
              <w:t xml:space="preserve">Tipo</w:t>
            </w:r>
          </w:p>
        </w:tc>
        <w:tc>
          <w:tcPr>
            <w:tcW w:type="dxa" w:w="5440"/>
            <w:shd w:fill="0B2240" w:val="clear"/>
            <w:tcMar>
              <w:top w:type="dxa" w:w="80"/>
              <w:left w:type="dxa" w:w="100"/>
              <w:bottom w:type="dxa" w:w="80"/>
              <w:right w:type="dxa" w:w="100"/>
            </w:tcMar>
          </w:tcPr>
          <w:p>
            <w:r>
              <w:rPr>
                <w:b/>
                <w:bCs/>
                <w:color w:val="FFFFFF"/>
                <w:sz w:val="18"/>
                <w:szCs w:val="18"/>
              </w:rPr>
              <w:t xml:space="preserve">Descripción / problema introducido</w:t>
            </w:r>
          </w:p>
        </w:tc>
      </w:tr>
      <w:tr>
        <w:tc>
          <w:tcPr>
            <w:tcW w:type="dxa" w:w="2400"/>
            <w:tcMar>
              <w:top w:type="dxa" w:w="80"/>
              <w:left w:type="dxa" w:w="100"/>
              <w:bottom w:type="dxa" w:w="80"/>
              <w:right w:type="dxa" w:w="100"/>
            </w:tcMar>
          </w:tcPr>
          <w:p>
            <w:r>
              <w:rPr>
                <w:b w:val="false"/>
                <w:bCs w:val="false"/>
                <w:color w:val="111111"/>
                <w:sz w:val="18"/>
                <w:szCs w:val="18"/>
              </w:rPr>
              <w:t xml:space="preserve">PRODUCTO</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Llave — nombre exacto de la referencia, sin alterar</w:t>
            </w:r>
          </w:p>
        </w:tc>
      </w:tr>
      <w:tr>
        <w:tc>
          <w:tcPr>
            <w:tcW w:type="dxa" w:w="2400"/>
            <w:tcMar>
              <w:top w:type="dxa" w:w="80"/>
              <w:left w:type="dxa" w:w="100"/>
              <w:bottom w:type="dxa" w:w="80"/>
              <w:right w:type="dxa" w:w="100"/>
            </w:tcMar>
          </w:tcPr>
          <w:p>
            <w:r>
              <w:rPr>
                <w:b w:val="false"/>
                <w:bCs w:val="false"/>
                <w:color w:val="111111"/>
                <w:sz w:val="18"/>
                <w:szCs w:val="18"/>
              </w:rPr>
              <w:t xml:space="preserve">CATEGORIA</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7 categorías; ensuciada con mayúsculas/espacios/símbolos</w:t>
            </w:r>
          </w:p>
        </w:tc>
      </w:tr>
      <w:tr>
        <w:tc>
          <w:tcPr>
            <w:tcW w:type="dxa" w:w="2400"/>
            <w:tcMar>
              <w:top w:type="dxa" w:w="80"/>
              <w:left w:type="dxa" w:w="100"/>
              <w:bottom w:type="dxa" w:w="80"/>
              <w:right w:type="dxa" w:w="100"/>
            </w:tcMar>
          </w:tcPr>
          <w:p>
            <w:r>
              <w:rPr>
                <w:b w:val="false"/>
                <w:bCs w:val="false"/>
                <w:color w:val="111111"/>
                <w:sz w:val="18"/>
                <w:szCs w:val="18"/>
              </w:rPr>
              <w:t xml:space="preserve">SUBCATEGORIA</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Nivel más fino dentro de la categoría, sin alterar</w:t>
            </w:r>
          </w:p>
        </w:tc>
      </w:tr>
      <w:tr>
        <w:tc>
          <w:tcPr>
            <w:tcW w:type="dxa" w:w="2400"/>
            <w:tcMar>
              <w:top w:type="dxa" w:w="80"/>
              <w:left w:type="dxa" w:w="100"/>
              <w:bottom w:type="dxa" w:w="80"/>
              <w:right w:type="dxa" w:w="100"/>
            </w:tcMar>
          </w:tcPr>
          <w:p>
            <w:r>
              <w:rPr>
                <w:b w:val="false"/>
                <w:bCs w:val="false"/>
                <w:color w:val="111111"/>
                <w:sz w:val="18"/>
                <w:szCs w:val="18"/>
              </w:rPr>
              <w:t xml:space="preserve">MARCA</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Marca comercial; ~5% de nulos introducidos</w:t>
            </w:r>
          </w:p>
        </w:tc>
      </w:tr>
      <w:tr>
        <w:tc>
          <w:tcPr>
            <w:tcW w:type="dxa" w:w="2400"/>
            <w:tcMar>
              <w:top w:type="dxa" w:w="80"/>
              <w:left w:type="dxa" w:w="100"/>
              <w:bottom w:type="dxa" w:w="80"/>
              <w:right w:type="dxa" w:w="100"/>
            </w:tcMar>
          </w:tcPr>
          <w:p>
            <w:r>
              <w:rPr>
                <w:b w:val="false"/>
                <w:bCs w:val="false"/>
                <w:color w:val="111111"/>
                <w:sz w:val="18"/>
                <w:szCs w:val="18"/>
              </w:rPr>
              <w:t xml:space="preserve">PROVEEDOR</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Empresa proveedora; ~4% de nulos introducidos</w:t>
            </w:r>
          </w:p>
        </w:tc>
      </w:tr>
      <w:tr>
        <w:tc>
          <w:tcPr>
            <w:tcW w:type="dxa" w:w="2400"/>
            <w:tcMar>
              <w:top w:type="dxa" w:w="80"/>
              <w:left w:type="dxa" w:w="100"/>
              <w:bottom w:type="dxa" w:w="80"/>
              <w:right w:type="dxa" w:w="100"/>
            </w:tcMar>
          </w:tcPr>
          <w:p>
            <w:r>
              <w:rPr>
                <w:b w:val="false"/>
                <w:bCs w:val="false"/>
                <w:color w:val="111111"/>
                <w:sz w:val="18"/>
                <w:szCs w:val="18"/>
              </w:rPr>
              <w:t xml:space="preserve">COSTO_MERCANCIA_PORCENTAJE_VENTA</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Ver Estructura de Costos §1.4, sin alterar</w:t>
            </w:r>
          </w:p>
        </w:tc>
      </w:tr>
      <w:tr>
        <w:tc>
          <w:tcPr>
            <w:tcW w:type="dxa" w:w="2400"/>
            <w:tcMar>
              <w:top w:type="dxa" w:w="80"/>
              <w:left w:type="dxa" w:w="100"/>
              <w:bottom w:type="dxa" w:w="80"/>
              <w:right w:type="dxa" w:w="100"/>
            </w:tcMar>
          </w:tcPr>
          <w:p>
            <w:r>
              <w:rPr>
                <w:b w:val="false"/>
                <w:bCs w:val="false"/>
                <w:color w:val="111111"/>
                <w:sz w:val="18"/>
                <w:szCs w:val="18"/>
              </w:rPr>
              <w:t xml:space="preserve">PRECIO_LISTA_PROMEDIO</w:t>
            </w:r>
          </w:p>
        </w:tc>
        <w:tc>
          <w:tcPr>
            <w:tcW w:type="dxa" w:w="1600"/>
            <w:tcMar>
              <w:top w:type="dxa" w:w="80"/>
              <w:left w:type="dxa" w:w="100"/>
              <w:bottom w:type="dxa" w:w="80"/>
              <w:right w:type="dxa" w:w="100"/>
            </w:tcMar>
          </w:tcPr>
          <w:p>
            <w:r>
              <w:rPr>
                <w:b w:val="false"/>
                <w:bCs w:val="false"/>
                <w:color w:val="111111"/>
                <w:sz w:val="18"/>
                <w:szCs w:val="18"/>
              </w:rPr>
              <w:t xml:space="preserve">Número/Texto</w:t>
            </w:r>
          </w:p>
        </w:tc>
        <w:tc>
          <w:tcPr>
            <w:tcW w:type="dxa" w:w="5440"/>
            <w:tcMar>
              <w:top w:type="dxa" w:w="80"/>
              <w:left w:type="dxa" w:w="100"/>
              <w:bottom w:type="dxa" w:w="80"/>
              <w:right w:type="dxa" w:w="100"/>
            </w:tcMar>
          </w:tcPr>
          <w:p>
            <w:r>
              <w:rPr>
                <w:b w:val="false"/>
                <w:bCs w:val="false"/>
                <w:color w:val="111111"/>
                <w:sz w:val="18"/>
                <w:szCs w:val="18"/>
              </w:rPr>
              <w:t xml:space="preserve">Ensuciado con texto ("N/A", "Sin definir", "?") y 4 outliers (x10-20)</w:t>
            </w:r>
          </w:p>
        </w:tc>
      </w:tr>
      <w:tr>
        <w:tc>
          <w:tcPr>
            <w:tcW w:type="dxa" w:w="2400"/>
            <w:tcMar>
              <w:top w:type="dxa" w:w="80"/>
              <w:left w:type="dxa" w:w="100"/>
              <w:bottom w:type="dxa" w:w="80"/>
              <w:right w:type="dxa" w:w="100"/>
            </w:tcMar>
          </w:tcPr>
          <w:p>
            <w:r>
              <w:rPr>
                <w:b w:val="false"/>
                <w:bCs w:val="false"/>
                <w:color w:val="111111"/>
                <w:sz w:val="18"/>
                <w:szCs w:val="18"/>
              </w:rPr>
              <w:t xml:space="preserve">ROTACION</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Alta/Media/Baja, sin alterar</w:t>
            </w:r>
          </w:p>
        </w:tc>
      </w:tr>
    </w:tbl>
    <w:p>
      <w:pPr>
        <w:pStyle w:val="Heading2"/>
        <w:spacing w:after="100" w:before="240"/>
      </w:pPr>
      <w:r>
        <w:rPr>
          <w:b/>
          <w:bCs/>
          <w:color w:val="0B2240"/>
          <w:sz w:val="23"/>
          <w:szCs w:val="23"/>
        </w:rPr>
        <w:t xml:space="preserve">4.3 Dim_Pais, Dim_Vendedor, Dim_Canal, Metas_Mensuales_Vendedor_2025 — limpias, sin cambios</w:t>
      </w:r>
    </w:p>
    <w:p>
      <w:pPr>
        <w:spacing w:after="150" w:line="300"/>
        <w:jc w:val="both"/>
      </w:pPr>
      <w:r>
        <w:rPr>
          <w:sz w:val="21"/>
          <w:szCs w:val="21"/>
        </w:rPr>
        <w:t xml:space="preserve">Estas 4 tablas se mantienen exactamente iguales a las del Módulo 3: son las tablas maestras/de referencia, mantenidas por un equipo administrativo, y por eso se conservan limpias en Unidad 1 (justificación pedagógica: en la vida real, las tablas de referencia curadas suelen ser más confiables que los datos transaccionales). Su diccionario de columnas completo está en el documento original del Módulo 3 (mismo repositorio, carpeta Módulo3_CumbreSportOutdoor_Power_Bi).</w:t>
      </w:r>
    </w:p>
    <w:p>
      <w:pPr>
        <w:pStyle w:val="Heading2"/>
        <w:spacing w:after="100" w:before="240"/>
      </w:pPr>
      <w:r>
        <w:rPr>
          <w:b/>
          <w:bCs/>
          <w:color w:val="0B2240"/>
          <w:sz w:val="23"/>
          <w:szCs w:val="23"/>
        </w:rPr>
        <w:t xml:space="preserve">4.4 Dim_Calendario (se construye en Unidad 2, no es un archivo)</w:t>
      </w:r>
    </w:p>
    <w:p>
      <w:pPr>
        <w:spacing w:after="150" w:line="300"/>
        <w:jc w:val="both"/>
      </w:pPr>
      <w:r>
        <w:rPr>
          <w:sz w:val="21"/>
          <w:szCs w:val="21"/>
        </w:rPr>
        <w:t xml:space="preserve">Igual que en el Módulo 3: no se importa, se construye con DAX dentro de Power BI (CALENDAR() o CALENDARAUTO()), con columnas Fecha, Año, Mes, NombreMes, Trimestre. Es indispensable para las funciones de inteligencia de tiempo (PREVIOUSYEAR, SAMEPERIODLASTYEAR) que responden las preguntas de crecimiento del banco de la sección 3.2. Recordar anular la Configuración de fecha y hora automática (Auto Date/Time) antes de construirla.</w:t>
      </w:r>
    </w:p>
    <w:p>
      <w:pPr>
        <w:pStyle w:val="Heading1"/>
        <w:pBdr>
          <w:bottom w:val="single" w:color="0B2240" w:sz="6" w:space="4"/>
        </w:pBdr>
        <w:spacing w:after="140" w:before="320"/>
      </w:pPr>
      <w:r>
        <w:rPr>
          <w:b/>
          <w:bCs/>
          <w:color w:val="0B2240"/>
          <w:sz w:val="28"/>
          <w:szCs w:val="28"/>
        </w:rPr>
        <w:t xml:space="preserve">5. Metadatos generales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Atributo</w:t>
            </w:r>
          </w:p>
        </w:tc>
        <w:tc>
          <w:tcPr>
            <w:tcW w:type="dxa" w:w="6240"/>
            <w:shd w:fill="0B2240" w:val="clear"/>
            <w:tcMar>
              <w:top w:type="dxa" w:w="80"/>
              <w:left w:type="dxa" w:w="100"/>
              <w:bottom w:type="dxa" w:w="80"/>
              <w:right w:type="dxa" w:w="100"/>
            </w:tcMar>
          </w:tcPr>
          <w:p>
            <w:r>
              <w:rPr>
                <w:b/>
                <w:bCs/>
                <w:color w:val="FFFFFF"/>
                <w:sz w:val="18"/>
                <w:szCs w:val="18"/>
              </w:rPr>
              <w:t xml:space="preserve">Valor</w:t>
            </w:r>
          </w:p>
        </w:tc>
      </w:tr>
      <w:tr>
        <w:tc>
          <w:tcPr>
            <w:tcW w:type="dxa" w:w="3200"/>
            <w:tcMar>
              <w:top w:type="dxa" w:w="80"/>
              <w:left w:type="dxa" w:w="100"/>
              <w:bottom w:type="dxa" w:w="80"/>
              <w:right w:type="dxa" w:w="100"/>
            </w:tcMar>
          </w:tcPr>
          <w:p>
            <w:r>
              <w:rPr>
                <w:b w:val="false"/>
                <w:bCs w:val="false"/>
                <w:color w:val="111111"/>
                <w:sz w:val="18"/>
                <w:szCs w:val="18"/>
              </w:rPr>
              <w:t xml:space="preserve">Fuente de los datos</w:t>
            </w:r>
          </w:p>
        </w:tc>
        <w:tc>
          <w:tcPr>
            <w:tcW w:type="dxa" w:w="6240"/>
            <w:tcMar>
              <w:top w:type="dxa" w:w="80"/>
              <w:left w:type="dxa" w:w="100"/>
              <w:bottom w:type="dxa" w:w="80"/>
              <w:right w:type="dxa" w:w="100"/>
            </w:tcMar>
          </w:tcPr>
          <w:p>
            <w:r>
              <w:rPr>
                <w:b w:val="false"/>
                <w:bCs w:val="false"/>
                <w:color w:val="111111"/>
                <w:sz w:val="18"/>
                <w:szCs w:val="18"/>
              </w:rPr>
              <w:t xml:space="preserve">Repositorio GitHub hmedrano1979/ITC, carpeta CumbreSportOutdoor, vía enlace RAW</w:t>
            </w:r>
          </w:p>
        </w:tc>
      </w:tr>
      <w:tr>
        <w:tc>
          <w:tcPr>
            <w:tcW w:type="dxa" w:w="3200"/>
            <w:tcMar>
              <w:top w:type="dxa" w:w="80"/>
              <w:left w:type="dxa" w:w="100"/>
              <w:bottom w:type="dxa" w:w="80"/>
              <w:right w:type="dxa" w:w="100"/>
            </w:tcMar>
          </w:tcPr>
          <w:p>
            <w:r>
              <w:rPr>
                <w:b w:val="false"/>
                <w:bCs w:val="false"/>
                <w:color w:val="111111"/>
                <w:sz w:val="18"/>
                <w:szCs w:val="18"/>
              </w:rPr>
              <w:t xml:space="preserve">Codificación</w:t>
            </w:r>
          </w:p>
        </w:tc>
        <w:tc>
          <w:tcPr>
            <w:tcW w:type="dxa" w:w="6240"/>
            <w:tcMar>
              <w:top w:type="dxa" w:w="80"/>
              <w:left w:type="dxa" w:w="100"/>
              <w:bottom w:type="dxa" w:w="80"/>
              <w:right w:type="dxa" w:w="100"/>
            </w:tcMar>
          </w:tcPr>
          <w:p>
            <w:r>
              <w:rPr>
                <w:b w:val="false"/>
                <w:bCs w:val="false"/>
                <w:color w:val="111111"/>
                <w:sz w:val="18"/>
                <w:szCs w:val="18"/>
              </w:rPr>
              <w:t xml:space="preserve">Latin-1 / ISO-8859-1 (a diferencia del Módulo 3, que usa UTF-8) — ingesta defensiva obligatoria</w:t>
            </w:r>
          </w:p>
        </w:tc>
      </w:tr>
      <w:tr>
        <w:tc>
          <w:tcPr>
            <w:tcW w:type="dxa" w:w="3200"/>
            <w:tcMar>
              <w:top w:type="dxa" w:w="80"/>
              <w:left w:type="dxa" w:w="100"/>
              <w:bottom w:type="dxa" w:w="80"/>
              <w:right w:type="dxa" w:w="100"/>
            </w:tcMar>
          </w:tcPr>
          <w:p>
            <w:r>
              <w:rPr>
                <w:b w:val="false"/>
                <w:bCs w:val="false"/>
                <w:color w:val="111111"/>
                <w:sz w:val="18"/>
                <w:szCs w:val="18"/>
              </w:rPr>
              <w:t xml:space="preserve">Separador</w:t>
            </w:r>
          </w:p>
        </w:tc>
        <w:tc>
          <w:tcPr>
            <w:tcW w:type="dxa" w:w="6240"/>
            <w:tcMar>
              <w:top w:type="dxa" w:w="80"/>
              <w:left w:type="dxa" w:w="100"/>
              <w:bottom w:type="dxa" w:w="80"/>
              <w:right w:type="dxa" w:w="100"/>
            </w:tcMar>
          </w:tcPr>
          <w:p>
            <w:r>
              <w:rPr>
                <w:b w:val="false"/>
                <w:bCs w:val="false"/>
                <w:color w:val="111111"/>
                <w:sz w:val="18"/>
                <w:szCs w:val="18"/>
              </w:rPr>
              <w:t xml:space="preserve">Punto y coma (;)</w:t>
            </w:r>
          </w:p>
        </w:tc>
      </w:tr>
      <w:tr>
        <w:tc>
          <w:tcPr>
            <w:tcW w:type="dxa" w:w="3200"/>
            <w:tcMar>
              <w:top w:type="dxa" w:w="80"/>
              <w:left w:type="dxa" w:w="100"/>
              <w:bottom w:type="dxa" w:w="80"/>
              <w:right w:type="dxa" w:w="100"/>
            </w:tcMar>
          </w:tcPr>
          <w:p>
            <w:r>
              <w:rPr>
                <w:b w:val="false"/>
                <w:bCs w:val="false"/>
                <w:color w:val="111111"/>
                <w:sz w:val="18"/>
                <w:szCs w:val="18"/>
              </w:rPr>
              <w:t xml:space="preserve">Formato tabla de hechos</w:t>
            </w:r>
          </w:p>
        </w:tc>
        <w:tc>
          <w:tcPr>
            <w:tcW w:type="dxa" w:w="6240"/>
            <w:tcMar>
              <w:top w:type="dxa" w:w="80"/>
              <w:left w:type="dxa" w:w="100"/>
              <w:bottom w:type="dxa" w:w="80"/>
              <w:right w:type="dxa" w:w="100"/>
            </w:tcMar>
          </w:tcPr>
          <w:p>
            <w:r>
              <w:rPr>
                <w:b w:val="false"/>
                <w:bCs w:val="false"/>
                <w:color w:val="111111"/>
                <w:sz w:val="18"/>
                <w:szCs w:val="18"/>
              </w:rPr>
              <w:t xml:space="preserve">CSV (a diferencia del .xlsx del Módulo 3)</w:t>
            </w:r>
          </w:p>
        </w:tc>
      </w:tr>
      <w:tr>
        <w:tc>
          <w:tcPr>
            <w:tcW w:type="dxa" w:w="3200"/>
            <w:tcMar>
              <w:top w:type="dxa" w:w="80"/>
              <w:left w:type="dxa" w:w="100"/>
              <w:bottom w:type="dxa" w:w="80"/>
              <w:right w:type="dxa" w:w="100"/>
            </w:tcMar>
          </w:tcPr>
          <w:p>
            <w:r>
              <w:rPr>
                <w:b w:val="false"/>
                <w:bCs w:val="false"/>
                <w:color w:val="111111"/>
                <w:sz w:val="18"/>
                <w:szCs w:val="18"/>
              </w:rPr>
              <w:t xml:space="preserve">Propietario del caso</w:t>
            </w:r>
          </w:p>
        </w:tc>
        <w:tc>
          <w:tcPr>
            <w:tcW w:type="dxa" w:w="6240"/>
            <w:tcMar>
              <w:top w:type="dxa" w:w="80"/>
              <w:left w:type="dxa" w:w="100"/>
              <w:bottom w:type="dxa" w:w="80"/>
              <w:right w:type="dxa" w:w="100"/>
            </w:tcMar>
          </w:tcPr>
          <w:p>
            <w:r>
              <w:rPr>
                <w:b w:val="false"/>
                <w:bCs w:val="false"/>
                <w:color w:val="111111"/>
                <w:sz w:val="18"/>
                <w:szCs w:val="18"/>
              </w:rPr>
              <w:t xml:space="preserve">Cumbre Sport &amp; Outdoor S.A.S. (empresa ficticia, caso compartido con el Módulo 3 del Diplomado)</w:t>
            </w:r>
          </w:p>
        </w:tc>
      </w:tr>
    </w:tbl>
    <w:p>
      <w:r>
        <w:br w:type="page"/>
      </w:r>
    </w:p>
    <w:p>
      <w:pPr>
        <w:pStyle w:val="Heading1"/>
        <w:pBdr>
          <w:bottom w:val="single" w:color="0B2240" w:sz="6" w:space="4"/>
        </w:pBdr>
        <w:spacing w:after="140" w:before="320"/>
      </w:pPr>
      <w:r>
        <w:rPr>
          <w:b/>
          <w:bCs/>
          <w:color w:val="0B2240"/>
          <w:sz w:val="28"/>
          <w:szCs w:val="28"/>
        </w:rPr>
        <w:t xml:space="preserve">6. Referencias</w:t>
      </w:r>
    </w:p>
    <w:p>
      <w:pPr>
        <w:spacing w:after="160" w:line="280"/>
        <w:ind w:left="400" w:hanging="400"/>
      </w:pPr>
      <w:r>
        <w:rPr>
          <w:color w:val="222222"/>
          <w:sz w:val="20"/>
          <w:szCs w:val="20"/>
        </w:rPr>
        <w:t xml:space="preserve">International Organization for Standardization. (2015). ISO 9001:2015 — Sistemas de gestión de la calidad. Requisitos. ISO.</w:t>
      </w:r>
    </w:p>
    <w:p>
      <w:pPr>
        <w:spacing w:after="160" w:line="280"/>
        <w:ind w:left="400" w:hanging="400"/>
      </w:pPr>
      <w:r>
        <w:rPr>
          <w:color w:val="222222"/>
          <w:sz w:val="20"/>
          <w:szCs w:val="20"/>
        </w:rPr>
        <w:t xml:space="preserve">Kaplan, R. S., &amp; Norton, D. P. (1996). The balanced scorecard: Translating strategy into action. Harvard Business School Press.</w:t>
      </w:r>
    </w:p>
    <w:p>
      <w:pPr>
        <w:spacing w:after="160" w:line="280"/>
        <w:ind w:left="400" w:hanging="400"/>
      </w:pPr>
      <w:r>
        <w:rPr>
          <w:color w:val="222222"/>
          <w:sz w:val="20"/>
          <w:szCs w:val="20"/>
        </w:rPr>
        <w:t xml:space="preserve">Provost, F., &amp; Fawcett, T. (2013). Data science for business. O'Reilly Media.</w:t>
      </w:r>
    </w:p>
    <w:p>
      <w:pPr>
        <w:spacing w:before="200"/>
      </w:pPr>
    </w:p>
    <w:p>
      <w:pPr>
        <w:spacing w:after="100"/>
      </w:pPr>
      <w:r>
        <w:rPr>
          <w:i/>
          <w:iCs/>
          <w:color w:val="444444"/>
          <w:sz w:val="18"/>
          <w:szCs w:val="18"/>
        </w:rPr>
        <w:t xml:space="preserve">Adaptado del Perfil de Empresa y Diccionario de Datos oficiales del Módulo 3 (Diplomado de IA y Transformación Digital, UNICOLOMBO), con los ajustes propios de Electiva Libre III (Unidad 1: muestra deliberadamente sucia, Latin-1, CSV).</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9f039e0af4e080a15ba1dac877f138a1d15de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2026-08-08T07:11:38.151Z</dcterms:created>
  <dcterms:modified xsi:type="dcterms:W3CDTF">2026-08-08T07:11:38.152Z</dcterms:modified>
</cp:coreProperties>
</file>

<file path=docProps/custom.xml><?xml version="1.0" encoding="utf-8"?>
<Properties xmlns="http://schemas.openxmlformats.org/officeDocument/2006/custom-properties" xmlns:vt="http://schemas.openxmlformats.org/officeDocument/2006/docPropsVTypes"/>
</file>