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095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552450"/>
                    </a:xfrm>
                    <a:prstGeom prst="rect">
                      <a:avLst/>
                    </a:prstGeom>
                  </pic:spPr>
                </pic:pic>
              </a:graphicData>
            </a:graphic>
          </wp:inline>
        </w:drawing>
      </w:r>
    </w:p>
    <w:p>
      <w:pPr>
        <w:spacing w:after="20"/>
        <w:jc w:val="center"/>
      </w:pPr>
      <w:r>
        <w:rPr>
          <w:b/>
          <w:bCs/>
          <w:color w:val="444444"/>
          <w:sz w:val="20"/>
          <w:szCs w:val="20"/>
        </w:rPr>
        <w:t xml:space="preserve">ELECTIVA LIBRE I — Fundamentos de Analítica y Power BI en Gestión de Calidad</w:t>
      </w:r>
    </w:p>
    <w:p>
      <w:pPr>
        <w:spacing w:after="260"/>
        <w:jc w:val="center"/>
      </w:pPr>
      <w:r>
        <w:rPr>
          <w:color w:val="444444"/>
          <w:sz w:val="18"/>
          <w:szCs w:val="18"/>
        </w:rPr>
        <w:t xml:space="preserve">Tecnología en Sistemas de Gestión de Calidad · Martes 6:45–8:15 p.m.</w:t>
      </w:r>
    </w:p>
    <w:p>
      <w:pPr>
        <w:spacing w:after="60"/>
        <w:jc w:val="center"/>
      </w:pPr>
      <w:r>
        <w:rPr>
          <w:b/>
          <w:bCs/>
          <w:color w:val="0B2240"/>
          <w:sz w:val="36"/>
          <w:szCs w:val="36"/>
        </w:rPr>
        <w:t xml:space="preserve">INFORMACIÓN GENERAL DEL CURSO</w:t>
      </w:r>
    </w:p>
    <w:p>
      <w:pPr>
        <w:spacing w:after="300"/>
        <w:jc w:val="center"/>
      </w:pPr>
      <w:r>
        <w:rPr>
          <w:b/>
          <w:bCs/>
          <w:color w:val="A8791A"/>
          <w:sz w:val="24"/>
          <w:szCs w:val="24"/>
        </w:rPr>
        <w:t xml:space="preserve">Perfil de la Empresa, Objetivos del Reporte, Preguntas de Negocio y Diccionario de Datos</w:t>
      </w:r>
    </w:p>
    <w:p>
      <w:pPr>
        <w:spacing w:after="150" w:line="300"/>
        <w:jc w:val="both"/>
      </w:pPr>
      <w:r>
        <w:rPr>
          <w:sz w:val="21"/>
          <w:szCs w:val="21"/>
        </w:rPr>
        <w:t xml:space="preserve">Material de referencia compartido para toda la Unidad 1, 2 y 3 de este curso (no se repite por sesión). El caso de Confecciones Andina S.A.S. es el hilo conductor de todo el semestre — cada semana construye sobre el trabajo de la anterior, sobre las mismas tablas, alojadas en un repositorio único de GitHub.</w:t>
      </w:r>
    </w:p>
    <w:p>
      <w:r>
        <w:br w:type="page"/>
      </w:r>
    </w:p>
    <w:p>
      <w:pPr>
        <w:pStyle w:val="Heading1"/>
        <w:pBdr>
          <w:bottom w:val="single" w:color="0B2240" w:sz="6" w:space="4"/>
        </w:pBdr>
        <w:spacing w:after="140" w:before="320"/>
      </w:pPr>
      <w:r>
        <w:rPr>
          <w:b/>
          <w:bCs/>
          <w:color w:val="0B2240"/>
          <w:sz w:val="28"/>
          <w:szCs w:val="28"/>
        </w:rPr>
        <w:t xml:space="preserve">1. Perfil de la empresa</w:t>
      </w:r>
    </w:p>
    <w:p>
      <w:pPr>
        <w:pStyle w:val="Heading2"/>
        <w:spacing w:after="100" w:before="240"/>
      </w:pPr>
      <w:r>
        <w:rPr>
          <w:b/>
          <w:bCs/>
          <w:color w:val="0B2240"/>
          <w:sz w:val="23"/>
          <w:szCs w:val="23"/>
        </w:rPr>
        <w:t xml:space="preserve">1.1 Confecciones Andina S.A.S.</w:t>
      </w:r>
    </w:p>
    <w:p>
      <w:pPr>
        <w:spacing w:after="150" w:line="300"/>
        <w:jc w:val="both"/>
      </w:pPr>
      <w:r>
        <w:rPr>
          <w:sz w:val="21"/>
          <w:szCs w:val="21"/>
        </w:rPr>
        <w:t xml:space="preserve">Confecciones Andina S.A.S. es una empresa manufacturera de confección textil, fundada en 2005 en Cartagena de Indias, Colombia. Se especializa en la producción de dotación industrial, uniformes corporativos y ropa deportiva básica para clientes institucionales y comerciales en la región Caribe y el interior del país.</w:t>
      </w:r>
    </w:p>
    <w:p>
      <w:pPr>
        <w:spacing w:after="150" w:line="300"/>
        <w:jc w:val="both"/>
      </w:pPr>
      <w:r>
        <w:rPr>
          <w:sz w:val="21"/>
          <w:szCs w:val="21"/>
        </w:rPr>
        <w:t xml:space="preserve">La empresa cuenta actualmente con aproximadamente 180 colaboradores distribuidos en ocho procesos clave: Diseño y Desarrollo, Compras y Proveedores, Corte, Confección, Producto No Conforme (control de calidad), Empaque y Despacho, Servicio al Cliente, y Talento Humano. Su planta principal opera en tres turnos para atender la demanda de sus clientes institucionales.</w:t>
      </w:r>
    </w:p>
    <w:p>
      <w:pPr>
        <w:pStyle w:val="Heading2"/>
        <w:spacing w:after="100" w:before="240"/>
      </w:pPr>
      <w:r>
        <w:rPr>
          <w:b/>
          <w:bCs/>
          <w:color w:val="0B2240"/>
          <w:sz w:val="23"/>
          <w:szCs w:val="23"/>
        </w:rPr>
        <w:t xml:space="preserve">1.2 Contexto de calidad: certificación ISO 9001</w:t>
      </w:r>
    </w:p>
    <w:p>
      <w:pPr>
        <w:spacing w:after="150" w:line="300"/>
        <w:jc w:val="both"/>
      </w:pPr>
      <w:r>
        <w:rPr>
          <w:sz w:val="21"/>
          <w:szCs w:val="21"/>
        </w:rPr>
        <w:t xml:space="preserve">Confecciones Andina obtuvo su certificación ISO 9001 en 2010, cinco años después de su fundación, tras un periodo de crecimiento acelerado que evidenció la necesidad de formalizar su Sistema de Gestión de Calidad (SGC). Desde entonces, la empresa registra sistemáticamente sus no conformidades y ejecuta un programa anual de auditorías internas y externas, en línea con los requisitos de la norma ISO 9001:2015 (ISO, 2015), particularmente las cláusulas 8.7 (control de las salidas no conformes) y 9.2 (auditoría interna).</w:t>
      </w:r>
    </w:p>
    <w:p>
      <w:pPr>
        <w:pStyle w:val="Heading2"/>
        <w:spacing w:after="100" w:before="240"/>
      </w:pPr>
      <w:r>
        <w:rPr>
          <w:b/>
          <w:bCs/>
          <w:color w:val="0B2240"/>
          <w:sz w:val="23"/>
          <w:szCs w:val="23"/>
        </w:rPr>
        <w:t xml:space="preserve">1.3 El problema de negocio que origina este proyecto de datos</w:t>
      </w:r>
    </w:p>
    <w:p>
      <w:pPr>
        <w:spacing w:after="150" w:line="300"/>
        <w:jc w:val="both"/>
      </w:pPr>
      <w:r>
        <w:rPr>
          <w:sz w:val="21"/>
          <w:szCs w:val="21"/>
        </w:rPr>
        <w:t xml:space="preserve">Durante casi dos décadas, el seguimiento del SGC de Confecciones Andina se hizo mediante hojas de cálculo independientes, una por proceso y por año, revisadas manualmente por el Coordinador de Calidad antes de cada comité gerencial. A medida que la empresa creció, este método dejó de ser sostenible: consolidar la información de los ocho procesos tomaba varios días, los datos llegaban desactualizados al comité, y no existía una forma rápida de cruzar no conformidades con resultados de auditoría para identificar procesos verdaderamente críticos. Este es el problema real que el proyecto de Business Intelligence desarrollado a lo largo de este curso busca resolver.</w:t>
      </w:r>
    </w:p>
    <w:p>
      <w:pPr>
        <w:pStyle w:val="Heading1"/>
        <w:pBdr>
          <w:bottom w:val="single" w:color="0B2240" w:sz="6" w:space="4"/>
        </w:pBdr>
        <w:spacing w:after="140" w:before="320"/>
      </w:pPr>
      <w:r>
        <w:rPr>
          <w:b/>
          <w:bCs/>
          <w:color w:val="0B2240"/>
          <w:sz w:val="28"/>
          <w:szCs w:val="28"/>
        </w:rPr>
        <w:t xml:space="preserve">2. Objetivos del sistema de reportes e indicadores</w:t>
      </w:r>
    </w:p>
    <w:p>
      <w:pPr>
        <w:pStyle w:val="ListParagraph"/>
        <w:numPr>
          <w:ilvl w:val="0"/>
          <w:numId w:val="1"/>
        </w:numPr>
        <w:spacing w:after="80" w:line="280"/>
      </w:pPr>
      <w:r>
        <w:rPr>
          <w:sz w:val="21"/>
          <w:szCs w:val="21"/>
        </w:rPr>
        <w:t xml:space="preserve">Dar visibilidad consolidada y actualizada del desempeño del Sistema de Gestión de Calidad a la Gerencia General y al Coordinador de Calidad, sin depender de la consolidación manual de hojas de cálculo.</w:t>
      </w:r>
    </w:p>
    <w:p>
      <w:pPr>
        <w:pStyle w:val="ListParagraph"/>
        <w:numPr>
          <w:ilvl w:val="0"/>
          <w:numId w:val="1"/>
        </w:numPr>
        <w:spacing w:after="80" w:line="280"/>
      </w:pPr>
      <w:r>
        <w:rPr>
          <w:sz w:val="21"/>
          <w:szCs w:val="21"/>
        </w:rPr>
        <w:t xml:space="preserve">Identificar de forma objetiva los procesos críticos de la operación, cruzando volumen de no conformidades con resultados de auditoría — no basándose solo en percepción o intuición.</w:t>
      </w:r>
    </w:p>
    <w:p>
      <w:pPr>
        <w:pStyle w:val="ListParagraph"/>
        <w:numPr>
          <w:ilvl w:val="0"/>
          <w:numId w:val="1"/>
        </w:numPr>
        <w:spacing w:after="80" w:line="280"/>
      </w:pPr>
      <w:r>
        <w:rPr>
          <w:sz w:val="21"/>
          <w:szCs w:val="21"/>
        </w:rPr>
        <w:t xml:space="preserve">Monitorear el cumplimiento de las metas mensuales de no conformidades definidas por proceso, detectando desviaciones a tiempo para tomar acción correctiva antes del cierre del periodo.</w:t>
      </w:r>
    </w:p>
    <w:p>
      <w:pPr>
        <w:pStyle w:val="ListParagraph"/>
        <w:numPr>
          <w:ilvl w:val="0"/>
          <w:numId w:val="1"/>
        </w:numPr>
        <w:spacing w:after="80" w:line="280"/>
      </w:pPr>
      <w:r>
        <w:rPr>
          <w:sz w:val="21"/>
          <w:szCs w:val="21"/>
        </w:rPr>
        <w:t xml:space="preserve">Reducir el tiempo de generación de reportes gerenciales de varios días a minutos, liberando tiempo del equipo de calidad para actividades de mejora en vez de consolidación manual de datos.</w:t>
      </w:r>
    </w:p>
    <w:p>
      <w:pPr>
        <w:pStyle w:val="ListParagraph"/>
        <w:numPr>
          <w:ilvl w:val="0"/>
          <w:numId w:val="1"/>
        </w:numPr>
        <w:spacing w:after="80" w:line="280"/>
      </w:pPr>
      <w:r>
        <w:rPr>
          <w:sz w:val="21"/>
          <w:szCs w:val="21"/>
        </w:rPr>
        <w:t xml:space="preserve">Servir como evidencia objetiva y trazable durante los ciclos de auditoría externa y recertificación ISO 9001.</w:t>
      </w:r>
    </w:p>
    <w:p>
      <w:pPr>
        <w:pStyle w:val="Heading1"/>
        <w:pBdr>
          <w:bottom w:val="single" w:color="0B2240" w:sz="6" w:space="4"/>
        </w:pBdr>
        <w:spacing w:after="140" w:before="320"/>
      </w:pPr>
      <w:r>
        <w:rPr>
          <w:b/>
          <w:bCs/>
          <w:color w:val="0B2240"/>
          <w:sz w:val="28"/>
          <w:szCs w:val="28"/>
        </w:rPr>
        <w:t xml:space="preserve">3. Banco de preguntas de negocio</w:t>
      </w:r>
    </w:p>
    <w:p>
      <w:pPr>
        <w:spacing w:after="150" w:line="300"/>
        <w:jc w:val="both"/>
      </w:pPr>
      <w:r>
        <w:rPr>
          <w:sz w:val="21"/>
          <w:szCs w:val="21"/>
        </w:rPr>
        <w:t xml:space="preserve">Estas preguntas guían el diseño de las visualizaciones y medidas DAX a lo largo de las tres unidades del curso. No todas se resuelven en Unidad 1 — se organizan aquí por el tipo de análisis que requieren, siguiendo la progresión descriptivo → diagnóstico → predictivo/prescriptivo que se trabaja en el curso.</w:t>
      </w:r>
    </w:p>
    <w:p>
      <w:pPr>
        <w:pStyle w:val="Heading2"/>
        <w:spacing w:after="100" w:before="240"/>
      </w:pPr>
      <w:r>
        <w:rPr>
          <w:b/>
          <w:bCs/>
          <w:color w:val="0B2240"/>
          <w:sz w:val="23"/>
          <w:szCs w:val="23"/>
        </w:rPr>
        <w:t xml:space="preserve">3.1 Preguntas descriptivas (qué pasó) — Unidad 1 y 2</w:t>
      </w:r>
    </w:p>
    <w:p>
      <w:pPr>
        <w:pStyle w:val="ListParagraph"/>
        <w:numPr>
          <w:ilvl w:val="0"/>
          <w:numId w:val="1"/>
        </w:numPr>
        <w:spacing w:after="80" w:line="280"/>
      </w:pPr>
      <w:r>
        <w:rPr>
          <w:sz w:val="21"/>
          <w:szCs w:val="21"/>
        </w:rPr>
        <w:t xml:space="preserve">¿Cuántas no conformidades se registraron en total, y cómo se distribuyen por proceso?</w:t>
      </w:r>
    </w:p>
    <w:p>
      <w:pPr>
        <w:pStyle w:val="ListParagraph"/>
        <w:numPr>
          <w:ilvl w:val="0"/>
          <w:numId w:val="1"/>
        </w:numPr>
        <w:spacing w:after="80" w:line="280"/>
      </w:pPr>
      <w:r>
        <w:rPr>
          <w:sz w:val="21"/>
          <w:szCs w:val="21"/>
        </w:rPr>
        <w:t xml:space="preserve">¿Cuál es el costo estimado total de las no conformidades por año?</w:t>
      </w:r>
    </w:p>
    <w:p>
      <w:pPr>
        <w:pStyle w:val="ListParagraph"/>
        <w:numPr>
          <w:ilvl w:val="0"/>
          <w:numId w:val="1"/>
        </w:numPr>
        <w:spacing w:after="80" w:line="280"/>
      </w:pPr>
      <w:r>
        <w:rPr>
          <w:sz w:val="21"/>
          <w:szCs w:val="21"/>
        </w:rPr>
        <w:t xml:space="preserve">¿Cuántas auditorías se realizaron por tipo (interna, seguimiento, externa) y cuál fue la calificación promedio?</w:t>
      </w:r>
    </w:p>
    <w:p>
      <w:pPr>
        <w:pStyle w:val="ListParagraph"/>
        <w:numPr>
          <w:ilvl w:val="0"/>
          <w:numId w:val="1"/>
        </w:numPr>
        <w:spacing w:after="80" w:line="280"/>
      </w:pPr>
      <w:r>
        <w:rPr>
          <w:sz w:val="21"/>
          <w:szCs w:val="21"/>
        </w:rPr>
        <w:t xml:space="preserve">¿Qué porcentaje de las no conformidades siguen abiertas o en tratamiento actualmente?</w:t>
      </w:r>
    </w:p>
    <w:p>
      <w:pPr>
        <w:pStyle w:val="Heading2"/>
        <w:spacing w:after="100" w:before="240"/>
      </w:pPr>
      <w:r>
        <w:rPr>
          <w:b/>
          <w:bCs/>
          <w:color w:val="0B2240"/>
          <w:sz w:val="23"/>
          <w:szCs w:val="23"/>
        </w:rPr>
        <w:t xml:space="preserve">3.2 Preguntas diagnósticas (por qué pasó) — Unidad 2 y 3</w:t>
      </w:r>
    </w:p>
    <w:p>
      <w:pPr>
        <w:pStyle w:val="ListParagraph"/>
        <w:numPr>
          <w:ilvl w:val="0"/>
          <w:numId w:val="1"/>
        </w:numPr>
        <w:spacing w:after="80" w:line="280"/>
      </w:pPr>
      <w:r>
        <w:rPr>
          <w:sz w:val="21"/>
          <w:szCs w:val="21"/>
        </w:rPr>
        <w:t xml:space="preserve">¿Los procesos con más no conformidades son los mismos que obtienen calificaciones de auditoría más bajas?</w:t>
      </w:r>
    </w:p>
    <w:p>
      <w:pPr>
        <w:pStyle w:val="ListParagraph"/>
        <w:numPr>
          <w:ilvl w:val="0"/>
          <w:numId w:val="1"/>
        </w:numPr>
        <w:spacing w:after="80" w:line="280"/>
      </w:pPr>
      <w:r>
        <w:rPr>
          <w:sz w:val="21"/>
          <w:szCs w:val="21"/>
        </w:rPr>
        <w:t xml:space="preserve">¿Qué tipo de hallazgo (cláusula ISO) es más frecuente, y en qué procesos se concentra?</w:t>
      </w:r>
    </w:p>
    <w:p>
      <w:pPr>
        <w:pStyle w:val="ListParagraph"/>
        <w:numPr>
          <w:ilvl w:val="0"/>
          <w:numId w:val="1"/>
        </w:numPr>
        <w:spacing w:after="80" w:line="280"/>
      </w:pPr>
      <w:r>
        <w:rPr>
          <w:sz w:val="21"/>
          <w:szCs w:val="21"/>
        </w:rPr>
        <w:t xml:space="preserve">¿Existen responsables con una carga de casos desproporcionadamente alta frente al resto del equipo?</w:t>
      </w:r>
    </w:p>
    <w:p>
      <w:pPr>
        <w:pStyle w:val="ListParagraph"/>
        <w:numPr>
          <w:ilvl w:val="0"/>
          <w:numId w:val="1"/>
        </w:numPr>
        <w:spacing w:after="80" w:line="280"/>
      </w:pPr>
      <w:r>
        <w:rPr>
          <w:sz w:val="21"/>
          <w:szCs w:val="21"/>
        </w:rPr>
        <w:t xml:space="preserve">¿En qué meses del año se concentran los incumplimientos de la meta de no conformidades por proceso?</w:t>
      </w:r>
    </w:p>
    <w:p>
      <w:pPr>
        <w:pStyle w:val="Heading2"/>
        <w:spacing w:after="100" w:before="240"/>
      </w:pPr>
      <w:r>
        <w:rPr>
          <w:b/>
          <w:bCs/>
          <w:color w:val="0B2240"/>
          <w:sz w:val="23"/>
          <w:szCs w:val="23"/>
        </w:rPr>
        <w:t xml:space="preserve">3.3 Preguntas de seguimiento y control — Unidad 3</w:t>
      </w:r>
    </w:p>
    <w:p>
      <w:pPr>
        <w:pStyle w:val="ListParagraph"/>
        <w:numPr>
          <w:ilvl w:val="0"/>
          <w:numId w:val="1"/>
        </w:numPr>
        <w:spacing w:after="80" w:line="280"/>
      </w:pPr>
      <w:r>
        <w:rPr>
          <w:sz w:val="21"/>
          <w:szCs w:val="21"/>
        </w:rPr>
        <w:t xml:space="preserve">¿Qué procesos superan su meta mensual de no conformidades, y por cuánto?</w:t>
      </w:r>
    </w:p>
    <w:p>
      <w:pPr>
        <w:pStyle w:val="ListParagraph"/>
        <w:numPr>
          <w:ilvl w:val="0"/>
          <w:numId w:val="1"/>
        </w:numPr>
        <w:spacing w:after="80" w:line="280"/>
      </w:pPr>
      <w:r>
        <w:rPr>
          <w:sz w:val="21"/>
          <w:szCs w:val="21"/>
        </w:rPr>
        <w:t xml:space="preserve">¿Cuál es la tendencia del Data Quality del SGC (proporción de casos cerrados a tiempo) a lo largo de los años?</w:t>
      </w:r>
    </w:p>
    <w:p>
      <w:pPr>
        <w:pStyle w:val="Heading1"/>
        <w:pBdr>
          <w:bottom w:val="single" w:color="0B2240" w:sz="6" w:space="4"/>
        </w:pBdr>
        <w:spacing w:after="140" w:before="320"/>
      </w:pPr>
      <w:r>
        <w:rPr>
          <w:b/>
          <w:bCs/>
          <w:color w:val="0B2240"/>
          <w:sz w:val="28"/>
          <w:szCs w:val="28"/>
        </w:rPr>
        <w:t xml:space="preserve">4. Diccionario de datos</w:t>
      </w:r>
    </w:p>
    <w:p>
      <w:pPr>
        <w:spacing w:after="150" w:line="300"/>
        <w:jc w:val="both"/>
      </w:pPr>
      <w:r>
        <w:rPr>
          <w:i/>
          <w:iCs/>
          <w:sz w:val="19"/>
          <w:szCs w:val="19"/>
        </w:rPr>
        <w:t xml:space="preserve">Todas las tablas se consumen desde el repositorio de GitHub: https://raw.githubusercontent.com/hmedrano1979/ITC/main/ConfeccionesAndina_Datos/</w:t>
      </w:r>
    </w:p>
    <w:p>
      <w:pPr>
        <w:pStyle w:val="Heading2"/>
        <w:spacing w:after="100" w:before="240"/>
      </w:pPr>
      <w:r>
        <w:rPr>
          <w:b/>
          <w:bCs/>
          <w:color w:val="0B2240"/>
          <w:sz w:val="23"/>
          <w:szCs w:val="23"/>
        </w:rPr>
        <w:t xml:space="preserve">4.1 Hechos_NoConformidades (tabla de hechos, 6,200 filas, 2005-2024)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40"/>
      </w:tblGrid>
      <w:tr>
        <w:tc>
          <w:tcPr>
            <w:tcW w:type="dxa" w:w="2200"/>
            <w:shd w:fill="0B2240" w:val="clear"/>
            <w:tcMar>
              <w:top w:type="dxa" w:w="80"/>
              <w:left w:type="dxa" w:w="100"/>
              <w:bottom w:type="dxa" w:w="80"/>
              <w:right w:type="dxa" w:w="100"/>
            </w:tcMar>
          </w:tcPr>
          <w:p>
            <w:r>
              <w:rPr>
                <w:b/>
                <w:bCs/>
                <w:color w:val="FFFFFF"/>
                <w:sz w:val="18"/>
                <w:szCs w:val="18"/>
              </w:rPr>
              <w:t xml:space="preserve">Columna</w:t>
            </w:r>
          </w:p>
        </w:tc>
        <w:tc>
          <w:tcPr>
            <w:tcW w:type="dxa" w:w="1000"/>
            <w:shd w:fill="0B2240" w:val="clear"/>
            <w:tcMar>
              <w:top w:type="dxa" w:w="80"/>
              <w:left w:type="dxa" w:w="100"/>
              <w:bottom w:type="dxa" w:w="80"/>
              <w:right w:type="dxa" w:w="100"/>
            </w:tcMar>
          </w:tcPr>
          <w:p>
            <w:r>
              <w:rPr>
                <w:b/>
                <w:bCs/>
                <w:color w:val="FFFFFF"/>
                <w:sz w:val="18"/>
                <w:szCs w:val="18"/>
              </w:rPr>
              <w:t xml:space="preserve">Tipo</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2200"/>
            <w:tcMar>
              <w:top w:type="dxa" w:w="80"/>
              <w:left w:type="dxa" w:w="100"/>
              <w:bottom w:type="dxa" w:w="80"/>
              <w:right w:type="dxa" w:w="100"/>
            </w:tcMar>
          </w:tcPr>
          <w:p>
            <w:r>
              <w:rPr>
                <w:b w:val="false"/>
                <w:bCs w:val="false"/>
                <w:color w:val="111111"/>
                <w:sz w:val="18"/>
                <w:szCs w:val="18"/>
              </w:rPr>
              <w:t xml:space="preserve">ID_Caso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Identificador único del caso de no conformidad (NC-######)</w:t>
            </w:r>
          </w:p>
        </w:tc>
      </w:tr>
      <w:tr>
        <w:tc>
          <w:tcPr>
            <w:tcW w:type="dxa" w:w="2200"/>
            <w:tcMar>
              <w:top w:type="dxa" w:w="80"/>
              <w:left w:type="dxa" w:w="100"/>
              <w:bottom w:type="dxa" w:w="80"/>
              <w:right w:type="dxa" w:w="100"/>
            </w:tcMar>
          </w:tcPr>
          <w:p>
            <w:r>
              <w:rPr>
                <w:b w:val="false"/>
                <w:bCs w:val="false"/>
                <w:color w:val="111111"/>
                <w:sz w:val="18"/>
                <w:szCs w:val="18"/>
              </w:rPr>
              <w:t xml:space="preserve">Fecha_Deteccion</w:t>
            </w:r>
          </w:p>
        </w:tc>
        <w:tc>
          <w:tcPr>
            <w:tcW w:type="dxa" w:w="1000"/>
            <w:tcMar>
              <w:top w:type="dxa" w:w="80"/>
              <w:left w:type="dxa" w:w="100"/>
              <w:bottom w:type="dxa" w:w="80"/>
              <w:right w:type="dxa" w:w="100"/>
            </w:tcMar>
          </w:tcPr>
          <w:p>
            <w:r>
              <w:rPr>
                <w:b w:val="false"/>
                <w:bCs w:val="false"/>
                <w:color w:val="111111"/>
                <w:sz w:val="18"/>
                <w:szCs w:val="18"/>
              </w:rPr>
              <w:t xml:space="preserve">Fecha</w:t>
            </w:r>
          </w:p>
        </w:tc>
        <w:tc>
          <w:tcPr>
            <w:tcW w:type="dxa" w:w="6240"/>
            <w:tcMar>
              <w:top w:type="dxa" w:w="80"/>
              <w:left w:type="dxa" w:w="100"/>
              <w:bottom w:type="dxa" w:w="80"/>
              <w:right w:type="dxa" w:w="100"/>
            </w:tcMar>
          </w:tcPr>
          <w:p>
            <w:r>
              <w:rPr>
                <w:b w:val="false"/>
                <w:bCs w:val="false"/>
                <w:color w:val="111111"/>
                <w:sz w:val="18"/>
                <w:szCs w:val="18"/>
              </w:rPr>
              <w:t xml:space="preserve">Fecha en que se detectó la no conformidad</w:t>
            </w:r>
          </w:p>
        </w:tc>
      </w:tr>
      <w:tr>
        <w:tc>
          <w:tcPr>
            <w:tcW w:type="dxa" w:w="2200"/>
            <w:tcMar>
              <w:top w:type="dxa" w:w="80"/>
              <w:left w:type="dxa" w:w="100"/>
              <w:bottom w:type="dxa" w:w="80"/>
              <w:right w:type="dxa" w:w="100"/>
            </w:tcMar>
          </w:tcPr>
          <w:p>
            <w:r>
              <w:rPr>
                <w:b w:val="false"/>
                <w:bCs w:val="false"/>
                <w:color w:val="111111"/>
                <w:sz w:val="18"/>
                <w:szCs w:val="18"/>
              </w:rPr>
              <w:t xml:space="preserve">Proceso_ID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foránea hacia Dim_Proceso</w:t>
            </w:r>
          </w:p>
        </w:tc>
      </w:tr>
      <w:tr>
        <w:tc>
          <w:tcPr>
            <w:tcW w:type="dxa" w:w="2200"/>
            <w:tcMar>
              <w:top w:type="dxa" w:w="80"/>
              <w:left w:type="dxa" w:w="100"/>
              <w:bottom w:type="dxa" w:w="80"/>
              <w:right w:type="dxa" w:w="100"/>
            </w:tcMar>
          </w:tcPr>
          <w:p>
            <w:r>
              <w:rPr>
                <w:b w:val="false"/>
                <w:bCs w:val="false"/>
                <w:color w:val="111111"/>
                <w:sz w:val="18"/>
                <w:szCs w:val="18"/>
              </w:rPr>
              <w:t xml:space="preserve">Tipo_Hallazgo_ID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foránea hacia Dim_Tipo_Hallazgo</w:t>
            </w:r>
          </w:p>
        </w:tc>
      </w:tr>
      <w:tr>
        <w:tc>
          <w:tcPr>
            <w:tcW w:type="dxa" w:w="2200"/>
            <w:tcMar>
              <w:top w:type="dxa" w:w="80"/>
              <w:left w:type="dxa" w:w="100"/>
              <w:bottom w:type="dxa" w:w="80"/>
              <w:right w:type="dxa" w:w="100"/>
            </w:tcMar>
          </w:tcPr>
          <w:p>
            <w:r>
              <w:rPr>
                <w:b w:val="false"/>
                <w:bCs w:val="false"/>
                <w:color w:val="111111"/>
                <w:sz w:val="18"/>
                <w:szCs w:val="18"/>
              </w:rPr>
              <w:t xml:space="preserve">Severidad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Baja / Media / Alta / Crítica</w:t>
            </w:r>
          </w:p>
        </w:tc>
      </w:tr>
      <w:tr>
        <w:tc>
          <w:tcPr>
            <w:tcW w:type="dxa" w:w="2200"/>
            <w:tcMar>
              <w:top w:type="dxa" w:w="80"/>
              <w:left w:type="dxa" w:w="100"/>
              <w:bottom w:type="dxa" w:w="80"/>
              <w:right w:type="dxa" w:w="100"/>
            </w:tcMar>
          </w:tcPr>
          <w:p>
            <w:r>
              <w:rPr>
                <w:b w:val="false"/>
                <w:bCs w:val="false"/>
                <w:color w:val="111111"/>
                <w:sz w:val="18"/>
                <w:szCs w:val="18"/>
              </w:rPr>
              <w:t xml:space="preserve">Origen_Deteccion</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Cómo se detectó (auditoría, inspección, queja de cliente...)</w:t>
            </w:r>
          </w:p>
        </w:tc>
      </w:tr>
      <w:tr>
        <w:tc>
          <w:tcPr>
            <w:tcW w:type="dxa" w:w="2200"/>
            <w:tcMar>
              <w:top w:type="dxa" w:w="80"/>
              <w:left w:type="dxa" w:w="100"/>
              <w:bottom w:type="dxa" w:w="80"/>
              <w:right w:type="dxa" w:w="100"/>
            </w:tcMar>
          </w:tcPr>
          <w:p>
            <w:r>
              <w:rPr>
                <w:b w:val="false"/>
                <w:bCs w:val="false"/>
                <w:color w:val="111111"/>
                <w:sz w:val="18"/>
                <w:szCs w:val="18"/>
              </w:rPr>
              <w:t xml:space="preserve">Estado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Abierta / En Tratamiento / Cerrada</w:t>
            </w:r>
          </w:p>
        </w:tc>
      </w:tr>
      <w:tr>
        <w:tc>
          <w:tcPr>
            <w:tcW w:type="dxa" w:w="2200"/>
            <w:tcMar>
              <w:top w:type="dxa" w:w="80"/>
              <w:left w:type="dxa" w:w="100"/>
              <w:bottom w:type="dxa" w:w="80"/>
              <w:right w:type="dxa" w:w="100"/>
            </w:tcMar>
          </w:tcPr>
          <w:p>
            <w:r>
              <w:rPr>
                <w:b w:val="false"/>
                <w:bCs w:val="false"/>
                <w:color w:val="111111"/>
                <w:sz w:val="18"/>
                <w:szCs w:val="18"/>
              </w:rPr>
              <w:t xml:space="preserve">Fecha_Cierre</w:t>
            </w:r>
          </w:p>
        </w:tc>
        <w:tc>
          <w:tcPr>
            <w:tcW w:type="dxa" w:w="1000"/>
            <w:tcMar>
              <w:top w:type="dxa" w:w="80"/>
              <w:left w:type="dxa" w:w="100"/>
              <w:bottom w:type="dxa" w:w="80"/>
              <w:right w:type="dxa" w:w="100"/>
            </w:tcMar>
          </w:tcPr>
          <w:p>
            <w:r>
              <w:rPr>
                <w:b w:val="false"/>
                <w:bCs w:val="false"/>
                <w:color w:val="111111"/>
                <w:sz w:val="18"/>
                <w:szCs w:val="18"/>
              </w:rPr>
              <w:t xml:space="preserve">Fecha</w:t>
            </w:r>
          </w:p>
        </w:tc>
        <w:tc>
          <w:tcPr>
            <w:tcW w:type="dxa" w:w="6240"/>
            <w:tcMar>
              <w:top w:type="dxa" w:w="80"/>
              <w:left w:type="dxa" w:w="100"/>
              <w:bottom w:type="dxa" w:w="80"/>
              <w:right w:type="dxa" w:w="100"/>
            </w:tcMar>
          </w:tcPr>
          <w:p>
            <w:r>
              <w:rPr>
                <w:b w:val="false"/>
                <w:bCs w:val="false"/>
                <w:color w:val="111111"/>
                <w:sz w:val="18"/>
                <w:szCs w:val="18"/>
              </w:rPr>
              <w:t xml:space="preserve">Fecha de cierre (vacía si sigue abierta)</w:t>
            </w:r>
          </w:p>
        </w:tc>
      </w:tr>
      <w:tr>
        <w:tc>
          <w:tcPr>
            <w:tcW w:type="dxa" w:w="2200"/>
            <w:tcMar>
              <w:top w:type="dxa" w:w="80"/>
              <w:left w:type="dxa" w:w="100"/>
              <w:bottom w:type="dxa" w:w="80"/>
              <w:right w:type="dxa" w:w="100"/>
            </w:tcMar>
          </w:tcPr>
          <w:p>
            <w:r>
              <w:rPr>
                <w:b w:val="false"/>
                <w:bCs w:val="false"/>
                <w:color w:val="111111"/>
                <w:sz w:val="18"/>
                <w:szCs w:val="18"/>
              </w:rPr>
              <w:t xml:space="preserve">Dias_Para_Cierre</w:t>
            </w:r>
          </w:p>
        </w:tc>
        <w:tc>
          <w:tcPr>
            <w:tcW w:type="dxa" w:w="1000"/>
            <w:tcMar>
              <w:top w:type="dxa" w:w="80"/>
              <w:left w:type="dxa" w:w="100"/>
              <w:bottom w:type="dxa" w:w="80"/>
              <w:right w:type="dxa" w:w="100"/>
            </w:tcMar>
          </w:tcPr>
          <w:p>
            <w:r>
              <w:rPr>
                <w:b w:val="false"/>
                <w:bCs w:val="false"/>
                <w:color w:val="111111"/>
                <w:sz w:val="18"/>
                <w:szCs w:val="18"/>
              </w:rPr>
              <w:t xml:space="preserve">Número</w:t>
            </w:r>
          </w:p>
        </w:tc>
        <w:tc>
          <w:tcPr>
            <w:tcW w:type="dxa" w:w="6240"/>
            <w:tcMar>
              <w:top w:type="dxa" w:w="80"/>
              <w:left w:type="dxa" w:w="100"/>
              <w:bottom w:type="dxa" w:w="80"/>
              <w:right w:type="dxa" w:w="100"/>
            </w:tcMar>
          </w:tcPr>
          <w:p>
            <w:r>
              <w:rPr>
                <w:b w:val="false"/>
                <w:bCs w:val="false"/>
                <w:color w:val="111111"/>
                <w:sz w:val="18"/>
                <w:szCs w:val="18"/>
              </w:rPr>
              <w:t xml:space="preserve">Días transcurridos entre detección y cierre</w:t>
            </w:r>
          </w:p>
        </w:tc>
      </w:tr>
      <w:tr>
        <w:tc>
          <w:tcPr>
            <w:tcW w:type="dxa" w:w="2200"/>
            <w:tcMar>
              <w:top w:type="dxa" w:w="80"/>
              <w:left w:type="dxa" w:w="100"/>
              <w:bottom w:type="dxa" w:w="80"/>
              <w:right w:type="dxa" w:w="100"/>
            </w:tcMar>
          </w:tcPr>
          <w:p>
            <w:r>
              <w:rPr>
                <w:b w:val="false"/>
                <w:bCs w:val="false"/>
                <w:color w:val="111111"/>
                <w:sz w:val="18"/>
                <w:szCs w:val="18"/>
              </w:rPr>
              <w:t xml:space="preserve">Responsable_ID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foránea hacia Dim_Responsable</w:t>
            </w:r>
          </w:p>
        </w:tc>
      </w:tr>
      <w:tr>
        <w:tc>
          <w:tcPr>
            <w:tcW w:type="dxa" w:w="2200"/>
            <w:tcMar>
              <w:top w:type="dxa" w:w="80"/>
              <w:left w:type="dxa" w:w="100"/>
              <w:bottom w:type="dxa" w:w="80"/>
              <w:right w:type="dxa" w:w="100"/>
            </w:tcMar>
          </w:tcPr>
          <w:p>
            <w:r>
              <w:rPr>
                <w:b w:val="false"/>
                <w:bCs w:val="false"/>
                <w:color w:val="111111"/>
                <w:sz w:val="18"/>
                <w:szCs w:val="18"/>
              </w:rPr>
              <w:t xml:space="preserve">Costo_Estimado_COP</w:t>
            </w:r>
          </w:p>
        </w:tc>
        <w:tc>
          <w:tcPr>
            <w:tcW w:type="dxa" w:w="1000"/>
            <w:tcMar>
              <w:top w:type="dxa" w:w="80"/>
              <w:left w:type="dxa" w:w="100"/>
              <w:bottom w:type="dxa" w:w="80"/>
              <w:right w:type="dxa" w:w="100"/>
            </w:tcMar>
          </w:tcPr>
          <w:p>
            <w:r>
              <w:rPr>
                <w:b w:val="false"/>
                <w:bCs w:val="false"/>
                <w:color w:val="111111"/>
                <w:sz w:val="18"/>
                <w:szCs w:val="18"/>
              </w:rPr>
              <w:t xml:space="preserve">Número</w:t>
            </w:r>
          </w:p>
        </w:tc>
        <w:tc>
          <w:tcPr>
            <w:tcW w:type="dxa" w:w="6240"/>
            <w:tcMar>
              <w:top w:type="dxa" w:w="80"/>
              <w:left w:type="dxa" w:w="100"/>
              <w:bottom w:type="dxa" w:w="80"/>
              <w:right w:type="dxa" w:w="100"/>
            </w:tcMar>
          </w:tcPr>
          <w:p>
            <w:r>
              <w:rPr>
                <w:b w:val="false"/>
                <w:bCs w:val="false"/>
                <w:color w:val="111111"/>
                <w:sz w:val="18"/>
                <w:szCs w:val="18"/>
              </w:rPr>
              <w:t xml:space="preserve">Costo estimado asociado al caso, en pesos colombianos</w:t>
            </w:r>
          </w:p>
        </w:tc>
      </w:tr>
    </w:tbl>
    <w:p>
      <w:pPr>
        <w:pStyle w:val="Heading2"/>
        <w:spacing w:after="100" w:before="240"/>
      </w:pPr>
      <w:r>
        <w:rPr>
          <w:b/>
          <w:bCs/>
          <w:color w:val="0B2240"/>
          <w:sz w:val="23"/>
          <w:szCs w:val="23"/>
        </w:rPr>
        <w:t xml:space="preserve">4.2 Hechos_Auditorias (tabla de hechos, 420 filas, 2005-2024)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40"/>
      </w:tblGrid>
      <w:tr>
        <w:tc>
          <w:tcPr>
            <w:tcW w:type="dxa" w:w="2200"/>
            <w:shd w:fill="0B2240" w:val="clear"/>
            <w:tcMar>
              <w:top w:type="dxa" w:w="80"/>
              <w:left w:type="dxa" w:w="100"/>
              <w:bottom w:type="dxa" w:w="80"/>
              <w:right w:type="dxa" w:w="100"/>
            </w:tcMar>
          </w:tcPr>
          <w:p>
            <w:r>
              <w:rPr>
                <w:b/>
                <w:bCs/>
                <w:color w:val="FFFFFF"/>
                <w:sz w:val="18"/>
                <w:szCs w:val="18"/>
              </w:rPr>
              <w:t xml:space="preserve">Columna</w:t>
            </w:r>
          </w:p>
        </w:tc>
        <w:tc>
          <w:tcPr>
            <w:tcW w:type="dxa" w:w="1000"/>
            <w:shd w:fill="0B2240" w:val="clear"/>
            <w:tcMar>
              <w:top w:type="dxa" w:w="80"/>
              <w:left w:type="dxa" w:w="100"/>
              <w:bottom w:type="dxa" w:w="80"/>
              <w:right w:type="dxa" w:w="100"/>
            </w:tcMar>
          </w:tcPr>
          <w:p>
            <w:r>
              <w:rPr>
                <w:b/>
                <w:bCs/>
                <w:color w:val="FFFFFF"/>
                <w:sz w:val="18"/>
                <w:szCs w:val="18"/>
              </w:rPr>
              <w:t xml:space="preserve">Tipo</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2200"/>
            <w:tcMar>
              <w:top w:type="dxa" w:w="80"/>
              <w:left w:type="dxa" w:w="100"/>
              <w:bottom w:type="dxa" w:w="80"/>
              <w:right w:type="dxa" w:w="100"/>
            </w:tcMar>
          </w:tcPr>
          <w:p>
            <w:r>
              <w:rPr>
                <w:b w:val="false"/>
                <w:bCs w:val="false"/>
                <w:color w:val="111111"/>
                <w:sz w:val="18"/>
                <w:szCs w:val="18"/>
              </w:rPr>
              <w:t xml:space="preserve">ID_Auditoria</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Identificador único de la auditoría (AUD-#####)</w:t>
            </w:r>
          </w:p>
        </w:tc>
      </w:tr>
      <w:tr>
        <w:tc>
          <w:tcPr>
            <w:tcW w:type="dxa" w:w="2200"/>
            <w:tcMar>
              <w:top w:type="dxa" w:w="80"/>
              <w:left w:type="dxa" w:w="100"/>
              <w:bottom w:type="dxa" w:w="80"/>
              <w:right w:type="dxa" w:w="100"/>
            </w:tcMar>
          </w:tcPr>
          <w:p>
            <w:r>
              <w:rPr>
                <w:b w:val="false"/>
                <w:bCs w:val="false"/>
                <w:color w:val="111111"/>
                <w:sz w:val="18"/>
                <w:szCs w:val="18"/>
              </w:rPr>
              <w:t xml:space="preserve">Fecha_Auditoria</w:t>
            </w:r>
          </w:p>
        </w:tc>
        <w:tc>
          <w:tcPr>
            <w:tcW w:type="dxa" w:w="1000"/>
            <w:tcMar>
              <w:top w:type="dxa" w:w="80"/>
              <w:left w:type="dxa" w:w="100"/>
              <w:bottom w:type="dxa" w:w="80"/>
              <w:right w:type="dxa" w:w="100"/>
            </w:tcMar>
          </w:tcPr>
          <w:p>
            <w:r>
              <w:rPr>
                <w:b w:val="false"/>
                <w:bCs w:val="false"/>
                <w:color w:val="111111"/>
                <w:sz w:val="18"/>
                <w:szCs w:val="18"/>
              </w:rPr>
              <w:t xml:space="preserve">Fecha</w:t>
            </w:r>
          </w:p>
        </w:tc>
        <w:tc>
          <w:tcPr>
            <w:tcW w:type="dxa" w:w="6240"/>
            <w:tcMar>
              <w:top w:type="dxa" w:w="80"/>
              <w:left w:type="dxa" w:w="100"/>
              <w:bottom w:type="dxa" w:w="80"/>
              <w:right w:type="dxa" w:w="100"/>
            </w:tcMar>
          </w:tcPr>
          <w:p>
            <w:r>
              <w:rPr>
                <w:b w:val="false"/>
                <w:bCs w:val="false"/>
                <w:color w:val="111111"/>
                <w:sz w:val="18"/>
                <w:szCs w:val="18"/>
              </w:rPr>
              <w:t xml:space="preserve">Fecha de realización de la auditoría</w:t>
            </w:r>
          </w:p>
        </w:tc>
      </w:tr>
      <w:tr>
        <w:tc>
          <w:tcPr>
            <w:tcW w:type="dxa" w:w="2200"/>
            <w:tcMar>
              <w:top w:type="dxa" w:w="80"/>
              <w:left w:type="dxa" w:w="100"/>
              <w:bottom w:type="dxa" w:w="80"/>
              <w:right w:type="dxa" w:w="100"/>
            </w:tcMar>
          </w:tcPr>
          <w:p>
            <w:r>
              <w:rPr>
                <w:b w:val="false"/>
                <w:bCs w:val="false"/>
                <w:color w:val="111111"/>
                <w:sz w:val="18"/>
                <w:szCs w:val="18"/>
              </w:rPr>
              <w:t xml:space="preserve">Proceso_ID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foránea hacia Dim_Proceso</w:t>
            </w:r>
          </w:p>
        </w:tc>
      </w:tr>
      <w:tr>
        <w:tc>
          <w:tcPr>
            <w:tcW w:type="dxa" w:w="2200"/>
            <w:tcMar>
              <w:top w:type="dxa" w:w="80"/>
              <w:left w:type="dxa" w:w="100"/>
              <w:bottom w:type="dxa" w:w="80"/>
              <w:right w:type="dxa" w:w="100"/>
            </w:tcMar>
          </w:tcPr>
          <w:p>
            <w:r>
              <w:rPr>
                <w:b w:val="false"/>
                <w:bCs w:val="false"/>
                <w:color w:val="111111"/>
                <w:sz w:val="18"/>
                <w:szCs w:val="18"/>
              </w:rPr>
              <w:t xml:space="preserve">Tipo_Auditoria</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Interna Programada / de Seguimiento / Externa ISO 9001</w:t>
            </w:r>
          </w:p>
        </w:tc>
      </w:tr>
      <w:tr>
        <w:tc>
          <w:tcPr>
            <w:tcW w:type="dxa" w:w="2200"/>
            <w:tcMar>
              <w:top w:type="dxa" w:w="80"/>
              <w:left w:type="dxa" w:w="100"/>
              <w:bottom w:type="dxa" w:w="80"/>
              <w:right w:type="dxa" w:w="100"/>
            </w:tcMar>
          </w:tcPr>
          <w:p>
            <w:r>
              <w:rPr>
                <w:b w:val="false"/>
                <w:bCs w:val="false"/>
                <w:color w:val="111111"/>
                <w:sz w:val="18"/>
                <w:szCs w:val="18"/>
              </w:rPr>
              <w:t xml:space="preserve">Auditor_ID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foránea hacia Dim_Responsable</w:t>
            </w:r>
          </w:p>
        </w:tc>
      </w:tr>
      <w:tr>
        <w:tc>
          <w:tcPr>
            <w:tcW w:type="dxa" w:w="2200"/>
            <w:tcMar>
              <w:top w:type="dxa" w:w="80"/>
              <w:left w:type="dxa" w:w="100"/>
              <w:bottom w:type="dxa" w:w="80"/>
              <w:right w:type="dxa" w:w="100"/>
            </w:tcMar>
          </w:tcPr>
          <w:p>
            <w:r>
              <w:rPr>
                <w:b w:val="false"/>
                <w:bCs w:val="false"/>
                <w:color w:val="111111"/>
                <w:sz w:val="18"/>
                <w:szCs w:val="18"/>
              </w:rPr>
              <w:t xml:space="preserve">Numero_Hallazgos</w:t>
            </w:r>
          </w:p>
        </w:tc>
        <w:tc>
          <w:tcPr>
            <w:tcW w:type="dxa" w:w="1000"/>
            <w:tcMar>
              <w:top w:type="dxa" w:w="80"/>
              <w:left w:type="dxa" w:w="100"/>
              <w:bottom w:type="dxa" w:w="80"/>
              <w:right w:type="dxa" w:w="100"/>
            </w:tcMar>
          </w:tcPr>
          <w:p>
            <w:r>
              <w:rPr>
                <w:b w:val="false"/>
                <w:bCs w:val="false"/>
                <w:color w:val="111111"/>
                <w:sz w:val="18"/>
                <w:szCs w:val="18"/>
              </w:rPr>
              <w:t xml:space="preserve">Número</w:t>
            </w:r>
          </w:p>
        </w:tc>
        <w:tc>
          <w:tcPr>
            <w:tcW w:type="dxa" w:w="6240"/>
            <w:tcMar>
              <w:top w:type="dxa" w:w="80"/>
              <w:left w:type="dxa" w:w="100"/>
              <w:bottom w:type="dxa" w:w="80"/>
              <w:right w:type="dxa" w:w="100"/>
            </w:tcMar>
          </w:tcPr>
          <w:p>
            <w:r>
              <w:rPr>
                <w:b w:val="false"/>
                <w:bCs w:val="false"/>
                <w:color w:val="111111"/>
                <w:sz w:val="18"/>
                <w:szCs w:val="18"/>
              </w:rPr>
              <w:t xml:space="preserve">Cantidad de hallazgos identificados en la auditoría</w:t>
            </w:r>
          </w:p>
        </w:tc>
      </w:tr>
      <w:tr>
        <w:tc>
          <w:tcPr>
            <w:tcW w:type="dxa" w:w="2200"/>
            <w:tcMar>
              <w:top w:type="dxa" w:w="80"/>
              <w:left w:type="dxa" w:w="100"/>
              <w:bottom w:type="dxa" w:w="80"/>
              <w:right w:type="dxa" w:w="100"/>
            </w:tcMar>
          </w:tcPr>
          <w:p>
            <w:r>
              <w:rPr>
                <w:b w:val="false"/>
                <w:bCs w:val="false"/>
                <w:color w:val="111111"/>
                <w:sz w:val="18"/>
                <w:szCs w:val="18"/>
              </w:rPr>
              <w:t xml:space="preserve">Calificacion</w:t>
            </w:r>
          </w:p>
        </w:tc>
        <w:tc>
          <w:tcPr>
            <w:tcW w:type="dxa" w:w="1000"/>
            <w:tcMar>
              <w:top w:type="dxa" w:w="80"/>
              <w:left w:type="dxa" w:w="100"/>
              <w:bottom w:type="dxa" w:w="80"/>
              <w:right w:type="dxa" w:w="100"/>
            </w:tcMar>
          </w:tcPr>
          <w:p>
            <w:r>
              <w:rPr>
                <w:b w:val="false"/>
                <w:bCs w:val="false"/>
                <w:color w:val="111111"/>
                <w:sz w:val="18"/>
                <w:szCs w:val="18"/>
              </w:rPr>
              <w:t xml:space="preserve">Número</w:t>
            </w:r>
          </w:p>
        </w:tc>
        <w:tc>
          <w:tcPr>
            <w:tcW w:type="dxa" w:w="6240"/>
            <w:tcMar>
              <w:top w:type="dxa" w:w="80"/>
              <w:left w:type="dxa" w:w="100"/>
              <w:bottom w:type="dxa" w:w="80"/>
              <w:right w:type="dxa" w:w="100"/>
            </w:tcMar>
          </w:tcPr>
          <w:p>
            <w:r>
              <w:rPr>
                <w:b w:val="false"/>
                <w:bCs w:val="false"/>
                <w:color w:val="111111"/>
                <w:sz w:val="18"/>
                <w:szCs w:val="18"/>
              </w:rPr>
              <w:t xml:space="preserve">Calificación de la auditoría, escala 0-100</w:t>
            </w:r>
          </w:p>
        </w:tc>
      </w:tr>
      <w:tr>
        <w:tc>
          <w:tcPr>
            <w:tcW w:type="dxa" w:w="2200"/>
            <w:tcMar>
              <w:top w:type="dxa" w:w="80"/>
              <w:left w:type="dxa" w:w="100"/>
              <w:bottom w:type="dxa" w:w="80"/>
              <w:right w:type="dxa" w:w="100"/>
            </w:tcMar>
          </w:tcPr>
          <w:p>
            <w:r>
              <w:rPr>
                <w:b w:val="false"/>
                <w:bCs w:val="false"/>
                <w:color w:val="111111"/>
                <w:sz w:val="18"/>
                <w:szCs w:val="18"/>
              </w:rPr>
              <w:t xml:space="preserve">Estado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Cerrada / En Revisión</w:t>
            </w:r>
          </w:p>
        </w:tc>
      </w:tr>
    </w:tbl>
    <w:p>
      <w:pPr>
        <w:pStyle w:val="Heading2"/>
        <w:spacing w:after="100" w:before="240"/>
      </w:pPr>
      <w:r>
        <w:rPr>
          <w:b/>
          <w:bCs/>
          <w:color w:val="0B2240"/>
          <w:sz w:val="23"/>
          <w:szCs w:val="23"/>
        </w:rPr>
        <w:t xml:space="preserve">4.3 Metas_Mensuales_Proceso (tabla ancha, 160 filas, formato wide 2005-2024)</w:t>
      </w:r>
    </w:p>
    <w:p>
      <w:pPr>
        <w:spacing w:after="150" w:line="300"/>
        <w:jc w:val="both"/>
      </w:pPr>
      <w:r>
        <w:rPr>
          <w:sz w:val="21"/>
          <w:szCs w:val="21"/>
        </w:rPr>
        <w:t xml:space="preserve">Formato ANCHO deliberado: una columna por mes (Ene...Dic). Se usa en la Semana 3 para enseñar Anular dinamización de columnas (Unpivot), transformándola al formato largo necesario para relacionarla con el resto del modelo.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40"/>
      </w:tblGrid>
      <w:tr>
        <w:tc>
          <w:tcPr>
            <w:tcW w:type="dxa" w:w="2200"/>
            <w:shd w:fill="0B2240" w:val="clear"/>
            <w:tcMar>
              <w:top w:type="dxa" w:w="80"/>
              <w:left w:type="dxa" w:w="100"/>
              <w:bottom w:type="dxa" w:w="80"/>
              <w:right w:type="dxa" w:w="100"/>
            </w:tcMar>
          </w:tcPr>
          <w:p>
            <w:r>
              <w:rPr>
                <w:b/>
                <w:bCs/>
                <w:color w:val="FFFFFF"/>
                <w:sz w:val="18"/>
                <w:szCs w:val="18"/>
              </w:rPr>
              <w:t xml:space="preserve">Columna</w:t>
            </w:r>
          </w:p>
        </w:tc>
        <w:tc>
          <w:tcPr>
            <w:tcW w:type="dxa" w:w="1000"/>
            <w:shd w:fill="0B2240" w:val="clear"/>
            <w:tcMar>
              <w:top w:type="dxa" w:w="80"/>
              <w:left w:type="dxa" w:w="100"/>
              <w:bottom w:type="dxa" w:w="80"/>
              <w:right w:type="dxa" w:w="100"/>
            </w:tcMar>
          </w:tcPr>
          <w:p>
            <w:r>
              <w:rPr>
                <w:b/>
                <w:bCs/>
                <w:color w:val="FFFFFF"/>
                <w:sz w:val="18"/>
                <w:szCs w:val="18"/>
              </w:rPr>
              <w:t xml:space="preserve">Tipo</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2200"/>
            <w:tcMar>
              <w:top w:type="dxa" w:w="80"/>
              <w:left w:type="dxa" w:w="100"/>
              <w:bottom w:type="dxa" w:w="80"/>
              <w:right w:type="dxa" w:w="100"/>
            </w:tcMar>
          </w:tcPr>
          <w:p>
            <w:r>
              <w:rPr>
                <w:b w:val="false"/>
                <w:bCs w:val="false"/>
                <w:color w:val="111111"/>
                <w:sz w:val="18"/>
                <w:szCs w:val="18"/>
              </w:rPr>
              <w:t xml:space="preserve">Proceso_ID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foránea hacia Dim_Proceso</w:t>
            </w:r>
          </w:p>
        </w:tc>
      </w:tr>
      <w:tr>
        <w:tc>
          <w:tcPr>
            <w:tcW w:type="dxa" w:w="2200"/>
            <w:tcMar>
              <w:top w:type="dxa" w:w="80"/>
              <w:left w:type="dxa" w:w="100"/>
              <w:bottom w:type="dxa" w:w="80"/>
              <w:right w:type="dxa" w:w="100"/>
            </w:tcMar>
          </w:tcPr>
          <w:p>
            <w:r>
              <w:rPr>
                <w:b w:val="false"/>
                <w:bCs w:val="false"/>
                <w:color w:val="111111"/>
                <w:sz w:val="18"/>
                <w:szCs w:val="18"/>
              </w:rPr>
              <w:t xml:space="preserve">Anio</w:t>
            </w:r>
          </w:p>
        </w:tc>
        <w:tc>
          <w:tcPr>
            <w:tcW w:type="dxa" w:w="1000"/>
            <w:tcMar>
              <w:top w:type="dxa" w:w="80"/>
              <w:left w:type="dxa" w:w="100"/>
              <w:bottom w:type="dxa" w:w="80"/>
              <w:right w:type="dxa" w:w="100"/>
            </w:tcMar>
          </w:tcPr>
          <w:p>
            <w:r>
              <w:rPr>
                <w:b w:val="false"/>
                <w:bCs w:val="false"/>
                <w:color w:val="111111"/>
                <w:sz w:val="18"/>
                <w:szCs w:val="18"/>
              </w:rPr>
              <w:t xml:space="preserve">Número</w:t>
            </w:r>
          </w:p>
        </w:tc>
        <w:tc>
          <w:tcPr>
            <w:tcW w:type="dxa" w:w="6240"/>
            <w:tcMar>
              <w:top w:type="dxa" w:w="80"/>
              <w:left w:type="dxa" w:w="100"/>
              <w:bottom w:type="dxa" w:w="80"/>
              <w:right w:type="dxa" w:w="100"/>
            </w:tcMar>
          </w:tcPr>
          <w:p>
            <w:r>
              <w:rPr>
                <w:b w:val="false"/>
                <w:bCs w:val="false"/>
                <w:color w:val="111111"/>
                <w:sz w:val="18"/>
                <w:szCs w:val="18"/>
              </w:rPr>
              <w:t xml:space="preserve">Año de la meta</w:t>
            </w:r>
          </w:p>
        </w:tc>
      </w:tr>
      <w:tr>
        <w:tc>
          <w:tcPr>
            <w:tcW w:type="dxa" w:w="2200"/>
            <w:tcMar>
              <w:top w:type="dxa" w:w="80"/>
              <w:left w:type="dxa" w:w="100"/>
              <w:bottom w:type="dxa" w:w="80"/>
              <w:right w:type="dxa" w:w="100"/>
            </w:tcMar>
          </w:tcPr>
          <w:p>
            <w:r>
              <w:rPr>
                <w:b w:val="false"/>
                <w:bCs w:val="false"/>
                <w:color w:val="111111"/>
                <w:sz w:val="18"/>
                <w:szCs w:val="18"/>
              </w:rPr>
              <w:t xml:space="preserve">Ene ... Dic</w:t>
            </w:r>
          </w:p>
        </w:tc>
        <w:tc>
          <w:tcPr>
            <w:tcW w:type="dxa" w:w="1000"/>
            <w:tcMar>
              <w:top w:type="dxa" w:w="80"/>
              <w:left w:type="dxa" w:w="100"/>
              <w:bottom w:type="dxa" w:w="80"/>
              <w:right w:type="dxa" w:w="100"/>
            </w:tcMar>
          </w:tcPr>
          <w:p>
            <w:r>
              <w:rPr>
                <w:b w:val="false"/>
                <w:bCs w:val="false"/>
                <w:color w:val="111111"/>
                <w:sz w:val="18"/>
                <w:szCs w:val="18"/>
              </w:rPr>
              <w:t xml:space="preserve">Número (×12)</w:t>
            </w:r>
          </w:p>
        </w:tc>
        <w:tc>
          <w:tcPr>
            <w:tcW w:type="dxa" w:w="6240"/>
            <w:tcMar>
              <w:top w:type="dxa" w:w="80"/>
              <w:left w:type="dxa" w:w="100"/>
              <w:bottom w:type="dxa" w:w="80"/>
              <w:right w:type="dxa" w:w="100"/>
            </w:tcMar>
          </w:tcPr>
          <w:p>
            <w:r>
              <w:rPr>
                <w:b w:val="false"/>
                <w:bCs w:val="false"/>
                <w:color w:val="111111"/>
                <w:sz w:val="18"/>
                <w:szCs w:val="18"/>
              </w:rPr>
              <w:t xml:space="preserve">Meta de número de no conformidades permitidas ese mes, por proceso</w:t>
            </w:r>
          </w:p>
        </w:tc>
      </w:tr>
    </w:tbl>
    <w:p>
      <w:pPr>
        <w:pStyle w:val="Heading2"/>
        <w:spacing w:after="100" w:before="240"/>
      </w:pPr>
      <w:r>
        <w:rPr>
          <w:b/>
          <w:bCs/>
          <w:color w:val="0B2240"/>
          <w:sz w:val="23"/>
          <w:szCs w:val="23"/>
        </w:rPr>
        <w:t xml:space="preserve">4.4 Dim_Proceso (dimensión, 8 filas)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40"/>
      </w:tblGrid>
      <w:tr>
        <w:tc>
          <w:tcPr>
            <w:tcW w:type="dxa" w:w="2200"/>
            <w:shd w:fill="0B2240" w:val="clear"/>
            <w:tcMar>
              <w:top w:type="dxa" w:w="80"/>
              <w:left w:type="dxa" w:w="100"/>
              <w:bottom w:type="dxa" w:w="80"/>
              <w:right w:type="dxa" w:w="100"/>
            </w:tcMar>
          </w:tcPr>
          <w:p>
            <w:r>
              <w:rPr>
                <w:b/>
                <w:bCs/>
                <w:color w:val="FFFFFF"/>
                <w:sz w:val="18"/>
                <w:szCs w:val="18"/>
              </w:rPr>
              <w:t xml:space="preserve">Columna</w:t>
            </w:r>
          </w:p>
        </w:tc>
        <w:tc>
          <w:tcPr>
            <w:tcW w:type="dxa" w:w="1000"/>
            <w:shd w:fill="0B2240" w:val="clear"/>
            <w:tcMar>
              <w:top w:type="dxa" w:w="80"/>
              <w:left w:type="dxa" w:w="100"/>
              <w:bottom w:type="dxa" w:w="80"/>
              <w:right w:type="dxa" w:w="100"/>
            </w:tcMar>
          </w:tcPr>
          <w:p>
            <w:r>
              <w:rPr>
                <w:b/>
                <w:bCs/>
                <w:color w:val="FFFFFF"/>
                <w:sz w:val="18"/>
                <w:szCs w:val="18"/>
              </w:rPr>
              <w:t xml:space="preserve">Tipo</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2200"/>
            <w:tcMar>
              <w:top w:type="dxa" w:w="80"/>
              <w:left w:type="dxa" w:w="100"/>
              <w:bottom w:type="dxa" w:w="80"/>
              <w:right w:type="dxa" w:w="100"/>
            </w:tcMar>
          </w:tcPr>
          <w:p>
            <w:r>
              <w:rPr>
                <w:b w:val="false"/>
                <w:bCs w:val="false"/>
                <w:color w:val="111111"/>
                <w:sz w:val="18"/>
                <w:szCs w:val="18"/>
              </w:rPr>
              <w:t xml:space="preserve">Proceso_ID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2200"/>
            <w:tcMar>
              <w:top w:type="dxa" w:w="80"/>
              <w:left w:type="dxa" w:w="100"/>
              <w:bottom w:type="dxa" w:w="80"/>
              <w:right w:type="dxa" w:w="100"/>
            </w:tcMar>
          </w:tcPr>
          <w:p>
            <w:r>
              <w:rPr>
                <w:b w:val="false"/>
                <w:bCs w:val="false"/>
                <w:color w:val="111111"/>
                <w:sz w:val="18"/>
                <w:szCs w:val="18"/>
              </w:rPr>
              <w:t xml:space="preserve">Nombre_Proceso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Nombre del proceso (Diseño, Compras, Corte, Confección...)</w:t>
            </w:r>
          </w:p>
        </w:tc>
      </w:tr>
      <w:tr>
        <w:tc>
          <w:tcPr>
            <w:tcW w:type="dxa" w:w="2200"/>
            <w:tcMar>
              <w:top w:type="dxa" w:w="80"/>
              <w:left w:type="dxa" w:w="100"/>
              <w:bottom w:type="dxa" w:w="80"/>
              <w:right w:type="dxa" w:w="100"/>
            </w:tcMar>
          </w:tcPr>
          <w:p>
            <w:r>
              <w:rPr>
                <w:b w:val="false"/>
                <w:bCs w:val="false"/>
                <w:color w:val="111111"/>
                <w:sz w:val="18"/>
                <w:szCs w:val="18"/>
              </w:rPr>
              <w:t xml:space="preserve">Area</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Área organizacional a la que pertenece</w:t>
            </w:r>
          </w:p>
        </w:tc>
      </w:tr>
      <w:tr>
        <w:tc>
          <w:tcPr>
            <w:tcW w:type="dxa" w:w="2200"/>
            <w:tcMar>
              <w:top w:type="dxa" w:w="80"/>
              <w:left w:type="dxa" w:w="100"/>
              <w:bottom w:type="dxa" w:w="80"/>
              <w:right w:type="dxa" w:w="100"/>
            </w:tcMar>
          </w:tcPr>
          <w:p>
            <w:r>
              <w:rPr>
                <w:b w:val="false"/>
                <w:bCs w:val="false"/>
                <w:color w:val="111111"/>
                <w:sz w:val="18"/>
                <w:szCs w:val="18"/>
              </w:rPr>
              <w:t xml:space="preserve">Nivel_Riesgo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Bajo / Medio / Alto</w:t>
            </w:r>
          </w:p>
        </w:tc>
      </w:tr>
    </w:tbl>
    <w:p>
      <w:pPr>
        <w:pStyle w:val="Heading2"/>
        <w:spacing w:after="100" w:before="240"/>
      </w:pPr>
      <w:r>
        <w:rPr>
          <w:b/>
          <w:bCs/>
          <w:color w:val="0B2240"/>
          <w:sz w:val="23"/>
          <w:szCs w:val="23"/>
        </w:rPr>
        <w:t xml:space="preserve">4.5 Dim_Responsable (dimensión, 24 filas)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40"/>
      </w:tblGrid>
      <w:tr>
        <w:tc>
          <w:tcPr>
            <w:tcW w:type="dxa" w:w="2200"/>
            <w:shd w:fill="0B2240" w:val="clear"/>
            <w:tcMar>
              <w:top w:type="dxa" w:w="80"/>
              <w:left w:type="dxa" w:w="100"/>
              <w:bottom w:type="dxa" w:w="80"/>
              <w:right w:type="dxa" w:w="100"/>
            </w:tcMar>
          </w:tcPr>
          <w:p>
            <w:r>
              <w:rPr>
                <w:b/>
                <w:bCs/>
                <w:color w:val="FFFFFF"/>
                <w:sz w:val="18"/>
                <w:szCs w:val="18"/>
              </w:rPr>
              <w:t xml:space="preserve">Columna</w:t>
            </w:r>
          </w:p>
        </w:tc>
        <w:tc>
          <w:tcPr>
            <w:tcW w:type="dxa" w:w="1000"/>
            <w:shd w:fill="0B2240" w:val="clear"/>
            <w:tcMar>
              <w:top w:type="dxa" w:w="80"/>
              <w:left w:type="dxa" w:w="100"/>
              <w:bottom w:type="dxa" w:w="80"/>
              <w:right w:type="dxa" w:w="100"/>
            </w:tcMar>
          </w:tcPr>
          <w:p>
            <w:r>
              <w:rPr>
                <w:b/>
                <w:bCs/>
                <w:color w:val="FFFFFF"/>
                <w:sz w:val="18"/>
                <w:szCs w:val="18"/>
              </w:rPr>
              <w:t xml:space="preserve">Tipo</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2200"/>
            <w:tcMar>
              <w:top w:type="dxa" w:w="80"/>
              <w:left w:type="dxa" w:w="100"/>
              <w:bottom w:type="dxa" w:w="80"/>
              <w:right w:type="dxa" w:w="100"/>
            </w:tcMar>
          </w:tcPr>
          <w:p>
            <w:r>
              <w:rPr>
                <w:b w:val="false"/>
                <w:bCs w:val="false"/>
                <w:color w:val="111111"/>
                <w:sz w:val="18"/>
                <w:szCs w:val="18"/>
              </w:rPr>
              <w:t xml:space="preserve">Responsable_ID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2200"/>
            <w:tcMar>
              <w:top w:type="dxa" w:w="80"/>
              <w:left w:type="dxa" w:w="100"/>
              <w:bottom w:type="dxa" w:w="80"/>
              <w:right w:type="dxa" w:w="100"/>
            </w:tcMar>
          </w:tcPr>
          <w:p>
            <w:r>
              <w:rPr>
                <w:b w:val="false"/>
                <w:bCs w:val="false"/>
                <w:color w:val="111111"/>
                <w:sz w:val="18"/>
                <w:szCs w:val="18"/>
              </w:rPr>
              <w:t xml:space="preserve">Nombre</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Nombre del colaborador</w:t>
            </w:r>
          </w:p>
        </w:tc>
      </w:tr>
      <w:tr>
        <w:tc>
          <w:tcPr>
            <w:tcW w:type="dxa" w:w="2200"/>
            <w:tcMar>
              <w:top w:type="dxa" w:w="80"/>
              <w:left w:type="dxa" w:w="100"/>
              <w:bottom w:type="dxa" w:w="80"/>
              <w:right w:type="dxa" w:w="100"/>
            </w:tcMar>
          </w:tcPr>
          <w:p>
            <w:r>
              <w:rPr>
                <w:b w:val="false"/>
                <w:bCs w:val="false"/>
                <w:color w:val="111111"/>
                <w:sz w:val="18"/>
                <w:szCs w:val="18"/>
              </w:rPr>
              <w:t xml:space="preserve">Cargo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Cargo dentro de la empresa</w:t>
            </w:r>
          </w:p>
        </w:tc>
      </w:tr>
      <w:tr>
        <w:tc>
          <w:tcPr>
            <w:tcW w:type="dxa" w:w="2200"/>
            <w:tcMar>
              <w:top w:type="dxa" w:w="80"/>
              <w:left w:type="dxa" w:w="100"/>
              <w:bottom w:type="dxa" w:w="80"/>
              <w:right w:type="dxa" w:w="100"/>
            </w:tcMar>
          </w:tcPr>
          <w:p>
            <w:r>
              <w:rPr>
                <w:b w:val="false"/>
                <w:bCs w:val="false"/>
                <w:color w:val="111111"/>
                <w:sz w:val="18"/>
                <w:szCs w:val="18"/>
              </w:rPr>
              <w:t xml:space="preserve">Departamento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Departamento al que pertenece</w:t>
            </w:r>
          </w:p>
        </w:tc>
      </w:tr>
      <w:tr>
        <w:tc>
          <w:tcPr>
            <w:tcW w:type="dxa" w:w="2200"/>
            <w:tcMar>
              <w:top w:type="dxa" w:w="80"/>
              <w:left w:type="dxa" w:w="100"/>
              <w:bottom w:type="dxa" w:w="80"/>
              <w:right w:type="dxa" w:w="100"/>
            </w:tcMar>
          </w:tcPr>
          <w:p>
            <w:r>
              <w:rPr>
                <w:b w:val="false"/>
                <w:bCs w:val="false"/>
                <w:color w:val="111111"/>
                <w:sz w:val="18"/>
                <w:szCs w:val="18"/>
              </w:rPr>
              <w:t xml:space="preserve">Fecha_Ingreso</w:t>
            </w:r>
          </w:p>
        </w:tc>
        <w:tc>
          <w:tcPr>
            <w:tcW w:type="dxa" w:w="1000"/>
            <w:tcMar>
              <w:top w:type="dxa" w:w="80"/>
              <w:left w:type="dxa" w:w="100"/>
              <w:bottom w:type="dxa" w:w="80"/>
              <w:right w:type="dxa" w:w="100"/>
            </w:tcMar>
          </w:tcPr>
          <w:p>
            <w:r>
              <w:rPr>
                <w:b w:val="false"/>
                <w:bCs w:val="false"/>
                <w:color w:val="111111"/>
                <w:sz w:val="18"/>
                <w:szCs w:val="18"/>
              </w:rPr>
              <w:t xml:space="preserve">Fecha</w:t>
            </w:r>
          </w:p>
        </w:tc>
        <w:tc>
          <w:tcPr>
            <w:tcW w:type="dxa" w:w="6240"/>
            <w:tcMar>
              <w:top w:type="dxa" w:w="80"/>
              <w:left w:type="dxa" w:w="100"/>
              <w:bottom w:type="dxa" w:w="80"/>
              <w:right w:type="dxa" w:w="100"/>
            </w:tcMar>
          </w:tcPr>
          <w:p>
            <w:r>
              <w:rPr>
                <w:b w:val="false"/>
                <w:bCs w:val="false"/>
                <w:color w:val="111111"/>
                <w:sz w:val="18"/>
                <w:szCs w:val="18"/>
              </w:rPr>
              <w:t xml:space="preserve">Fecha de ingreso a la empresa</w:t>
            </w:r>
          </w:p>
        </w:tc>
      </w:tr>
    </w:tbl>
    <w:p>
      <w:pPr>
        <w:pStyle w:val="Heading2"/>
        <w:spacing w:after="100" w:before="240"/>
      </w:pPr>
      <w:r>
        <w:rPr>
          <w:b/>
          <w:bCs/>
          <w:color w:val="0B2240"/>
          <w:sz w:val="23"/>
          <w:szCs w:val="23"/>
        </w:rPr>
        <w:t xml:space="preserve">4.6 Dim_Tipo_Hallazgo (dimensión, 6 filas)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40"/>
      </w:tblGrid>
      <w:tr>
        <w:tc>
          <w:tcPr>
            <w:tcW w:type="dxa" w:w="2200"/>
            <w:shd w:fill="0B2240" w:val="clear"/>
            <w:tcMar>
              <w:top w:type="dxa" w:w="80"/>
              <w:left w:type="dxa" w:w="100"/>
              <w:bottom w:type="dxa" w:w="80"/>
              <w:right w:type="dxa" w:w="100"/>
            </w:tcMar>
          </w:tcPr>
          <w:p>
            <w:r>
              <w:rPr>
                <w:b/>
                <w:bCs/>
                <w:color w:val="FFFFFF"/>
                <w:sz w:val="18"/>
                <w:szCs w:val="18"/>
              </w:rPr>
              <w:t xml:space="preserve">Columna</w:t>
            </w:r>
          </w:p>
        </w:tc>
        <w:tc>
          <w:tcPr>
            <w:tcW w:type="dxa" w:w="1000"/>
            <w:shd w:fill="0B2240" w:val="clear"/>
            <w:tcMar>
              <w:top w:type="dxa" w:w="80"/>
              <w:left w:type="dxa" w:w="100"/>
              <w:bottom w:type="dxa" w:w="80"/>
              <w:right w:type="dxa" w:w="100"/>
            </w:tcMar>
          </w:tcPr>
          <w:p>
            <w:r>
              <w:rPr>
                <w:b/>
                <w:bCs/>
                <w:color w:val="FFFFFF"/>
                <w:sz w:val="18"/>
                <w:szCs w:val="18"/>
              </w:rPr>
              <w:t xml:space="preserve">Tipo</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2200"/>
            <w:tcMar>
              <w:top w:type="dxa" w:w="80"/>
              <w:left w:type="dxa" w:w="100"/>
              <w:bottom w:type="dxa" w:w="80"/>
              <w:right w:type="dxa" w:w="100"/>
            </w:tcMar>
          </w:tcPr>
          <w:p>
            <w:r>
              <w:rPr>
                <w:b w:val="false"/>
                <w:bCs w:val="false"/>
                <w:color w:val="111111"/>
                <w:sz w:val="18"/>
                <w:szCs w:val="18"/>
              </w:rPr>
              <w:t xml:space="preserve">Tipo_Hallazgo_ID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2200"/>
            <w:tcMar>
              <w:top w:type="dxa" w:w="80"/>
              <w:left w:type="dxa" w:w="100"/>
              <w:bottom w:type="dxa" w:w="80"/>
              <w:right w:type="dxa" w:w="100"/>
            </w:tcMar>
          </w:tcPr>
          <w:p>
            <w:r>
              <w:rPr>
                <w:b w:val="false"/>
                <w:bCs w:val="false"/>
                <w:color w:val="111111"/>
                <w:sz w:val="18"/>
                <w:szCs w:val="18"/>
              </w:rPr>
              <w:t xml:space="preserve">Tipo_No_Conformidad</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Descripción del tipo de hallazgo</w:t>
            </w:r>
          </w:p>
        </w:tc>
      </w:tr>
      <w:tr>
        <w:tc>
          <w:tcPr>
            <w:tcW w:type="dxa" w:w="2200"/>
            <w:tcMar>
              <w:top w:type="dxa" w:w="80"/>
              <w:left w:type="dxa" w:w="100"/>
              <w:bottom w:type="dxa" w:w="80"/>
              <w:right w:type="dxa" w:w="100"/>
            </w:tcMar>
          </w:tcPr>
          <w:p>
            <w:r>
              <w:rPr>
                <w:b w:val="false"/>
                <w:bCs w:val="false"/>
                <w:color w:val="111111"/>
                <w:sz w:val="18"/>
                <w:szCs w:val="18"/>
              </w:rPr>
              <w:t xml:space="preserve">Categoria_ISO</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Cláusula de ISO 9001:2015 asociada</w:t>
            </w:r>
          </w:p>
        </w:tc>
      </w:tr>
      <w:tr>
        <w:tc>
          <w:tcPr>
            <w:tcW w:type="dxa" w:w="2200"/>
            <w:tcMar>
              <w:top w:type="dxa" w:w="80"/>
              <w:left w:type="dxa" w:w="100"/>
              <w:bottom w:type="dxa" w:w="80"/>
              <w:right w:type="dxa" w:w="100"/>
            </w:tcMar>
          </w:tcPr>
          <w:p>
            <w:r>
              <w:rPr>
                <w:b w:val="false"/>
                <w:bCs w:val="false"/>
                <w:color w:val="111111"/>
                <w:sz w:val="18"/>
                <w:szCs w:val="18"/>
              </w:rPr>
              <w:t xml:space="preserve">Severidad_Tipica</w:t>
            </w:r>
          </w:p>
        </w:tc>
        <w:tc>
          <w:tcPr>
            <w:tcW w:type="dxa" w:w="1000"/>
            <w:tcMar>
              <w:top w:type="dxa" w:w="80"/>
              <w:left w:type="dxa" w:w="100"/>
              <w:bottom w:type="dxa" w:w="80"/>
              <w:right w:type="dxa" w:w="100"/>
            </w:tcMar>
          </w:tcPr>
          <w:p>
            <w:r>
              <w:rPr>
                <w:b w:val="false"/>
                <w:bCs w:val="false"/>
                <w:color w:val="111111"/>
                <w:sz w:val="18"/>
                <w:szCs w:val="18"/>
              </w:rPr>
              <w:t xml:space="preserve">Texto</w:t>
            </w:r>
          </w:p>
        </w:tc>
        <w:tc>
          <w:tcPr>
            <w:tcW w:type="dxa" w:w="6240"/>
            <w:tcMar>
              <w:top w:type="dxa" w:w="80"/>
              <w:left w:type="dxa" w:w="100"/>
              <w:bottom w:type="dxa" w:w="80"/>
              <w:right w:type="dxa" w:w="100"/>
            </w:tcMar>
          </w:tcPr>
          <w:p>
            <w:r>
              <w:rPr>
                <w:b w:val="false"/>
                <w:bCs w:val="false"/>
                <w:color w:val="111111"/>
                <w:sz w:val="18"/>
                <w:szCs w:val="18"/>
              </w:rPr>
              <w:t xml:space="preserve">Severidad más frecuente para ese tipo</w:t>
            </w:r>
          </w:p>
        </w:tc>
      </w:tr>
    </w:tbl>
    <w:p>
      <w:r>
        <w:br w:type="page"/>
      </w:r>
    </w:p>
    <w:p>
      <w:pPr>
        <w:pStyle w:val="Heading1"/>
        <w:pBdr>
          <w:bottom w:val="single" w:color="0B2240" w:sz="6" w:space="4"/>
        </w:pBdr>
        <w:spacing w:after="140" w:before="320"/>
      </w:pPr>
      <w:r>
        <w:rPr>
          <w:b/>
          <w:bCs/>
          <w:color w:val="0B2240"/>
          <w:sz w:val="28"/>
          <w:szCs w:val="28"/>
        </w:rPr>
        <w:t xml:space="preserve">5. Referencias</w:t>
      </w:r>
    </w:p>
    <w:p>
      <w:pPr>
        <w:spacing w:after="160" w:line="280"/>
        <w:ind w:left="400" w:hanging="400"/>
      </w:pPr>
      <w:r>
        <w:rPr>
          <w:color w:val="222222"/>
          <w:sz w:val="20"/>
          <w:szCs w:val="20"/>
        </w:rPr>
        <w:t xml:space="preserve">International Organization for Standardization. (2015). ISO 9001:2015 — Sistemas de gestión de la calidad. Requisitos. ISO.</w:t>
      </w:r>
    </w:p>
    <w:p>
      <w:pPr>
        <w:spacing w:after="160" w:line="280"/>
        <w:ind w:left="400" w:hanging="400"/>
      </w:pPr>
      <w:r>
        <w:rPr>
          <w:color w:val="222222"/>
          <w:sz w:val="20"/>
          <w:szCs w:val="20"/>
        </w:rPr>
        <w:t xml:space="preserve">Wickham, H. (2014). Tidy data. Journal of Statistical Software, 59(10), 1–23. https://doi.org/10.18637/jss.v059.i10</w:t>
      </w:r>
    </w:p>
    <w:p>
      <w:pPr>
        <w:spacing w:after="160" w:line="280"/>
        <w:ind w:left="400" w:hanging="400"/>
      </w:pPr>
      <w:r>
        <w:rPr>
          <w:color w:val="222222"/>
          <w:sz w:val="20"/>
          <w:szCs w:val="20"/>
        </w:rPr>
        <w:t xml:space="preserve">DAMA International. (2017). DAMA-DMBOK: Data management body of knowledge (2.ª ed.). Technics Publications.</w:t>
      </w:r>
    </w:p>
    <w:p>
      <w:pPr>
        <w:spacing w:before="200"/>
      </w:pPr>
    </w:p>
    <w:p>
      <w:pPr>
        <w:spacing w:after="100"/>
      </w:pPr>
      <w:r>
        <w:rPr>
          <w:i/>
          <w:iCs/>
          <w:color w:val="444444"/>
          <w:sz w:val="18"/>
          <w:szCs w:val="18"/>
        </w:rPr>
        <w:t xml:space="preserve">Documento de referencia único para toda la Unidad 1-2-3 de Electiva Libre I — no se repite por semana.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9f039e0af4e080a15ba1dac877f138a1d15de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2026-08-08T06:59:30.869Z</dcterms:created>
  <dcterms:modified xsi:type="dcterms:W3CDTF">2026-08-08T06:59:30.870Z</dcterms:modified>
</cp:coreProperties>
</file>

<file path=docProps/custom.xml><?xml version="1.0" encoding="utf-8"?>
<Properties xmlns="http://schemas.openxmlformats.org/officeDocument/2006/custom-properties" xmlns:vt="http://schemas.openxmlformats.org/officeDocument/2006/docPropsVTypes"/>
</file>