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80"/>
        <w:jc w:val="center"/>
      </w:pPr>
      <w:r>
        <w:rPr>
          <w:rFonts w:ascii="Arial" w:cs="Arial" w:eastAsia="Arial" w:hAnsi="Arial"/>
          <w:b/>
          <w:bCs/>
          <w:color w:val="1F4E79"/>
          <w:sz w:val="48"/>
          <w:szCs w:val="48"/>
        </w:rPr>
        <w:t xml:space="preserve">ANÁLISIS EXPLORATORIO</w:t>
      </w:r>
    </w:p>
    <w:p>
      <w:pPr>
        <w:spacing w:before="0" w:after="160"/>
        <w:jc w:val="center"/>
      </w:pPr>
      <w:r>
        <w:rPr>
          <w:rFonts w:ascii="Arial" w:cs="Arial" w:eastAsia="Arial" w:hAnsi="Arial"/>
          <w:color w:val="2E75B6"/>
          <w:sz w:val="36"/>
          <w:szCs w:val="36"/>
        </w:rPr>
        <w:t xml:space="preserve">Nacimientos Inscritos — Región del Maule</w:t>
      </w:r>
    </w:p>
    <w:p>
      <w:pPr>
        <w:pBdr>
          <w:bottom w:val="single" w:color="2E75B6" w:sz="6" w:space="4"/>
        </w:pBdr>
        <w:spacing w:before="0" w:after="320"/>
        <w:jc w:val="center"/>
      </w:pPr>
      <w:r>
        <w:rPr>
          <w:rFonts w:ascii="Arial" w:cs="Arial" w:eastAsia="Arial" w:hAnsi="Arial"/>
          <w:color w:val="555555"/>
          <w:sz w:val="28"/>
          <w:szCs w:val="28"/>
        </w:rPr>
        <w:t xml:space="preserve">Período 2018–2025</w:t>
      </w:r>
    </w:p>
    <w:p>
      <w:pPr>
        <w:spacing w:before="80" w:after="80"/>
      </w:pPr>
      <w:r>
        <w:t xml:space="preserve"/>
      </w:r>
    </w:p>
    <w:p>
      <w:pPr>
        <w:spacing w:before="0" w:after="80"/>
        <w:jc w:val="center"/>
      </w:pPr>
      <w:r>
        <w:rPr>
          <w:rFonts w:ascii="Arial" w:cs="Arial" w:eastAsia="Arial" w:hAnsi="Arial"/>
          <w:color w:val="888888"/>
          <w:sz w:val="20"/>
          <w:szCs w:val="20"/>
        </w:rPr>
        <w:t xml:space="preserve">Fuente de datos:</w:t>
      </w:r>
    </w:p>
    <w:p>
      <w:pPr>
        <w:spacing w:before="0" w:after="80"/>
        <w:jc w:val="center"/>
      </w:pPr>
      <w:r>
        <w:rPr>
          <w:rFonts w:ascii="Arial" w:cs="Arial" w:eastAsia="Arial" w:hAnsi="Arial"/>
          <w:b/>
          <w:bCs/>
          <w:color w:val="555555"/>
          <w:sz w:val="20"/>
          <w:szCs w:val="20"/>
        </w:rPr>
        <w:t xml:space="preserve">Registro Civil e Identificación de Chile</w:t>
      </w:r>
    </w:p>
    <w:p>
      <w:pPr>
        <w:spacing w:before="0" w:after="80"/>
        <w:jc w:val="center"/>
      </w:pPr>
      <w:r>
        <w:rPr>
          <w:rFonts w:ascii="Arial" w:cs="Arial" w:eastAsia="Arial" w:hAnsi="Arial"/>
          <w:color w:val="888888"/>
          <w:sz w:val="18"/>
          <w:szCs w:val="18"/>
        </w:rPr>
        <w:t xml:space="preserve">Solicitud Ley de Transparencia — Folio AK002T0036701</w:t>
      </w:r>
    </w:p>
    <w:p>
      <w:pPr>
        <w:spacing w:before="80" w:after="80"/>
      </w:pPr>
      <w:r>
        <w:t xml:space="preserve"/>
      </w:r>
    </w:p>
    <w:p>
      <w:pPr>
        <w:jc w:val="center"/>
      </w:pPr>
      <w:r>
        <w:rPr>
          <w:rFonts w:ascii="Arial" w:cs="Arial" w:eastAsia="Arial" w:hAnsi="Arial"/>
          <w:color w:val="888888"/>
          <w:sz w:val="18"/>
          <w:szCs w:val="18"/>
        </w:rPr>
        <w:t xml:space="preserve">Elaborado por Hugo Méndez  |  Marzo 2026</w:t>
      </w:r>
    </w:p>
    <w:p>
      <w:pPr>
        <w:spacing w:before="80" w:after="80"/>
      </w:pPr>
      <w:r>
        <w:t xml:space="preserve"/>
      </w:r>
    </w:p>
    <w:p>
      <w:pPr>
        <w:spacing w:before="80" w:after="80"/>
      </w:pPr>
      <w:r>
        <w:t xml:space="preserve"/>
      </w:r>
    </w:p>
    <w:p>
      <w:pPr>
        <w:spacing w:before="80" w:after="80"/>
      </w:pPr>
      <w:r>
        <w:t xml:space="preserve"/>
      </w:r>
    </w:p>
    <w:p>
      <w:pPr>
        <w:pStyle w:val="Heading1"/>
        <w:pBdr>
          <w:bottom w:val="single" w:color="2E75B6" w:sz="8" w:space="4"/>
        </w:pBdr>
        <w:spacing w:before="320" w:after="160"/>
      </w:pPr>
      <w:r>
        <w:rPr>
          <w:rFonts w:ascii="Arial" w:cs="Arial" w:eastAsia="Arial" w:hAnsi="Arial"/>
          <w:b/>
          <w:bCs/>
          <w:color w:val="1F4E79"/>
          <w:sz w:val="32"/>
          <w:szCs w:val="32"/>
        </w:rPr>
        <w:t xml:space="preserve">1. Presentación y fuente de datos</w:t>
      </w:r>
    </w:p>
    <w:p>
      <w:pPr>
        <w:spacing w:before="100" w:after="140"/>
        <w:jc w:val="both"/>
      </w:pPr>
      <w:r>
        <w:rPr>
          <w:rFonts w:ascii="Arial" w:cs="Arial" w:eastAsia="Arial" w:hAnsi="Arial"/>
          <w:b w:val="false"/>
          <w:bCs w:val="false"/>
          <w:color w:val="333333"/>
          <w:sz w:val="20"/>
          <w:szCs w:val="20"/>
        </w:rPr>
        <w:t xml:space="preserve">El presente informe analiza la evolución temporal de los nacimientos inscritos en la Región del Maule durante el período comprendido entre enero de 2018 y diciembre de 2025. Los datos fueron obtenidos mediante solicitud de transparencia al Servicio de Registro Civil e Identificación de Chile (Folio AK002T0036701), lo que garantiza su carácter oficial y trazabilidad.</w:t>
      </w:r>
    </w:p>
    <w:p>
      <w:pPr>
        <w:spacing w:before="100" w:after="140"/>
        <w:jc w:val="both"/>
      </w:pPr>
      <w:r>
        <w:rPr>
          <w:rFonts w:ascii="Arial" w:cs="Arial" w:eastAsia="Arial" w:hAnsi="Arial"/>
          <w:b w:val="false"/>
          <w:bCs w:val="false"/>
          <w:color w:val="333333"/>
          <w:sz w:val="20"/>
          <w:szCs w:val="20"/>
        </w:rPr>
        <w:t xml:space="preserve">La base de datos contiene 853 registros mensuales desagregados por oficina de inscripción, abarcando 30 localidades de la región. El análisis tiene un carácter exploratorio y descriptivo, orientado a identificar tendencias, discontinuidades y patrones territoriales que puedan nutrir análisis posteriores de mayor profundidad.</w:t>
      </w:r>
    </w:p>
    <w:p>
      <w:pPr>
        <w:spacing w:before="80" w:after="80"/>
      </w:pPr>
      <w:r>
        <w:t xml:space="preserve"/>
      </w:r>
    </w:p>
    <w:p>
      <w:pPr>
        <w:pStyle w:val="Heading1"/>
        <w:pBdr>
          <w:bottom w:val="single" w:color="2E75B6" w:sz="8" w:space="4"/>
        </w:pBdr>
        <w:spacing w:before="320" w:after="160"/>
      </w:pPr>
      <w:r>
        <w:rPr>
          <w:rFonts w:ascii="Arial" w:cs="Arial" w:eastAsia="Arial" w:hAnsi="Arial"/>
          <w:b/>
          <w:bCs/>
          <w:color w:val="1F4E79"/>
          <w:sz w:val="32"/>
          <w:szCs w:val="32"/>
        </w:rPr>
        <w:t xml:space="preserve">2. Tendencia general: una caída sostenida</w:t>
      </w:r>
    </w:p>
    <w:p>
      <w:pPr>
        <w:spacing w:before="100" w:after="140"/>
        <w:jc w:val="both"/>
      </w:pPr>
      <w:r>
        <w:rPr>
          <w:rFonts w:ascii="Arial" w:cs="Arial" w:eastAsia="Arial" w:hAnsi="Arial"/>
          <w:b w:val="false"/>
          <w:bCs w:val="false"/>
          <w:color w:val="333333"/>
          <w:sz w:val="20"/>
          <w:szCs w:val="20"/>
        </w:rPr>
        <w:t xml:space="preserve">La primera lectura de los datos revela una tendencia inequívoca: la región del Maule ha experimentado una caída significativa y sostenida en el número de nacimientos inscritos a lo largo de los ocho años analizados. En 2018, se registraron 12.594 nacimientos; en 2025, esa cifra se redujo a 8.400 — una disminución de 33,3% en solo siete años.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4"/>
              <w:bottom w:val="single" w:color="2E75B6" w:sz="4"/>
              <w:right w:val="none" w:color="FFFFFF" w:sz="0"/>
            </w:tcBorders>
            <w:shd w:fill="D6E4F0" w:val="clear"/>
            <w:tcMar>
              <w:top w:type="dxa" w:w="160"/>
              <w:left w:type="dxa" w:w="240"/>
              <w:bottom w:type="dxa" w:w="160"/>
              <w:right w:type="dxa" w:w="240"/>
            </w:tcMar>
          </w:tcPr>
          <w:p>
            <w:pPr>
              <w:spacing w:before="0" w:after="80"/>
            </w:pPr>
            <w:r>
              <w:rPr>
                <w:rFonts w:ascii="Arial" w:cs="Arial" w:eastAsia="Arial" w:hAnsi="Arial"/>
                <w:b/>
                <w:bCs/>
                <w:color w:val="1F4E79"/>
                <w:sz w:val="22"/>
                <w:szCs w:val="22"/>
              </w:rPr>
              <w:t xml:space="preserve">Dato clave</w:t>
            </w:r>
          </w:p>
          <w:p>
            <w:pPr>
              <w:spacing w:before="0" w:after="0"/>
            </w:pPr>
            <w:r>
              <w:rPr>
                <w:rFonts w:ascii="Arial" w:cs="Arial" w:eastAsia="Arial" w:hAnsi="Arial"/>
                <w:color w:val="333333"/>
                <w:sz w:val="20"/>
                <w:szCs w:val="20"/>
              </w:rPr>
              <w:t xml:space="preserve">Entre 2018 y 2025, la región del Maule perdió 4.194 nacimientos anuales. Esto equivale a que, en 2025, nacen aproximadamente 350 niños menos por mes que en 2018.</w:t>
            </w:r>
          </w:p>
        </w:tc>
      </w:tr>
    </w:tbl>
    <w:p>
      <w:pPr>
        <w:spacing w:before="80" w:after="80"/>
      </w:pPr>
      <w:r>
        <w:t xml:space="preserve"/>
      </w:r>
    </w:p>
    <w:p>
      <w:pPr>
        <w:spacing w:before="100" w:after="140"/>
        <w:jc w:val="both"/>
      </w:pPr>
      <w:r>
        <w:rPr>
          <w:rFonts w:ascii="Arial" w:cs="Arial" w:eastAsia="Arial" w:hAnsi="Arial"/>
          <w:b w:val="false"/>
          <w:bCs w:val="false"/>
          <w:color w:val="333333"/>
          <w:sz w:val="20"/>
          <w:szCs w:val="20"/>
        </w:rPr>
        <w:t xml:space="preserve">La tabla siguiente sintetiza la evolución anual, incluyendo la variación porcentual interanual y la caída acumulada respecto al año base: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Año</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Nacimientos inscritos</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Variación anual</w:t>
            </w:r>
          </w:p>
        </w:tc>
        <w:tc>
          <w:tcPr>
            <w:tcW w:type="dxa" w:w="27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 acumulado desde 2018</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2018</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12.594</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2019</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12.091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20"/>
                <w:szCs w:val="20"/>
              </w:rPr>
              <w:t xml:space="preserve">-4.0%</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20"/>
                <w:szCs w:val="20"/>
              </w:rPr>
              <w:t xml:space="preserve">-4.0%</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2020</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10.848</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20"/>
                <w:szCs w:val="20"/>
              </w:rPr>
              <w:t xml:space="preserve">-10.3%</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20"/>
                <w:szCs w:val="20"/>
              </w:rPr>
              <w:t xml:space="preserve">-13.9%</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2021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9.694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20"/>
                <w:szCs w:val="20"/>
              </w:rPr>
              <w:t xml:space="preserve">-10.6%</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20"/>
                <w:szCs w:val="20"/>
              </w:rPr>
              <w:t xml:space="preserve">-23.0%</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2022</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10.740</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1D7A2F"/>
                <w:sz w:val="20"/>
                <w:szCs w:val="20"/>
              </w:rPr>
              <w:t xml:space="preserve">+10.8%</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20"/>
                <w:szCs w:val="20"/>
              </w:rPr>
              <w:t xml:space="preserve">-14.7%</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2023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9.865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20"/>
                <w:szCs w:val="20"/>
              </w:rPr>
              <w:t xml:space="preserve">-8.1%</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20"/>
                <w:szCs w:val="20"/>
              </w:rPr>
              <w:t xml:space="preserve">-21.7%</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2024</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8.792</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20"/>
                <w:szCs w:val="20"/>
              </w:rPr>
              <w:t xml:space="preserve">-10.9%</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20"/>
                <w:szCs w:val="20"/>
              </w:rPr>
              <w:t xml:space="preserve">-30.2%</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2025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8.400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20"/>
                <w:szCs w:val="20"/>
              </w:rPr>
              <w:t xml:space="preserve">-4.5%</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20"/>
                <w:szCs w:val="20"/>
              </w:rPr>
              <w:t xml:space="preserve">-33.3%</w:t>
            </w:r>
          </w:p>
        </w:tc>
      </w:tr>
    </w:tbl>
    <w:p>
      <w:pPr>
        <w:spacing w:before="80" w:after="80"/>
      </w:pPr>
      <w:r>
        <w:t xml:space="preserve"/>
      </w:r>
    </w:p>
    <w:p>
      <w:pPr>
        <w:spacing w:before="100" w:after="140"/>
        <w:jc w:val="left"/>
      </w:pPr>
      <w:r>
        <w:rPr>
          <w:rFonts w:ascii="Arial" w:cs="Arial" w:eastAsia="Arial" w:hAnsi="Arial"/>
          <w:b w:val="false"/>
          <w:bCs w:val="false"/>
          <w:color w:val="888888"/>
          <w:sz w:val="17"/>
          <w:szCs w:val="17"/>
        </w:rPr>
        <w:t xml:space="preserve">Nota: Los valores de 2025 corresponden a datos completos de los 12 meses del año.</w:t>
      </w:r>
    </w:p>
    <w:p>
      <w:pPr>
        <w:spacing w:before="80" w:after="80"/>
      </w:pPr>
      <w:r>
        <w:t xml:space="preserve"/>
      </w:r>
    </w:p>
    <w:p>
      <w:pPr>
        <w:pStyle w:val="Heading1"/>
        <w:pBdr>
          <w:bottom w:val="single" w:color="2E75B6" w:sz="8" w:space="4"/>
        </w:pBdr>
        <w:spacing w:before="320" w:after="160"/>
      </w:pPr>
      <w:r>
        <w:rPr>
          <w:rFonts w:ascii="Arial" w:cs="Arial" w:eastAsia="Arial" w:hAnsi="Arial"/>
          <w:b/>
          <w:bCs/>
          <w:color w:val="1F4E79"/>
          <w:sz w:val="32"/>
          <w:szCs w:val="32"/>
        </w:rPr>
        <w:t xml:space="preserve">3. Análisis de las variaciones año a año</w:t>
      </w:r>
    </w:p>
    <w:p>
      <w:pPr>
        <w:pStyle w:val="Heading2"/>
        <w:spacing w:before="240" w:after="120"/>
      </w:pPr>
      <w:r>
        <w:rPr>
          <w:rFonts w:ascii="Arial" w:cs="Arial" w:eastAsia="Arial" w:hAnsi="Arial"/>
          <w:b/>
          <w:bCs/>
          <w:color w:val="2E75B6"/>
          <w:sz w:val="26"/>
          <w:szCs w:val="26"/>
        </w:rPr>
        <w:t xml:space="preserve">3.1 La caída se acelera en dos momentos clave</w:t>
      </w:r>
    </w:p>
    <w:p>
      <w:pPr>
        <w:spacing w:before="100" w:after="140"/>
        <w:jc w:val="both"/>
      </w:pPr>
      <w:r>
        <w:rPr>
          <w:rFonts w:ascii="Arial" w:cs="Arial" w:eastAsia="Arial" w:hAnsi="Arial"/>
          <w:b w:val="false"/>
          <w:bCs w:val="false"/>
          <w:color w:val="333333"/>
          <w:sz w:val="20"/>
          <w:szCs w:val="20"/>
        </w:rPr>
        <w:t xml:space="preserve">Si bien la tendencia general es descendente, la velocidad de la caída no ha sido homogénea. Se identifican dos momentos de aceleración particularmente marcados:</w:t>
      </w:r>
    </w:p>
    <w:p>
      <w:pPr>
        <w:spacing w:before="100" w:after="140"/>
        <w:jc w:val="both"/>
      </w:pPr>
      <w:r>
        <w:rPr>
          <w:rFonts w:ascii="Arial" w:cs="Arial" w:eastAsia="Arial" w:hAnsi="Arial"/>
          <w:b w:val="false"/>
          <w:bCs w:val="false"/>
          <w:color w:val="333333"/>
          <w:sz w:val="20"/>
          <w:szCs w:val="20"/>
        </w:rPr>
        <w:t xml:space="preserve">El primero ocurre entre 2019 y 2021, con caídas consecutivas del 10,3% y 10,6% respectivamente. Este período coincide con los años de pandemia por COVID-19, que afectó no solo los patrones de inscripción sino probablemente las decisiones reproductivas de las familias. El encierro, la incertidumbre económica y el retraso en la atención de salud son factores que la literatura especializada asocia a caídas en la natalidad con un rezago de 9 a 12 meses.</w:t>
      </w:r>
    </w:p>
    <w:p>
      <w:pPr>
        <w:spacing w:before="100" w:after="140"/>
        <w:jc w:val="both"/>
      </w:pPr>
      <w:r>
        <w:rPr>
          <w:rFonts w:ascii="Arial" w:cs="Arial" w:eastAsia="Arial" w:hAnsi="Arial"/>
          <w:b w:val="false"/>
          <w:bCs w:val="false"/>
          <w:color w:val="333333"/>
          <w:sz w:val="20"/>
          <w:szCs w:val="20"/>
        </w:rPr>
        <w:t xml:space="preserve">El segundo momento de aceleración se produce entre 2023 y 2024, con una caída del 10,9% — la mayor de toda la serie. Este comportamiento no tiene una explicación única y evidente, lo que constituye una señal de alerta relevante para el análisis posterior.</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3.2 El rebote de 2022: un fenómeno pospandémico</w:t>
      </w:r>
    </w:p>
    <w:p>
      <w:pPr>
        <w:spacing w:before="100" w:after="140"/>
        <w:jc w:val="both"/>
      </w:pPr>
      <w:r>
        <w:rPr>
          <w:rFonts w:ascii="Arial" w:cs="Arial" w:eastAsia="Arial" w:hAnsi="Arial"/>
          <w:b w:val="false"/>
          <w:bCs w:val="false"/>
          <w:color w:val="333333"/>
          <w:sz w:val="20"/>
          <w:szCs w:val="20"/>
        </w:rPr>
        <w:t xml:space="preserve">El año 2022 presenta la única variación positiva de toda la serie: +10,8% respecto a 2021. Este incremento es consistente con el comportamiento observado en otras regiones y países tras períodos de restricción: una vez que las condiciones se normalizan, se produce un efecto de recuperación o "baby bounce" que eleva transitoriamente los registros.</w:t>
      </w:r>
    </w:p>
    <w:p>
      <w:pPr>
        <w:spacing w:before="100" w:after="140"/>
        <w:jc w:val="both"/>
      </w:pPr>
      <w:r>
        <w:rPr>
          <w:rFonts w:ascii="Arial" w:cs="Arial" w:eastAsia="Arial" w:hAnsi="Arial"/>
          <w:b w:val="false"/>
          <w:bCs w:val="false"/>
          <w:color w:val="333333"/>
          <w:sz w:val="20"/>
          <w:szCs w:val="20"/>
        </w:rPr>
        <w:t xml:space="preserve">Sin embargo, este rebote no logró recuperar los niveles prepandémicos (12.594 en 2018), y fue seguido por una nueva caída en 2023. Esto sugiere que el fenómeno estructural de descenso en la natalidad no fue revertido, sino apenas amortiguado temporalmente.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4"/>
              <w:bottom w:val="single" w:color="2E75B6" w:sz="4"/>
              <w:right w:val="none" w:color="FFFFFF" w:sz="0"/>
            </w:tcBorders>
            <w:shd w:fill="D6E4F0" w:val="clear"/>
            <w:tcMar>
              <w:top w:type="dxa" w:w="160"/>
              <w:left w:type="dxa" w:w="240"/>
              <w:bottom w:type="dxa" w:w="160"/>
              <w:right w:type="dxa" w:w="240"/>
            </w:tcMar>
          </w:tcPr>
          <w:p>
            <w:pPr>
              <w:spacing w:before="0" w:after="80"/>
            </w:pPr>
            <w:r>
              <w:rPr>
                <w:rFonts w:ascii="Arial" w:cs="Arial" w:eastAsia="Arial" w:hAnsi="Arial"/>
                <w:b/>
                <w:bCs/>
                <w:color w:val="1F4E79"/>
                <w:sz w:val="22"/>
                <w:szCs w:val="22"/>
              </w:rPr>
              <w:t xml:space="preserve">Interpretación estructural vs. coyuntural</w:t>
            </w:r>
          </w:p>
          <w:p>
            <w:pPr>
              <w:spacing w:before="0" w:after="0"/>
            </w:pPr>
            <w:r>
              <w:rPr>
                <w:rFonts w:ascii="Arial" w:cs="Arial" w:eastAsia="Arial" w:hAnsi="Arial"/>
                <w:color w:val="333333"/>
                <w:sz w:val="20"/>
                <w:szCs w:val="20"/>
              </w:rPr>
              <w:t xml:space="preserve">La caída en nacimientos inscritos es en parte una consecuencia de la pandemia (factor coyuntural), pero la tendencia descendente ya existía desde 2018. Esto indica que hay factores estructurales —cambios en las decisiones reproductivas, postergación de la maternidad/paternidad, migración— que operan con independencia del COVID-19.</w:t>
            </w:r>
          </w:p>
        </w:tc>
      </w:tr>
    </w:tbl>
    <w:p>
      <w:pPr>
        <w:spacing w:before="80" w:after="80"/>
      </w:pPr>
      <w:r>
        <w:t xml:space="preserve"/>
      </w:r>
    </w:p>
    <w:p>
      <w:pPr>
        <w:pStyle w:val="Heading1"/>
        <w:pBdr>
          <w:bottom w:val="single" w:color="2E75B6" w:sz="8" w:space="4"/>
        </w:pBdr>
        <w:spacing w:before="320" w:after="160"/>
      </w:pPr>
      <w:r>
        <w:rPr>
          <w:rFonts w:ascii="Arial" w:cs="Arial" w:eastAsia="Arial" w:hAnsi="Arial"/>
          <w:b/>
          <w:bCs/>
          <w:color w:val="1F4E79"/>
          <w:sz w:val="32"/>
          <w:szCs w:val="32"/>
        </w:rPr>
        <w:t xml:space="preserve">4. Distribución territorial: concentración y heterogeneidad</w:t>
      </w:r>
    </w:p>
    <w:p>
      <w:pPr>
        <w:spacing w:before="100" w:after="140"/>
        <w:jc w:val="both"/>
      </w:pPr>
      <w:r>
        <w:rPr>
          <w:rFonts w:ascii="Arial" w:cs="Arial" w:eastAsia="Arial" w:hAnsi="Arial"/>
          <w:b w:val="false"/>
          <w:bCs w:val="false"/>
          <w:color w:val="333333"/>
          <w:sz w:val="20"/>
          <w:szCs w:val="20"/>
        </w:rPr>
        <w:t xml:space="preserve">La región del Maule presenta una marcada concentración territorial de los nacimientos inscritos. Las cinco principales oficinas de inscripción —Talca, Curicó, Linares, Cauquenes y Parral— acumulan el 94,9% del total regional en el período analizado.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978"/>
        <w:gridCol w:w="978"/>
        <w:gridCol w:w="978"/>
        <w:gridCol w:w="978"/>
        <w:gridCol w:w="978"/>
        <w:gridCol w:w="978"/>
        <w:gridCol w:w="978"/>
        <w:gridCol w:w="954"/>
      </w:tblGrid>
      <w:tr>
        <w:trPr>
          <w:tblHeader/>
        </w:trPr>
        <w:tc>
          <w:tcPr>
            <w:tcW w:type="dxa" w:w="1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Oficina</w:t>
            </w:r>
          </w:p>
        </w:tc>
        <w:tc>
          <w:tcPr>
            <w:tcW w:type="dxa" w:w="978"/>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2018</w:t>
            </w:r>
          </w:p>
        </w:tc>
        <w:tc>
          <w:tcPr>
            <w:tcW w:type="dxa" w:w="978"/>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2019</w:t>
            </w:r>
          </w:p>
        </w:tc>
        <w:tc>
          <w:tcPr>
            <w:tcW w:type="dxa" w:w="978"/>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2020</w:t>
            </w:r>
          </w:p>
        </w:tc>
        <w:tc>
          <w:tcPr>
            <w:tcW w:type="dxa" w:w="978"/>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2021</w:t>
            </w:r>
          </w:p>
        </w:tc>
        <w:tc>
          <w:tcPr>
            <w:tcW w:type="dxa" w:w="978"/>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2022</w:t>
            </w:r>
          </w:p>
        </w:tc>
        <w:tc>
          <w:tcPr>
            <w:tcW w:type="dxa" w:w="978"/>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2023</w:t>
            </w:r>
          </w:p>
        </w:tc>
        <w:tc>
          <w:tcPr>
            <w:tcW w:type="dxa" w:w="978"/>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2024</w:t>
            </w:r>
          </w:p>
        </w:tc>
        <w:tc>
          <w:tcPr>
            <w:tcW w:type="dxa" w:w="954"/>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2025</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bCs/>
                <w:color w:val="000000"/>
                <w:sz w:val="18"/>
                <w:szCs w:val="18"/>
              </w:rPr>
              <w:t xml:space="preserve">TALCA</w:t>
            </w:r>
          </w:p>
        </w:tc>
        <w:tc>
          <w:tcPr>
            <w:tcW w:type="dxa" w:w="978"/>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18"/>
                <w:szCs w:val="18"/>
              </w:rPr>
              <w:t xml:space="preserve">5.709</w:t>
            </w:r>
          </w:p>
        </w:tc>
        <w:tc>
          <w:tcPr>
            <w:tcW w:type="dxa" w:w="978"/>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18"/>
                <w:szCs w:val="18"/>
              </w:rPr>
              <w:t xml:space="preserve">5.524</w:t>
            </w:r>
          </w:p>
        </w:tc>
        <w:tc>
          <w:tcPr>
            <w:tcW w:type="dxa" w:w="978"/>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18"/>
                <w:szCs w:val="18"/>
              </w:rPr>
              <w:t xml:space="preserve">5.441</w:t>
            </w:r>
          </w:p>
        </w:tc>
        <w:tc>
          <w:tcPr>
            <w:tcW w:type="dxa" w:w="978"/>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18"/>
                <w:szCs w:val="18"/>
              </w:rPr>
              <w:t xml:space="preserve">5.318</w:t>
            </w:r>
          </w:p>
        </w:tc>
        <w:tc>
          <w:tcPr>
            <w:tcW w:type="dxa" w:w="978"/>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1D7A2F"/>
                <w:sz w:val="18"/>
                <w:szCs w:val="18"/>
              </w:rPr>
              <w:t xml:space="preserve">5.986</w:t>
            </w:r>
          </w:p>
        </w:tc>
        <w:tc>
          <w:tcPr>
            <w:tcW w:type="dxa" w:w="978"/>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18"/>
                <w:szCs w:val="18"/>
              </w:rPr>
              <w:t xml:space="preserve">5.381</w:t>
            </w:r>
          </w:p>
        </w:tc>
        <w:tc>
          <w:tcPr>
            <w:tcW w:type="dxa" w:w="978"/>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18"/>
                <w:szCs w:val="18"/>
              </w:rPr>
              <w:t xml:space="preserve">4.778</w:t>
            </w:r>
          </w:p>
        </w:tc>
        <w:tc>
          <w:tcPr>
            <w:tcW w:type="dxa" w:w="954"/>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18"/>
                <w:szCs w:val="18"/>
              </w:rPr>
              <w:t xml:space="preserve">4.403</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18"/>
                <w:szCs w:val="18"/>
              </w:rPr>
              <w:t xml:space="preserve">CURICÓ</w:t>
            </w:r>
          </w:p>
        </w:tc>
        <w:tc>
          <w:tcPr>
            <w:tcW w:type="dxa" w:w="97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18"/>
                <w:szCs w:val="18"/>
              </w:rPr>
              <w:t xml:space="preserve">3.360</w:t>
            </w:r>
          </w:p>
        </w:tc>
        <w:tc>
          <w:tcPr>
            <w:tcW w:type="dxa" w:w="97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18"/>
                <w:szCs w:val="18"/>
              </w:rPr>
              <w:t xml:space="preserve">3.206</w:t>
            </w:r>
          </w:p>
        </w:tc>
        <w:tc>
          <w:tcPr>
            <w:tcW w:type="dxa" w:w="97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18"/>
                <w:szCs w:val="18"/>
              </w:rPr>
              <w:t xml:space="preserve">2.355</w:t>
            </w:r>
          </w:p>
        </w:tc>
        <w:tc>
          <w:tcPr>
            <w:tcW w:type="dxa" w:w="97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18"/>
                <w:szCs w:val="18"/>
              </w:rPr>
              <w:t xml:space="preserve">1.795</w:t>
            </w:r>
          </w:p>
        </w:tc>
        <w:tc>
          <w:tcPr>
            <w:tcW w:type="dxa" w:w="97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18"/>
                <w:szCs w:val="18"/>
              </w:rPr>
              <w:t xml:space="preserve">2.068</w:t>
            </w:r>
          </w:p>
        </w:tc>
        <w:tc>
          <w:tcPr>
            <w:tcW w:type="dxa" w:w="97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18"/>
                <w:szCs w:val="18"/>
              </w:rPr>
              <w:t xml:space="preserve">1.912</w:t>
            </w:r>
          </w:p>
        </w:tc>
        <w:tc>
          <w:tcPr>
            <w:tcW w:type="dxa" w:w="97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18"/>
                <w:szCs w:val="18"/>
              </w:rPr>
              <w:t xml:space="preserve">1.960</w:t>
            </w:r>
          </w:p>
        </w:tc>
        <w:tc>
          <w:tcPr>
            <w:tcW w:type="dxa" w:w="95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18"/>
                <w:szCs w:val="18"/>
              </w:rPr>
              <w:t xml:space="preserve">2.070</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bCs/>
                <w:color w:val="000000"/>
                <w:sz w:val="18"/>
                <w:szCs w:val="18"/>
              </w:rPr>
              <w:t xml:space="preserve">LINARES</w:t>
            </w:r>
          </w:p>
        </w:tc>
        <w:tc>
          <w:tcPr>
            <w:tcW w:type="dxa" w:w="978"/>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18"/>
                <w:szCs w:val="18"/>
              </w:rPr>
              <w:t xml:space="preserve">2.105</w:t>
            </w:r>
          </w:p>
        </w:tc>
        <w:tc>
          <w:tcPr>
            <w:tcW w:type="dxa" w:w="978"/>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18"/>
                <w:szCs w:val="18"/>
              </w:rPr>
              <w:t xml:space="preserve">2.091</w:t>
            </w:r>
          </w:p>
        </w:tc>
        <w:tc>
          <w:tcPr>
            <w:tcW w:type="dxa" w:w="978"/>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18"/>
                <w:szCs w:val="18"/>
              </w:rPr>
              <w:t xml:space="preserve">1.840</w:t>
            </w:r>
          </w:p>
        </w:tc>
        <w:tc>
          <w:tcPr>
            <w:tcW w:type="dxa" w:w="978"/>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18"/>
                <w:szCs w:val="18"/>
              </w:rPr>
              <w:t xml:space="preserve">1.658</w:t>
            </w:r>
          </w:p>
        </w:tc>
        <w:tc>
          <w:tcPr>
            <w:tcW w:type="dxa" w:w="978"/>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18"/>
                <w:szCs w:val="18"/>
              </w:rPr>
              <w:t xml:space="preserve">1.837</w:t>
            </w:r>
          </w:p>
        </w:tc>
        <w:tc>
          <w:tcPr>
            <w:tcW w:type="dxa" w:w="978"/>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18"/>
                <w:szCs w:val="18"/>
              </w:rPr>
              <w:t xml:space="preserve">1.827</w:t>
            </w:r>
          </w:p>
        </w:tc>
        <w:tc>
          <w:tcPr>
            <w:tcW w:type="dxa" w:w="978"/>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18"/>
                <w:szCs w:val="18"/>
              </w:rPr>
              <w:t xml:space="preserve">1.460</w:t>
            </w:r>
          </w:p>
        </w:tc>
        <w:tc>
          <w:tcPr>
            <w:tcW w:type="dxa" w:w="954"/>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18"/>
                <w:szCs w:val="18"/>
              </w:rPr>
              <w:t xml:space="preserve">1.442</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18"/>
                <w:szCs w:val="18"/>
              </w:rPr>
              <w:t xml:space="preserve">CAUQUENES</w:t>
            </w:r>
          </w:p>
        </w:tc>
        <w:tc>
          <w:tcPr>
            <w:tcW w:type="dxa" w:w="97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18"/>
                <w:szCs w:val="18"/>
              </w:rPr>
              <w:t xml:space="preserve">477</w:t>
            </w:r>
          </w:p>
        </w:tc>
        <w:tc>
          <w:tcPr>
            <w:tcW w:type="dxa" w:w="97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18"/>
                <w:szCs w:val="18"/>
              </w:rPr>
              <w:t xml:space="preserve">434</w:t>
            </w:r>
          </w:p>
        </w:tc>
        <w:tc>
          <w:tcPr>
            <w:tcW w:type="dxa" w:w="97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18"/>
                <w:szCs w:val="18"/>
              </w:rPr>
              <w:t xml:space="preserve">435</w:t>
            </w:r>
          </w:p>
        </w:tc>
        <w:tc>
          <w:tcPr>
            <w:tcW w:type="dxa" w:w="97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18"/>
                <w:szCs w:val="18"/>
              </w:rPr>
              <w:t xml:space="preserve">348</w:t>
            </w:r>
          </w:p>
        </w:tc>
        <w:tc>
          <w:tcPr>
            <w:tcW w:type="dxa" w:w="97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18"/>
                <w:szCs w:val="18"/>
              </w:rPr>
              <w:t xml:space="preserve">313</w:t>
            </w:r>
          </w:p>
        </w:tc>
        <w:tc>
          <w:tcPr>
            <w:tcW w:type="dxa" w:w="97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18"/>
                <w:szCs w:val="18"/>
              </w:rPr>
              <w:t xml:space="preserve">289</w:t>
            </w:r>
          </w:p>
        </w:tc>
        <w:tc>
          <w:tcPr>
            <w:tcW w:type="dxa" w:w="97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18"/>
                <w:szCs w:val="18"/>
              </w:rPr>
              <w:t xml:space="preserve">226</w:t>
            </w:r>
          </w:p>
        </w:tc>
        <w:tc>
          <w:tcPr>
            <w:tcW w:type="dxa" w:w="95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18"/>
                <w:szCs w:val="18"/>
              </w:rPr>
              <w:t xml:space="preserve">189</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bCs/>
                <w:color w:val="000000"/>
                <w:sz w:val="18"/>
                <w:szCs w:val="18"/>
              </w:rPr>
              <w:t xml:space="preserve">PARRAL</w:t>
            </w:r>
          </w:p>
        </w:tc>
        <w:tc>
          <w:tcPr>
            <w:tcW w:type="dxa" w:w="978"/>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333333"/>
                <w:sz w:val="18"/>
                <w:szCs w:val="18"/>
              </w:rPr>
              <w:t xml:space="preserve">517</w:t>
            </w:r>
          </w:p>
        </w:tc>
        <w:tc>
          <w:tcPr>
            <w:tcW w:type="dxa" w:w="978"/>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18"/>
                <w:szCs w:val="18"/>
              </w:rPr>
              <w:t xml:space="preserve">391</w:t>
            </w:r>
          </w:p>
        </w:tc>
        <w:tc>
          <w:tcPr>
            <w:tcW w:type="dxa" w:w="978"/>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18"/>
                <w:szCs w:val="18"/>
              </w:rPr>
              <w:t xml:space="preserve">457</w:t>
            </w:r>
          </w:p>
        </w:tc>
        <w:tc>
          <w:tcPr>
            <w:tcW w:type="dxa" w:w="978"/>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18"/>
                <w:szCs w:val="18"/>
              </w:rPr>
              <w:t xml:space="preserve">347</w:t>
            </w:r>
          </w:p>
        </w:tc>
        <w:tc>
          <w:tcPr>
            <w:tcW w:type="dxa" w:w="978"/>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18"/>
                <w:szCs w:val="18"/>
              </w:rPr>
              <w:t xml:space="preserve">261</w:t>
            </w:r>
          </w:p>
        </w:tc>
        <w:tc>
          <w:tcPr>
            <w:tcW w:type="dxa" w:w="978"/>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18"/>
                <w:szCs w:val="18"/>
              </w:rPr>
              <w:t xml:space="preserve">172</w:t>
            </w:r>
          </w:p>
        </w:tc>
        <w:tc>
          <w:tcPr>
            <w:tcW w:type="dxa" w:w="978"/>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18"/>
                <w:szCs w:val="18"/>
              </w:rPr>
              <w:t xml:space="preserve">163</w:t>
            </w:r>
          </w:p>
        </w:tc>
        <w:tc>
          <w:tcPr>
            <w:tcW w:type="dxa" w:w="954"/>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val="false"/>
                <w:bCs w:val="false"/>
                <w:color w:val="C00000"/>
                <w:sz w:val="18"/>
                <w:szCs w:val="18"/>
              </w:rPr>
              <w:t xml:space="preserve">110</w:t>
            </w:r>
          </w:p>
        </w:tc>
      </w:tr>
    </w:tbl>
    <w:p>
      <w:pPr>
        <w:spacing w:before="80" w:after="80"/>
      </w:pPr>
      <w:r>
        <w:t xml:space="preserve"/>
      </w:r>
    </w:p>
    <w:p>
      <w:pPr>
        <w:spacing w:before="100" w:after="140"/>
        <w:jc w:val="left"/>
      </w:pPr>
      <w:r>
        <w:rPr>
          <w:rFonts w:ascii="Arial" w:cs="Arial" w:eastAsia="Arial" w:hAnsi="Arial"/>
          <w:b w:val="false"/>
          <w:bCs w:val="false"/>
          <w:color w:val="888888"/>
          <w:sz w:val="17"/>
          <w:szCs w:val="17"/>
        </w:rPr>
        <w:t xml:space="preserve">Nota: Los valores en rojo indican caída respecto al año base (2018); en verde, aumento.</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4.1 Talca: la caída del centro gravitacional</w:t>
      </w:r>
    </w:p>
    <w:p>
      <w:pPr>
        <w:spacing w:before="100" w:after="140"/>
        <w:jc w:val="both"/>
      </w:pPr>
      <w:r>
        <w:rPr>
          <w:rFonts w:ascii="Arial" w:cs="Arial" w:eastAsia="Arial" w:hAnsi="Arial"/>
          <w:b w:val="false"/>
          <w:bCs w:val="false"/>
          <w:color w:val="333333"/>
          <w:sz w:val="20"/>
          <w:szCs w:val="20"/>
        </w:rPr>
        <w:t xml:space="preserve">Talca concentra el 51,6% de todos los nacimientos inscritos de la región en el período. Su trayectoria es en gran medida la trayectoria regional: cae desde 5.709 en 2018 hasta 4.403 en 2025, una reducción del 22,9%. El repunte de 2022 (5.986, el máximo de la serie) fue puntual y no se sostuvo.</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4.2 Curicó: la excepción relativa</w:t>
      </w:r>
    </w:p>
    <w:p>
      <w:pPr>
        <w:spacing w:before="100" w:after="140"/>
        <w:jc w:val="both"/>
      </w:pPr>
      <w:r>
        <w:rPr>
          <w:rFonts w:ascii="Arial" w:cs="Arial" w:eastAsia="Arial" w:hAnsi="Arial"/>
          <w:b w:val="false"/>
          <w:bCs w:val="false"/>
          <w:color w:val="333333"/>
          <w:sz w:val="20"/>
          <w:szCs w:val="20"/>
        </w:rPr>
        <w:t xml:space="preserve">Curicó muestra el patrón más irregular de las cinco oficinas principales. Si bien también cae respecto a 2018, registra aumentos en 2024 y 2025 (llegando a 2.070 el año pasado, su segundo valor más alto después de 2018). Esto puede deberse a factores locales como crecimiento urbano, migración interna o dinámicas específicas del sistema de inscripción. Merece atención diferenciada en análisis futuros.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4.3 Parral: la caída más pronunciada</w:t>
      </w:r>
    </w:p>
    <w:p>
      <w:pPr>
        <w:spacing w:before="100" w:after="140"/>
        <w:jc w:val="both"/>
      </w:pPr>
      <w:r>
        <w:rPr>
          <w:rFonts w:ascii="Arial" w:cs="Arial" w:eastAsia="Arial" w:hAnsi="Arial"/>
          <w:b w:val="false"/>
          <w:bCs w:val="false"/>
          <w:color w:val="333333"/>
          <w:sz w:val="20"/>
          <w:szCs w:val="20"/>
        </w:rPr>
        <w:t xml:space="preserve">Parral presenta la caída porcentual más severa de las cinco oficinas: desde 517 inscripciones en 2018 hasta apenas 110 en 2025, una reducción del 78,7%. Esta magnitud supera con creces la tendencia regional y sugiere dinámicas locales específicas —posible emigración de población joven, envejecimiento acelerado de la población o cierre de servicios de salud— que requieren investigación particular.</w:t>
      </w:r>
    </w:p>
    <w:p>
      <w:pPr>
        <w:spacing w:before="80" w:after="80"/>
      </w:pPr>
      <w:r>
        <w:t xml:space="preserve"/>
      </w:r>
    </w:p>
    <w:p>
      <w:pPr>
        <w:pStyle w:val="Heading1"/>
        <w:pBdr>
          <w:bottom w:val="single" w:color="2E75B6" w:sz="8" w:space="4"/>
        </w:pBdr>
        <w:spacing w:before="320" w:after="160"/>
      </w:pPr>
      <w:r>
        <w:rPr>
          <w:rFonts w:ascii="Arial" w:cs="Arial" w:eastAsia="Arial" w:hAnsi="Arial"/>
          <w:b/>
          <w:bCs/>
          <w:color w:val="1F4E79"/>
          <w:sz w:val="32"/>
          <w:szCs w:val="32"/>
        </w:rPr>
        <w:t xml:space="preserve">5. Estacionalidad: enero lidera, noviembre cede</w:t>
      </w:r>
    </w:p>
    <w:p>
      <w:pPr>
        <w:spacing w:before="100" w:after="140"/>
        <w:jc w:val="both"/>
      </w:pPr>
      <w:r>
        <w:rPr>
          <w:rFonts w:ascii="Arial" w:cs="Arial" w:eastAsia="Arial" w:hAnsi="Arial"/>
          <w:b w:val="false"/>
          <w:bCs w:val="false"/>
          <w:color w:val="333333"/>
          <w:sz w:val="20"/>
          <w:szCs w:val="20"/>
        </w:rPr>
        <w:t xml:space="preserve">A lo largo de toda la serie, enero es consistentemente el mes con mayor promedio de inscripciones (946 por año), mientras que noviembre registra el promedio más bajo (828). Esta distribución sugiere que los nacimientos biológicos tienden a concentrarse entre octubre y enero, lo que es coherente con un patrón de concepciones más frecuentes en los meses de verano del hemisferio sur.</w:t>
      </w:r>
    </w:p>
    <w:p>
      <w:pPr>
        <w:spacing w:before="100" w:after="140"/>
        <w:jc w:val="both"/>
      </w:pPr>
      <w:r>
        <w:rPr>
          <w:rFonts w:ascii="Arial" w:cs="Arial" w:eastAsia="Arial" w:hAnsi="Arial"/>
          <w:b w:val="false"/>
          <w:bCs w:val="false"/>
          <w:color w:val="333333"/>
          <w:sz w:val="20"/>
          <w:szCs w:val="20"/>
        </w:rPr>
        <w:t xml:space="preserve">La amplitud estacional es relativamente moderada (diferencia de 118 inscripciones entre el mes más alto y el más bajo), lo que indica que no hay concentraciones extremas en períodos específicos del año.</w:t>
      </w:r>
    </w:p>
    <w:p>
      <w:pPr>
        <w:spacing w:before="80" w:after="80"/>
      </w:pPr>
      <w:r>
        <w:t xml:space="preserve"/>
      </w:r>
    </w:p>
    <w:p>
      <w:pPr>
        <w:pStyle w:val="Heading1"/>
        <w:pBdr>
          <w:bottom w:val="single" w:color="2E75B6" w:sz="8" w:space="4"/>
        </w:pBdr>
        <w:spacing w:before="320" w:after="160"/>
      </w:pPr>
      <w:r>
        <w:rPr>
          <w:rFonts w:ascii="Arial" w:cs="Arial" w:eastAsia="Arial" w:hAnsi="Arial"/>
          <w:b/>
          <w:bCs/>
          <w:color w:val="1F4E79"/>
          <w:sz w:val="32"/>
          <w:szCs w:val="32"/>
        </w:rPr>
        <w:t xml:space="preserve">6. Síntesis y proyección preliminar</w:t>
      </w:r>
    </w:p>
    <w:p>
      <w:pPr>
        <w:spacing w:before="100" w:after="140"/>
        <w:jc w:val="both"/>
      </w:pPr>
      <w:r>
        <w:rPr>
          <w:rFonts w:ascii="Arial" w:cs="Arial" w:eastAsia="Arial" w:hAnsi="Arial"/>
          <w:b w:val="false"/>
          <w:bCs w:val="false"/>
          <w:color w:val="333333"/>
          <w:sz w:val="20"/>
          <w:szCs w:val="20"/>
        </w:rPr>
        <w:t xml:space="preserve">Los datos analizados permiten esbozar las siguientes conclusiones preliminares: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1.</w:t>
            </w:r>
          </w:p>
        </w:tc>
        <w:tc>
          <w:tcPr>
            <w:tcW w:type="dxa" w:w="88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La caída en nacimientos inscritos en el Maule es estructural, consistente y se ha acelerado en la segunda mitad de la década. La reducción acumulada de 33,3% en siete años es una señal demográfica de alto impacto.</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2.</w:t>
            </w:r>
          </w:p>
        </w:tc>
        <w:tc>
          <w:tcPr>
            <w:tcW w:type="dxa" w:w="8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La pandemia actuó como acelerador temporal, pero la tendencia ya estaba instalada antes de 2020 y continuó con mayor fuerza después del rebote de 2022.</w:t>
            </w:r>
          </w:p>
        </w:tc>
      </w:tr>
      <w:tr>
        <w:tc>
          <w:tcPr>
            <w:tcW w:type="dxa" w:w="4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3.</w:t>
            </w:r>
          </w:p>
        </w:tc>
        <w:tc>
          <w:tcPr>
            <w:tcW w:type="dxa" w:w="88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Existen diferencias territoriales significativas al interior de la región: mientras Curicó muestra señales de recuperación parcial, Parral enfrenta una caída crítica que merece análisis específico.</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4.</w:t>
            </w:r>
          </w:p>
        </w:tc>
        <w:tc>
          <w:tcPr>
            <w:tcW w:type="dxa" w:w="8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Si la tendencia 2023-2025 se mantiene, en 2027 la región podría estar registrando menos de 7.500 nacimientos anuales, lo que tendría implicancias directas sobre la demanda de educación parvularia con un rezago de 2 a 4 años.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4"/>
              <w:bottom w:val="single" w:color="2E75B6" w:sz="4"/>
              <w:right w:val="none" w:color="FFFFFF" w:sz="0"/>
            </w:tcBorders>
            <w:shd w:fill="D6E4F0" w:val="clear"/>
            <w:tcMar>
              <w:top w:type="dxa" w:w="160"/>
              <w:left w:type="dxa" w:w="240"/>
              <w:bottom w:type="dxa" w:w="160"/>
              <w:right w:type="dxa" w:w="240"/>
            </w:tcMar>
          </w:tcPr>
          <w:p>
            <w:pPr>
              <w:spacing w:before="0" w:after="80"/>
            </w:pPr>
            <w:r>
              <w:rPr>
                <w:rFonts w:ascii="Arial" w:cs="Arial" w:eastAsia="Arial" w:hAnsi="Arial"/>
                <w:b/>
                <w:bCs/>
                <w:color w:val="1F4E79"/>
                <w:sz w:val="22"/>
                <w:szCs w:val="22"/>
              </w:rPr>
              <w:t xml:space="preserve">Próximo paso analítico</w:t>
            </w:r>
          </w:p>
          <w:p>
            <w:pPr>
              <w:spacing w:before="0" w:after="0"/>
            </w:pPr>
            <w:r>
              <w:rPr>
                <w:rFonts w:ascii="Arial" w:cs="Arial" w:eastAsia="Arial" w:hAnsi="Arial"/>
                <w:color w:val="333333"/>
                <w:sz w:val="20"/>
                <w:szCs w:val="20"/>
              </w:rPr>
              <w:t xml:space="preserve">El cruce de esta serie temporal con los datos de matrícula parvularia MINEDUC (2012–2024) permitirá modelar el rezago entre nacimiento e ingreso al sistema educativo, y construir proyecciones de demanda educativa para los próximos 5 años a nivel regional y provincial.</w:t>
            </w:r>
          </w:p>
        </w:tc>
      </w:tr>
    </w:tbl>
    <w:p>
      <w:pPr>
        <w:spacing w:before="80" w:after="80"/>
      </w:pPr>
      <w:r>
        <w:t xml:space="preserve"/>
      </w:r>
    </w:p>
    <w:p>
      <w:pPr>
        <w:pStyle w:val="Heading1"/>
        <w:pBdr>
          <w:bottom w:val="single" w:color="2E75B6" w:sz="8" w:space="4"/>
        </w:pBdr>
        <w:spacing w:before="320" w:after="160"/>
      </w:pPr>
      <w:r>
        <w:rPr>
          <w:rFonts w:ascii="Arial" w:cs="Arial" w:eastAsia="Arial" w:hAnsi="Arial"/>
          <w:b/>
          <w:bCs/>
          <w:color w:val="1F4E79"/>
          <w:sz w:val="32"/>
          <w:szCs w:val="32"/>
        </w:rPr>
        <w:t xml:space="preserve">Ficha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Fuente de datos</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Servicio de Registro Civil e Identificación de Chile</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Mecanismo de acceso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Solicitud Ley de Transparencia — Folio AK002T0036701</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Período cubierto</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Enero 2018 – Diciembre 2025 (96 meses)</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Cobertura territorial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Región del Maule — 30 oficinas de inscripción</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Total de registros</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853 filas (combinaciones mes × oficina)</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Variable principal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CANT: Nacimientos inscritos por mes y oficina</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Herramienta de análisis</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Python (pandas) — Marzo 2026</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Elaborado por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Hugo Méndez — hmendez.data@gmail.com</w:t>
            </w:r>
          </w:p>
        </w:tc>
      </w:tr>
    </w:tbl>
    <w:p>
      <w:pPr>
        <w:spacing w:before="80" w:after="80"/>
      </w:pPr>
      <w:r>
        <w:t xml:space="preserve"/>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Análisis Exploratorio — Nacimientos Inscritos Región del Maule (2018–2025)  |  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2026-03-12T12:07:58.846Z</dcterms:created>
  <dcterms:modified xsi:type="dcterms:W3CDTF">2026-03-12T12:07:58.847Z</dcterms:modified>
</cp:coreProperties>
</file>

<file path=docProps/custom.xml><?xml version="1.0" encoding="utf-8"?>
<Properties xmlns="http://schemas.openxmlformats.org/officeDocument/2006/custom-properties" xmlns:vt="http://schemas.openxmlformats.org/officeDocument/2006/docPropsVTypes"/>
</file>