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4.png" ContentType="image/png"/>
  <Override PartName="/word/media/rId5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 Hagberg</w:t>
      </w:r>
      <w:r>
        <w:rPr>
          <w:vertAlign w:val="superscript"/>
        </w:rPr>
        <w:t xml:space="preserve">1</w:t>
      </w:r>
      <w:r>
        <w:t xml:space="preserve">, Patrik Manhem</w:t>
      </w:r>
      <w:r>
        <w:rPr>
          <w:vertAlign w:val="superscript"/>
        </w:rPr>
        <w:t xml:space="preserve">1</w:t>
      </w:r>
      <w:r>
        <w:t xml:space="preserve">, Martin Oscarsson</w:t>
      </w:r>
      <w:r>
        <w:rPr>
          <w:vertAlign w:val="superscript"/>
        </w:rPr>
        <w:t xml:space="preserve">1</w:t>
      </w:r>
      <w:r>
        <w:t xml:space="preserve">, Fiona Michel</w:t>
      </w:r>
      <w:r>
        <w:rPr>
          <w:vertAlign w:val="superscript"/>
        </w:rPr>
        <w:t xml:space="preserve">4</w:t>
      </w:r>
      <w:r>
        <w:t xml:space="preserve">, Gerhard Andersson</w:t>
      </w:r>
      <w:r>
        <w:rPr>
          <w:vertAlign w:val="superscript"/>
        </w:rPr>
        <w:t xml:space="preserve">2,3</w:t>
      </w:r>
      <w:r>
        <w:t xml:space="preserve">, &amp; Per Carlbring</w:t>
      </w:r>
      <w:r>
        <w:rPr>
          <w:vertAlign w:val="superscript"/>
        </w:rPr>
        <w:t xml:space="preserve">1</w:t>
      </w:r>
    </w:p>
    <w:p>
      <w:pPr>
        <w:pStyle w:val="Author"/>
      </w:pPr>
      <w:r>
        <w:rPr>
          <w:vertAlign w:val="superscript"/>
        </w:rPr>
        <w:t xml:space="preserve">1</w:t>
      </w:r>
      <w:r>
        <w:t xml:space="preserve"> </w:t>
      </w:r>
      <w:r>
        <w:t xml:space="preserve">Stockholm University</w:t>
      </w:r>
    </w:p>
    <w:p>
      <w:pPr>
        <w:pStyle w:val="Author"/>
      </w:pPr>
      <w:r>
        <w:rPr>
          <w:vertAlign w:val="superscript"/>
        </w:rPr>
        <w:t xml:space="preserve">2</w:t>
      </w:r>
      <w:r>
        <w:t xml:space="preserve"> </w:t>
      </w:r>
      <w:r>
        <w:t xml:space="preserve">Karolinska Institutet</w:t>
      </w:r>
    </w:p>
    <w:p>
      <w:pPr>
        <w:pStyle w:val="Author"/>
      </w:pPr>
      <w:r>
        <w:rPr>
          <w:vertAlign w:val="superscript"/>
        </w:rPr>
        <w:t xml:space="preserve">3</w:t>
      </w:r>
      <w:r>
        <w:t xml:space="preserve"> </w:t>
      </w:r>
      <w:r>
        <w:t xml:space="preserve">Linköping University</w:t>
      </w:r>
    </w:p>
    <w:p>
      <w:pPr>
        <w:pStyle w:val="Author"/>
      </w:pPr>
      <w:r>
        <w:rPr>
          <w:vertAlign w:val="superscript"/>
        </w:rPr>
        <w:t xml:space="preserve">3</w:t>
      </w:r>
      <w:r>
        <w:t xml:space="preserve"> </w:t>
      </w:r>
      <w:r>
        <w:t xml:space="preserve">Centre for Clinical Interventions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Tobias Hagberg: Conceptualization, Methodology, Investigation, Data curation, Writing - Original Draft, Software, Formal Analysis; Patrik Manhem: Conceptualization, Methodology, Investigation, Data curation, Writing - Original Draft; Martin Oscarsson: Writing - Original Draft; Fiona Michel: Resources, Writing - Review &amp; Editing; Gerhard Andersson: Resources, Writing - Review &amp; Editing; Per Carlbring: Supervision, Writing - Review &amp; Editing.</w:t>
      </w:r>
    </w:p>
    <w:p>
      <w:pPr>
        <w:pStyle w:val="Textkrper"/>
      </w:pPr>
      <w:r>
        <w:t xml:space="preserve">Correspondence concerning this article should be addressed to Per Carlbring, Department of Psychology, Stockholm University, SE-106 91 Stockholm, Sweden. E-mail:</w:t>
      </w:r>
      <w:r>
        <w:t xml:space="preserve"> </w:t>
      </w:r>
      <w:hyperlink r:id="rId20">
        <w:r>
          <w:rPr>
            <w:rStyle w:val="Hyperlink"/>
          </w:rPr>
          <w:t xml:space="preserve">per.carlbring@psychology.su.se</w:t>
        </w:r>
      </w:hyperlink>
    </w:p>
    <w:p>
      <w:pPr>
        <w:pStyle w:val="h1-pagebreak"/>
      </w:pPr>
      <w:r>
        <w:t xml:space="preserve">Abstract</w:t>
      </w:r>
    </w:p>
    <w:p>
      <w:pPr>
        <w:pStyle w:val="Textkrper"/>
      </w:pPr>
      <w:r>
        <w:t xml:space="preserve">Assertiveness training has been an essential component in cognitive-behavioral therapy (CBT), for example, in the treatment of social anxiety and in dialectical behavioral therapy. However, the assertiveness construct has garnered little attention in recent clinical research. The objective of this study was to investigate the efficacy of an eight-week transdiagnostic stand-alone internet-based CBT intervention specifically aimed at increasing levels of assertive behavior. Following inclusion, we randomized N = 210 participants into three groups: therapist-guided self-help, unguided self-help, and a wait-list control condition. After a one-year follow-up, we employed a linear mixed model to estimate the effects at both post-test and follow-up for the primary outcome measures of assertiveness, Adaptive and Aggressive Assertiveness Scales, the Rathus Assertiveness Schedule, and secondary outcome measures of anxiety, depression, and general well-being. We also assessed reliable clinical change. Compared to the wait list at the post-treatment, estimated between-group effect sizes on self-rated adaptive assertiveness were statistically equivalent for the two treatment groups both at the post and at the one-year follow-up time points, ranging from ES = 0.95 to 1.73, with reliable clinical recovery proportions from 19% to 36%. The increase in aggressive assertiveness ranged from ES = 0.62 to 0.90 compared to the wait-list condition at post. For social anxiety symptoms, the effects compared to the wait list at post-treatment ranged from ES = 0.67 to 0.93, with a reliable clinical recovery rate from 16% to 26%. For self-assessed well-being, the effects compared to the wait list at post ranged from ES = 0.70 to 1.05. No effects were observed for generalized anxiety, although within-group evidence was found for a medium effect on depression one year after treatment. Overall, the two treatment conditions produced similar effects. In general, participation increased healthy assertive expressions regardless of treatment condition, all the while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w:t>
      </w:r>
    </w:p>
    <w:p>
      <w:pPr>
        <w:pStyle w:val="Textkrper"/>
      </w:pPr>
      <w:r>
        <w:rPr>
          <w:iCs/>
          <w:i/>
        </w:rPr>
        <w:t xml:space="preserve">Keywords:</w:t>
      </w:r>
      <w:r>
        <w:t xml:space="preserve"> </w:t>
      </w:r>
      <w:r>
        <w:t xml:space="preserve">assertiveness, assertive behavior, anxiety, depression, stress, avoidance</w:t>
      </w:r>
    </w:p>
    <w:p>
      <w:pPr>
        <w:pStyle w:val="Textkrper"/>
      </w:pPr>
      <w:r>
        <w:rPr>
          <w:iCs/>
          <w:i/>
        </w:rPr>
        <w:t xml:space="preserve">Word count:</w:t>
      </w:r>
      <w:r>
        <w:t xml:space="preserve"> </w:t>
      </w:r>
      <w:r>
        <w:t xml:space="preserve">6360</w:t>
      </w:r>
    </w:p>
    <w:p>
      <w:pPr>
        <w:pStyle w:val="h1-pagebreak"/>
      </w:pPr>
      <w:r>
        <w:t xml:space="preserve">Efficacy of Transdiagnostic Cognitive-Behavioral Therapy for Assertiveness: A Randomized Controlled Trial</w:t>
      </w:r>
    </w:p>
    <w:bookmarkStart w:id="21" w:name="introduction"/>
    <w:p>
      <w:pPr>
        <w:pStyle w:val="berschrift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Textkrper"/>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Textkrper"/>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Textkrper"/>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Textkrper"/>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Textkrper"/>
      </w:pPr>
      <w:r>
        <w:t xml:space="preserve">This study aimed to conduct a randomized controlled trial (RCT) on the effects of an eight-week iCBT intervention targeting unhealthy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1"/>
    <w:bookmarkStart w:id="33" w:name="method"/>
    <w:p>
      <w:pPr>
        <w:pStyle w:val="berschrift1"/>
      </w:pPr>
      <w:r>
        <w:t xml:space="preserve">Method</w:t>
      </w:r>
    </w:p>
    <w:bookmarkStart w:id="22" w:name="design"/>
    <w:p>
      <w:pPr>
        <w:pStyle w:val="berschrift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Textkrper"/>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2"/>
    <w:bookmarkStart w:id="23" w:name="participants"/>
    <w:p>
      <w:pPr>
        <w:pStyle w:val="berschrift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Participants were not submitted to a clinical interview as part of the screening process. See Table</w:t>
      </w:r>
      <w:r>
        <w:t xml:space="preserve"> </w:t>
      </w:r>
      <w:r>
        <w:t xml:space="preserve">1</w:t>
      </w:r>
      <w:r>
        <w:t xml:space="preserve"> </w:t>
      </w:r>
      <w:r>
        <w:t xml:space="preserve">for a summary of the socio-demographic baseline characteristics.</w:t>
      </w:r>
    </w:p>
    <w:p>
      <w:pPr>
        <w:pStyle w:val="Textkrper"/>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3"/>
    <w:bookmarkStart w:id="24" w:name="procedure"/>
    <w:p>
      <w:pPr>
        <w:pStyle w:val="berschrift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w:t>
      </w:r>
      <w:r>
        <w:t xml:space="preserve"> </w:t>
      </w:r>
      <w:r>
        <w:t xml:space="preserve">1</w:t>
      </w:r>
      <w:r>
        <w:t xml:space="preserve"> </w:t>
      </w:r>
      <w:r>
        <w:t xml:space="preserve">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4"/>
    <w:bookmarkStart w:id="27" w:name="measures"/>
    <w:p>
      <w:pPr>
        <w:pStyle w:val="berschrift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included in the follow-up measurement since they had been given access to the unguided branch of the intervention after the post-treatment time point.</w:t>
      </w:r>
    </w:p>
    <w:bookmarkStart w:id="25" w:name="primary-measures"/>
    <w:p>
      <w:pPr>
        <w:pStyle w:val="berschrift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has good internal consistency for both aggressive assertiveness (</w:t>
      </w:r>
      <m:oMath>
        <m:r>
          <m:t>.88</m:t>
        </m:r>
      </m:oMath>
      <w:r>
        <w:t xml:space="preserve">) and adaptive assertiveness (</w:t>
      </w:r>
      <m:oMath>
        <m:r>
          <m:t>.82</m:t>
        </m:r>
      </m:oMath>
      <w:r>
        <w:t xml:space="preserve">).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5"/>
    <w:bookmarkStart w:id="26" w:name="secondary-measures"/>
    <w:p>
      <w:pPr>
        <w:pStyle w:val="berschrift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6"/>
    <w:bookmarkEnd w:id="27"/>
    <w:bookmarkStart w:id="29" w:name="intervention"/>
    <w:p>
      <w:pPr>
        <w:pStyle w:val="berschrift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Textkrper"/>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Textkrper"/>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Textkrper"/>
      </w:pPr>
      <w:r>
        <w:t xml:space="preserve">Everything else being equal, the guided condition included time-limited (on average approximately 15 minutes per participant and week) asynchronous communication support from therapists having completed basic CBT training. Additional support for participants in the guided self-help condition included weekly messages on the treatment platform, involving feedback on homework, encouragement, validation, psychoeducation, and answers to any questions.</w:t>
      </w:r>
    </w:p>
    <w:bookmarkStart w:id="28" w:name="therapists"/>
    <w:p>
      <w:pPr>
        <w:pStyle w:val="berschrift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8"/>
    <w:bookmarkEnd w:id="29"/>
    <w:bookmarkStart w:id="30" w:name="data-preparation"/>
    <w:p>
      <w:pPr>
        <w:pStyle w:val="berschrift2"/>
      </w:pPr>
      <w:r>
        <w:t xml:space="preserve">Data preparation</w:t>
      </w:r>
    </w:p>
    <w:p>
      <w:pPr>
        <w:pStyle w:val="FirstParagraph"/>
      </w:pPr>
      <w:r>
        <w:t xml:space="preserve">Five participants were excluded from the analyses due to wrongful inclusion, as they were receiving concurrent psychological treatment.</w:t>
      </w:r>
    </w:p>
    <w:bookmarkEnd w:id="30"/>
    <w:bookmarkStart w:id="32" w:name="analysis"/>
    <w:p>
      <w:pPr>
        <w:pStyle w:val="berschrift2"/>
      </w:pPr>
      <w:r>
        <w:t xml:space="preserve">Analysis</w:t>
      </w:r>
    </w:p>
    <w:p>
      <w:pPr>
        <w:pStyle w:val="FirstParagraph"/>
      </w:pPr>
      <w:r>
        <w:t xml:space="preserve">All the data were analyzed using R 4.3.0,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2023)</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Textkrper"/>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 In a subsequent step, rank-sum tests of these proportions of clinically changed participants were performed to establish significance of differences between the waitlist and the treatment conditions.</w:t>
      </w:r>
    </w:p>
    <w:bookmarkEnd w:id="32"/>
    <w:bookmarkEnd w:id="33"/>
    <w:bookmarkStart w:id="42" w:name="results"/>
    <w:p>
      <w:pPr>
        <w:pStyle w:val="berschrift1"/>
      </w:pPr>
      <w:r>
        <w:t xml:space="preserve">Results</w:t>
      </w:r>
    </w:p>
    <w:bookmarkStart w:id="41" w:name="Xb25c33030a3c3a25653d944f8a887d465e89095"/>
    <w:p>
      <w:pPr>
        <w:pStyle w:val="berschrift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w:t>
      </w:r>
      <w:r>
        <w:t xml:space="preserve"> </w:t>
      </w:r>
      <w:r>
        <w:t xml:space="preserve">2</w:t>
      </w:r>
      <w:r>
        <w:t xml:space="preserve">.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w:t>
      </w:r>
      <w:r>
        <w:t xml:space="preserve"> </w:t>
      </w:r>
      <w:r>
        <w:t xml:space="preserve">3</w:t>
      </w:r>
      <w:r>
        <w:t xml:space="preserve">. The estimated mean levels of depressive mood, generalized and social anxiety, and general well-being were significantly affected by participation in the intervention.</w:t>
      </w:r>
    </w:p>
    <w:p>
      <w:pPr>
        <w:pStyle w:val="Textkrper"/>
      </w:pPr>
      <w:r>
        <w:t xml:space="preserve">All subsequent post-hoc testing of marginal mean differences in pairwise comparisons included all groups and time points.</w:t>
      </w:r>
    </w:p>
    <w:bookmarkStart w:id="34" w:name="Xee8d5edd03fa35dd5ed1652d4f935821062632a"/>
    <w:p>
      <w:pPr>
        <w:pStyle w:val="berschrift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w:t>
      </w:r>
      <w:r>
        <w:t xml:space="preserve"> </w:t>
      </w:r>
      <w:r>
        <w:t xml:space="preserve">2</w:t>
      </w:r>
      <w:r>
        <w:t xml:space="preserve"> </w:t>
      </w:r>
      <w:r>
        <w:t xml:space="preserve">summarizes the significance tests of the estimated marginal mean differences and effect sizes, with 95% confidence intervals (CI).</w:t>
      </w:r>
    </w:p>
    <w:p>
      <w:pPr>
        <w:pStyle w:val="Textkrper"/>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negative effects at the post time point were found for aggressive assertiveness as measured with the AAA-S Aggressive subscale,</w:t>
      </w:r>
      <w:r>
        <w:t xml:space="preserve"> </w:t>
      </w:r>
      <m:oMath>
        <m:r>
          <m:t>Δ</m:t>
        </m:r>
        <m:r>
          <m:t>M</m:t>
        </m:r>
      </m:oMath>
      <w:r>
        <w:t xml:space="preserve"> </w:t>
      </w:r>
      <w:r>
        <w:t xml:space="preserve">=</w:t>
      </w:r>
      <w:r>
        <w:t xml:space="preserve"> </w:t>
      </w:r>
      <m:oMath>
        <m:r>
          <m:rPr>
            <m:sty m:val="p"/>
          </m:rPr>
          <m:t>−</m:t>
        </m:r>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rPr>
            <m:sty m:val="p"/>
          </m:rPr>
          <m:t>−</m:t>
        </m:r>
        <m:r>
          <m:t>0.72</m:t>
        </m:r>
      </m:oMath>
      <w:r>
        <w:t xml:space="preserve">, and at the follow-up,</w:t>
      </w:r>
      <w:r>
        <w:t xml:space="preserve"> </w:t>
      </w:r>
      <m:oMath>
        <m:r>
          <m:t>Δ</m:t>
        </m:r>
        <m:r>
          <m:t>M</m:t>
        </m:r>
      </m:oMath>
      <w:r>
        <w:t xml:space="preserve"> </w:t>
      </w:r>
      <w:r>
        <w:t xml:space="preserve">=</w:t>
      </w:r>
      <w:r>
        <w:t xml:space="preserve"> </w:t>
      </w:r>
      <m:oMath>
        <m:r>
          <m:rPr>
            <m:sty m:val="p"/>
          </m:rPr>
          <m:t>−</m:t>
        </m:r>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Textkrper"/>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negative effects at the post time point were identified for the AAA-S Aggressive subscale,</w:t>
      </w:r>
      <w:r>
        <w:t xml:space="preserve"> </w:t>
      </w:r>
      <m:oMath>
        <m:r>
          <m:t>Δ</m:t>
        </m:r>
        <m:r>
          <m:t>M</m:t>
        </m:r>
      </m:oMath>
      <w:r>
        <w:t xml:space="preserve"> </w:t>
      </w:r>
      <w:r>
        <w:t xml:space="preserve">=</w:t>
      </w:r>
      <w:r>
        <w:t xml:space="preserve"> </w:t>
      </w:r>
      <m:oMath>
        <m:r>
          <m:rPr>
            <m:sty m:val="p"/>
          </m:rPr>
          <m:t>−</m:t>
        </m:r>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rPr>
            <m:sty m:val="p"/>
          </m:rPr>
          <m:t>−</m:t>
        </m:r>
        <m:r>
          <m:t>0.62</m:t>
        </m:r>
      </m:oMath>
      <w:r>
        <w:t xml:space="preserve">, and at the follow-up,</w:t>
      </w:r>
      <w:r>
        <w:t xml:space="preserve"> </w:t>
      </w:r>
      <m:oMath>
        <m:r>
          <m:t>Δ</m:t>
        </m:r>
        <m:r>
          <m:t>M</m:t>
        </m:r>
      </m:oMath>
      <w:r>
        <w:t xml:space="preserve"> </w:t>
      </w:r>
      <w:r>
        <w:t xml:space="preserve">=</w:t>
      </w:r>
      <w:r>
        <w:t xml:space="preserve"> </w:t>
      </w:r>
      <m:oMath>
        <m:r>
          <m:rPr>
            <m:sty m:val="p"/>
          </m:rPr>
          <m:t>−</m:t>
        </m:r>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0.84</m:t>
        </m:r>
      </m:oMath>
      <w:r>
        <w:t xml:space="preserve">. Large effects were also found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Textkrper"/>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4"/>
    <w:bookmarkStart w:id="35" w:name="Xe0e1ead8dd8f4a0b700a0bda44dc56c970fa046"/>
    <w:p>
      <w:pPr>
        <w:pStyle w:val="berschrift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for a visual exploration of a possible nocebo effect.</w:t>
      </w:r>
    </w:p>
    <w:p>
      <w:pPr>
        <w:pStyle w:val="Textkrper"/>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Textkrper"/>
      </w:pPr>
      <w:r>
        <w:t xml:space="preserve">For the Well-being Questionnaire,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Textkrper"/>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w:t>
      </w:r>
      <w:r>
        <w:t xml:space="preserve"> </w:t>
      </w:r>
      <w:r>
        <w:t xml:space="preserve">2</w:t>
      </w:r>
      <w:r>
        <w:t xml:space="preserve"> </w:t>
      </w:r>
      <w:r>
        <w:t xml:space="preserve">for a summary of the significant effects, including 95% CIs.</w:t>
      </w:r>
    </w:p>
    <w:bookmarkEnd w:id="35"/>
    <w:bookmarkStart w:id="36" w:name="within-group-effects"/>
    <w:p>
      <w:pPr>
        <w:pStyle w:val="berschrift3"/>
      </w:pPr>
      <w:r>
        <w:t xml:space="preserve">Within-group effects.</w:t>
      </w:r>
    </w:p>
    <w:p>
      <w:pPr>
        <w:pStyle w:val="FirstParagraph"/>
      </w:pPr>
      <w:r>
        <w:t xml:space="preserve">As shown in Table</w:t>
      </w:r>
      <w:r>
        <w:t xml:space="preserve"> </w:t>
      </w:r>
      <w:r>
        <w:t xml:space="preserve">2</w:t>
      </w:r>
      <w:r>
        <w:t xml:space="preserve">,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Textkrper"/>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6"/>
    <w:bookmarkStart w:id="40" w:name="clinical-significant-change"/>
    <w:p>
      <w:pPr>
        <w:pStyle w:val="berschrift3"/>
      </w:pPr>
      <w:r>
        <w:t xml:space="preserve">Clinical significant change.</w:t>
      </w:r>
    </w:p>
    <w:bookmarkStart w:id="37" w:name="X6fe37f06f991669e405307fd2b797a4cf573ac3"/>
    <w:p>
      <w:pPr>
        <w:pStyle w:val="berschrift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Textkrper"/>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Textkrper"/>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7"/>
    <w:bookmarkStart w:id="38" w:name="X2682b33cf9315f4de50a7bcdd0e903a51c540fc"/>
    <w:p>
      <w:pPr>
        <w:pStyle w:val="berschrift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Textkrper"/>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Textkrper"/>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Textkrper"/>
      </w:pPr>
      <w:r>
        <w:t xml:space="preserve">Table</w:t>
      </w:r>
      <w:r>
        <w:t xml:space="preserve"> </w:t>
      </w:r>
      <w:r>
        <w:t xml:space="preserve">3</w:t>
      </w:r>
      <w:r>
        <w:t xml:space="preserve"> </w:t>
      </w:r>
      <w:r>
        <w:t xml:space="preserve">provides a summary of the numbers and proportions of clinical recovery in the different groups and the significance, if any, of the pairwise tests of proportions against those of the wait-list group.</w:t>
      </w:r>
    </w:p>
    <w:bookmarkEnd w:id="38"/>
    <w:bookmarkStart w:id="39" w:name="reliable-deterioration-and-harm"/>
    <w:p>
      <w:pPr>
        <w:pStyle w:val="berschrift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Textkrper"/>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Textkrper"/>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39"/>
    <w:bookmarkEnd w:id="40"/>
    <w:bookmarkEnd w:id="41"/>
    <w:bookmarkEnd w:id="42"/>
    <w:bookmarkStart w:id="44" w:name="discussion"/>
    <w:p>
      <w:pPr>
        <w:pStyle w:val="berschrift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Textkrper"/>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Textkrper"/>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Textkrper"/>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p>
      <w:pPr>
        <w:pStyle w:val="Textkrper"/>
      </w:pPr>
      <w:r>
        <w:t xml:space="preserve">The analysis of clinical change revealed that large majorities in all groups at both the post and follow-up time points remained unchanged. This is expected for a non-clinical sample, for which baseline measurement scores were already mostly well on the functional side of cutoff values.</w:t>
      </w:r>
    </w:p>
    <w:bookmarkStart w:id="43" w:name="limitations-and-future-directions"/>
    <w:p>
      <w:pPr>
        <w:pStyle w:val="berschrift2"/>
      </w:pPr>
      <w:r>
        <w:t xml:space="preserve">Limitations and future directions</w:t>
      </w:r>
    </w:p>
    <w:p>
      <w:pPr>
        <w:pStyle w:val="FirstParagraph"/>
      </w:pPr>
      <w:r>
        <w:t xml:space="preserve">The guided and unguided conditions yielded similar average levels across assertiveness measures as well as indicators of psychological problem symptoms, potentially indicating a ceiling effect of the self-help material when applied to a non-clinical population. Future studies should explore the impact of therapist involvement</w:t>
      </w:r>
      <w:r>
        <w:t xml:space="preserve"> </w:t>
      </w:r>
      <w:r>
        <w:t xml:space="preserve">(possibly AI-enhanced, Carlbring et al., 2023)</w:t>
      </w:r>
      <w:r>
        <w:t xml:space="preserve"> </w:t>
      </w:r>
      <w:r>
        <w:t xml:space="preserve">and its interplay with participant factors in greater detail for diverse diagnostic populations. Ideally, these studies would involve a larger number of therapists and incorporate therapist factors into the analysis</w:t>
      </w:r>
      <w:r>
        <w:t xml:space="preserve"> </w:t>
      </w:r>
      <w:r>
        <w:t xml:space="preserve">(Magnusson et al., 2018)</w:t>
      </w:r>
      <w:r>
        <w:t xml:space="preserve">. This approach could reveal how varying levels of therapist support</w:t>
      </w:r>
      <w:r>
        <w:t xml:space="preserve"> </w:t>
      </w:r>
      <w:r>
        <w:t xml:space="preserve">(ranging from positive reinforcement to troubleshooting, Berg et al., 2022)</w:t>
      </w:r>
      <w:r>
        <w:t xml:space="preserve"> </w:t>
      </w:r>
      <w:r>
        <w:t xml:space="preserve">influence retention rates, engagement, and ultimately, the outcomes and cost-benefit ratios for different diagnostic subgroups.</w:t>
      </w:r>
    </w:p>
    <w:p>
      <w:pPr>
        <w:pStyle w:val="Textkrper"/>
      </w:pPr>
      <w:r>
        <w:t xml:space="preserve">The study has a number of additional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Textkrper"/>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Textkrper"/>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Textkrper"/>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As noted above, it might also be necessary to add a third level to the model to control for therapist factors.</w:t>
      </w:r>
    </w:p>
    <w:p>
      <w:pPr>
        <w:pStyle w:val="Textkrper"/>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Textkrper"/>
      </w:pPr>
      <w:r>
        <w:t xml:space="preserve">In the current study, we found that participation in Respekt</w:t>
      </w:r>
      <w:r>
        <w:rPr>
          <w:vertAlign w:val="superscript"/>
        </w:rPr>
        <w:t xml:space="preserve">2</w:t>
      </w:r>
      <w:r>
        <w:t xml:space="preserve"> </w:t>
      </w:r>
      <w:r>
        <w:t xml:space="preserve">increased assertive expressions, and at the same time reduced self-assessed social anxiety in a non-clinical sample. The intervention did not have an immediate effect on generalized anxiety, although there was some within-group evidence of beneficial longer-term effects on depression. With only a few exceptions, the guided condition did not yield better outcomes than the unguided condition, lending support for Respekt</w:t>
      </w:r>
      <w:r>
        <w:rPr>
          <w:vertAlign w:val="superscript"/>
        </w:rPr>
        <w:t xml:space="preserve">2</w:t>
      </w:r>
      <w:r>
        <w:t xml:space="preserve"> </w:t>
      </w:r>
      <w:r>
        <w:t xml:space="preserve">as a stand-alone, self-help intervention.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3"/>
    <w:bookmarkEnd w:id="44"/>
    <w:bookmarkStart w:id="50" w:name="orcid"/>
    <w:p>
      <w:pPr>
        <w:pStyle w:val="berschrift1"/>
      </w:pPr>
      <w:r>
        <w:t xml:space="preserve">ORCID</w:t>
      </w:r>
    </w:p>
    <w:p>
      <w:pPr>
        <w:numPr>
          <w:ilvl w:val="0"/>
          <w:numId w:val="1001"/>
        </w:numPr>
        <w:pStyle w:val="Compact"/>
      </w:pPr>
      <w:r>
        <w:t xml:space="preserve">Tobias Hagberg,</w:t>
      </w:r>
      <w:r>
        <w:t xml:space="preserve"> </w:t>
      </w:r>
      <w:hyperlink r:id="rId45">
        <w:r>
          <w:rPr>
            <w:rStyle w:val="Hyperlink"/>
          </w:rPr>
          <w:t xml:space="preserve">https://orcid.org/0000-0001-6059-6668</w:t>
        </w:r>
      </w:hyperlink>
    </w:p>
    <w:p>
      <w:pPr>
        <w:numPr>
          <w:ilvl w:val="0"/>
          <w:numId w:val="1001"/>
        </w:numPr>
        <w:pStyle w:val="Compact"/>
      </w:pPr>
      <w:r>
        <w:t xml:space="preserve">Patrik Manhem,</w:t>
      </w:r>
      <w:r>
        <w:t xml:space="preserve"> </w:t>
      </w:r>
      <w:hyperlink r:id="rId46">
        <w:r>
          <w:rPr>
            <w:rStyle w:val="Hyperlink"/>
          </w:rPr>
          <w:t xml:space="preserve">https://orcid.org/0000-0002-2883-9751</w:t>
        </w:r>
      </w:hyperlink>
    </w:p>
    <w:p>
      <w:pPr>
        <w:numPr>
          <w:ilvl w:val="0"/>
          <w:numId w:val="1001"/>
        </w:numPr>
        <w:pStyle w:val="Compact"/>
      </w:pPr>
      <w:r>
        <w:t xml:space="preserve">Martin Oscarsson,</w:t>
      </w:r>
      <w:r>
        <w:t xml:space="preserve"> </w:t>
      </w:r>
      <w:hyperlink r:id="rId47">
        <w:r>
          <w:rPr>
            <w:rStyle w:val="Hyperlink"/>
          </w:rPr>
          <w:t xml:space="preserve">https://orcid.org/0000-0002-8209-5351</w:t>
        </w:r>
      </w:hyperlink>
    </w:p>
    <w:p>
      <w:pPr>
        <w:numPr>
          <w:ilvl w:val="0"/>
          <w:numId w:val="1001"/>
        </w:numPr>
        <w:pStyle w:val="Compact"/>
      </w:pPr>
      <w:r>
        <w:t xml:space="preserve">Gerhard Andersson,</w:t>
      </w:r>
      <w:r>
        <w:t xml:space="preserve"> </w:t>
      </w:r>
      <w:hyperlink r:id="rId48">
        <w:r>
          <w:rPr>
            <w:rStyle w:val="Hyperlink"/>
          </w:rPr>
          <w:t xml:space="preserve">https://orcid.org/0000-0003-4753-6745</w:t>
        </w:r>
      </w:hyperlink>
    </w:p>
    <w:p>
      <w:pPr>
        <w:numPr>
          <w:ilvl w:val="0"/>
          <w:numId w:val="1001"/>
        </w:numPr>
        <w:pStyle w:val="Compact"/>
      </w:pPr>
      <w:r>
        <w:t xml:space="preserve">Per Carlbring,</w:t>
      </w:r>
      <w:r>
        <w:t xml:space="preserve"> </w:t>
      </w:r>
      <w:hyperlink r:id="rId49">
        <w:r>
          <w:rPr>
            <w:rStyle w:val="Hyperlink"/>
          </w:rPr>
          <w:t xml:space="preserve">https://orcid.org/0000-0002-2172-8813</w:t>
        </w:r>
      </w:hyperlink>
    </w:p>
    <w:p>
      <w:r>
        <w:br w:type="page"/>
      </w:r>
    </w:p>
    <w:bookmarkEnd w:id="50"/>
    <w:bookmarkStart w:id="60" w:name="figures"/>
    <w:p>
      <w:pPr>
        <w:pStyle w:val="berschrift1"/>
      </w:pPr>
      <w:r>
        <w:t xml:space="preserve">Figures</w:t>
      </w:r>
    </w:p>
    <w:p>
      <w:pPr>
        <w:pStyle w:val="CaptionedFigure"/>
      </w:pPr>
      <w:r>
        <w:drawing>
          <wp:inline>
            <wp:extent cx="5969000" cy="4968928"/>
            <wp:effectExtent b="0" l="0" r="0" t="0"/>
            <wp:docPr descr="Figure 1.  A total of 210 participants were included in the study through randomization and further randomized into three groups: unguided self-help, guided self-help, and wait-list, with 70 participants each." title="" id="52" name="Picture"/>
            <a:graphic>
              <a:graphicData uri="http://schemas.openxmlformats.org/drawingml/2006/picture">
                <pic:pic>
                  <pic:nvPicPr>
                    <pic:cNvPr descr="r2fu-article_files/figure-docx/flowchart-dot-1.png" id="53" name="Picture"/>
                    <pic:cNvPicPr>
                      <a:picLocks noChangeArrowheads="1" noChangeAspect="1"/>
                    </pic:cNvPicPr>
                  </pic:nvPicPr>
                  <pic:blipFill>
                    <a:blip r:embed="rId51"/>
                    <a:stretch>
                      <a:fillRect/>
                    </a:stretch>
                  </pic:blipFill>
                  <pic:spPr bwMode="auto">
                    <a:xfrm>
                      <a:off x="0" y="0"/>
                      <a:ext cx="5969000" cy="496892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total of 210 participants were included in the study through randomization and further randomized into three groups: unguided self-help, guided self-help, and wait-list, with 70 participants each.</w:t>
      </w:r>
    </w:p>
    <w:p>
      <w:r>
        <w:br w:type="page"/>
      </w:r>
    </w:p>
    <w:p>
      <w:pPr>
        <w:pStyle w:val="CaptionedFigure"/>
      </w:pPr>
      <w:r>
        <w:drawing>
          <wp:inline>
            <wp:extent cx="5969000" cy="4775200"/>
            <wp:effectExtent b="0" l="0" r="0" t="0"/>
            <wp:docPr descr="Figure 2.  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55" name="Picture"/>
            <a:graphic>
              <a:graphicData uri="http://schemas.openxmlformats.org/drawingml/2006/picture">
                <pic:pic>
                  <pic:nvPicPr>
                    <pic:cNvPr descr="r2fu-article-papaja_files/figure-docx/emm-primary-plots-1.png" id="56"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r>
        <w:br w:type="page"/>
      </w:r>
    </w:p>
    <w:p>
      <w:pPr>
        <w:pStyle w:val="CaptionedFigure"/>
      </w:pPr>
      <w:r>
        <w:drawing>
          <wp:inline>
            <wp:extent cx="5969000" cy="4775200"/>
            <wp:effectExtent b="0" l="0" r="0" t="0"/>
            <wp:docPr descr="Figure 3.  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58" name="Picture"/>
            <a:graphic>
              <a:graphicData uri="http://schemas.openxmlformats.org/drawingml/2006/picture">
                <pic:pic>
                  <pic:nvPicPr>
                    <pic:cNvPr descr="r2fu-article-papaja_files/figure-docx/emm-secondary-plots-1.png" id="59" name="Picture"/>
                    <pic:cNvPicPr>
                      <a:picLocks noChangeArrowheads="1" noChangeAspect="1"/>
                    </pic:cNvPicPr>
                  </pic:nvPicPr>
                  <pic:blipFill>
                    <a:blip r:embed="rId5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p>
      <w:r>
        <w:br w:type="page"/>
      </w:r>
    </w:p>
    <w:bookmarkEnd w:id="60"/>
    <w:bookmarkStart w:id="61" w:name="tables"/>
    <w:p>
      <w:pPr>
        <w:pStyle w:val="berschrift1"/>
      </w:pPr>
      <w:r>
        <w:t xml:space="preserve">Tables</w:t>
      </w:r>
    </w:p>
    <w:p>
      <w:pPr>
        <w:pStyle w:val="TableCaption"/>
      </w:pPr>
      <w:r>
        <w:t xml:space="preserve">Table 1:</w:t>
      </w:r>
      <w:r>
        <w:t xml:space="preserve"> </w:t>
      </w:r>
      <w:r>
        <w:t xml:space="preserve">Socio-demographic baseline characteristics of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1728"/>
        <w:gridCol w:w="1728"/>
        <w:gridCol w:w="1728"/>
        <w:gridCol w:w="1728"/>
      </w:tblGrid>
      <w:tr>
        <w:trPr>
          <w:trHeight w:val="360" w:hRule="auto"/>
        </w:trPr>
        body 1
        <w:tc>
          <w:tcPr>
            <w:gridSpan w:val="2"/>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Category</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Waitlist</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w:t>
            </w:r>
          </w:p>
        </w:tc>
      </w:tr>
      <w:tr>
        <w:trPr>
          <w:trHeight w:val="360"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68</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67</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44</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93</w:t>
            </w:r>
          </w:p>
        </w:tc>
      </w:tr>
      <w:tr>
        <w:trPr>
          <w:trHeight w:val="360" w:hRule="auto"/>
        </w:trPr>
        body 6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Civil status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29</w:t>
            </w:r>
          </w:p>
        </w:tc>
      </w:tr>
      <w:tr>
        <w:trPr>
          <w:trHeight w:val="360"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17</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49</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w:t>
            </w:r>
          </w:p>
        </w:tc>
      </w:tr>
      <w:tr>
        <w:trPr>
          <w:trHeight w:val="360" w:hRule="auto"/>
        </w:trPr>
        body10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Highest education level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Middle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w:t>
            </w:r>
          </w:p>
        </w:tc>
      </w:tr>
      <w:tr>
        <w:trPr>
          <w:trHeight w:val="360" w:hRule="auto"/>
        </w:trPr>
        body12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High school/college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r>
      <w:tr>
        <w:trPr>
          <w:trHeight w:val="360" w:hRule="auto"/>
        </w:trPr>
        body13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Vocational training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r>
      <w:tr>
        <w:trPr>
          <w:trHeight w:val="360"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Currently at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w:t>
            </w:r>
          </w:p>
        </w:tc>
      </w:tr>
      <w:tr>
        <w:trPr>
          <w:trHeight w:val="360"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University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74</w:t>
            </w:r>
          </w:p>
        </w:tc>
      </w:tr>
      <w:tr>
        <w:trPr>
          <w:trHeight w:val="360" w:hRule="auto"/>
        </w:trPr>
        body16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Occupation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r>
      <w:tr>
        <w:trPr>
          <w:trHeight w:val="360"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Student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w:t>
            </w:r>
          </w:p>
        </w:tc>
      </w:tr>
      <w:tr>
        <w:trPr>
          <w:trHeight w:val="360" w:hRule="auto"/>
        </w:trPr>
        body18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Employed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76</w:t>
            </w:r>
          </w:p>
        </w:tc>
      </w:tr>
      <w:tr>
        <w:trPr>
          <w:trHeight w:val="360" w:hRule="auto"/>
        </w:trPr>
        body19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Unemployed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Retired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r>
      <w:tr>
        <w:trPr>
          <w:trHeight w:val="360" w:hRule="auto"/>
        </w:trPr>
        body21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Parental leave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r>
      <w:tr>
        <w:trPr>
          <w:trHeight w:val="360" w:hRule="auto"/>
        </w:trPr>
        body22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Sick leave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r>
      <w:tr>
        <w:trPr>
          <w:trHeight w:val="360" w:hRule="auto"/>
        </w:trPr>
        body23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Use of psychotropic medications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67</w:t>
            </w:r>
          </w:p>
        </w:tc>
      </w:tr>
      <w:tr>
        <w:trPr>
          <w:trHeight w:val="360" w:hRule="auto"/>
        </w:trPr>
        body24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Yes,  previously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17</w:t>
            </w:r>
          </w:p>
        </w:tc>
      </w:tr>
      <w:tr>
        <w:trPr>
          <w:trHeight w:val="360" w:hRule="auto"/>
        </w:trPr>
        body25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Yes,  currently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16</w:t>
            </w:r>
          </w:p>
        </w:tc>
      </w:tr>
      <w:tr>
        <w:trPr>
          <w:trHeight w:val="360" w:hRule="auto"/>
        </w:trPr>
        body26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Previous psychological treatment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39</w:t>
            </w:r>
          </w:p>
        </w:tc>
      </w:tr>
      <w:tr>
        <w:trPr>
          <w:trHeight w:val="360" w:hRule="auto"/>
        </w:trPr>
        body27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61</w:t>
            </w:r>
          </w:p>
        </w:tc>
      </w:tr>
      <w:tr>
        <w:trPr>
          <w:trHeight w:val="360" w:hRule="auto"/>
        </w:trPr>
        body28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p>
        </w:tc>
      </w:tr>
    </w:tbl>
    <w:p>
      <w:r>
        <w:br w:type="page"/>
      </w:r>
    </w:p>
    <w:p>
      <w:pPr>
        <w:pStyle w:val="TableCaption"/>
      </w:pPr>
      <w:r>
        <w:t xml:space="preserve">Table 2:</w:t>
      </w:r>
      <w:r>
        <w:t xml:space="preserve"> </w:t>
      </w:r>
      <w:r>
        <w:t xml:space="preserve">Within-group effect sizes [95% CI] comparing estimated marginal means between Pre- and Post-treatment, as well as between Pre-treatment and 1-year Follow-up, and between group effect sizes [95% CI] at Post-treatment and 1-year Follow-up.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0"/>
        <w:gridCol w:w="960"/>
        <w:gridCol w:w="960"/>
        <w:gridCol w:w="960"/>
        <w:gridCol w:w="960"/>
        <w:gridCol w:w="960"/>
        <w:gridCol w:w="960"/>
        <w:gridCol w:w="960"/>
        <w:gridCol w:w="960"/>
      </w:tblGrid>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Primary transdiagnostic measures of skillful behavior</w:t>
            </w:r>
          </w:p>
        </w:tc>
        <w:tc>
          <w:tcPr>
            <w:gridSpan w:val="4"/>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Secondary measures of syndromal symptoms and well-being</w:t>
            </w:r>
          </w:p>
        </w:tc>
      </w:tr>
      <w:tr>
        <w:trPr>
          <w:trHeight w:val="360" w:hRule="auto"/>
        </w:trPr>
        body 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AAA-S Adaptive</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AAA-S Aggressive</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RAS</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PHQ-9</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GAD-7</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LSAS-SR</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Well-being</w:t>
            </w:r>
          </w:p>
        </w:tc>
      </w:tr>
      <w:tr>
        <w:trPr>
          <w:trHeight w:val="360" w:hRule="auto"/>
        </w:trPr>
        body 3
        <w:tc>
          <w:tcPr>
            <w:vMerge w:val="restart"/>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Within-group effect sizes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 Pre vs. Post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1.01 [0.76, 1.26]***</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-0.53 [-0.75, -0.31]***</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1.05 [0.82, 1.28]***</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0.41 [0.10, 0.71]</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0.53 [0.25, 0.82]*</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0.65 [0.45, 0.84]***</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0.71 [0.42, 1.00]***</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 Pre vs. Follow-up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1.31 [1.02,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-0.72 [-0.97,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1.39 [1.12,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0.55 [0.18,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0.76 [0.42,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0.98 [0.75,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1.09 [0.74, 1.43]***</w:t>
            </w:r>
          </w:p>
        </w:tc>
      </w:tr>
      <w:tr>
        <w:trPr>
          <w:trHeight w:val="360"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 Post vs. Follow-up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 [0.00,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 [-0.45,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0.34 [0.07,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 [-0.25,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0.23 [-0.14,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 [0.10,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 [0.01, 0.74]</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Pre vs. Post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0.98 [0.75,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-0.40 [-0.60,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1.32 [1.11, 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0.46 [0.18,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0.68 [0.42,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 [0.46, 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0.72 [0.46, 0.97]***</w:t>
            </w:r>
          </w:p>
        </w:tc>
      </w:tr>
      <w:tr>
        <w:trPr>
          <w:trHeight w:val="360"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Pre vs. Follow-up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 [1.18,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 [-0.85,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1.81 [1.57, 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0.53 [0.23,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0.83 [0.53,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0.91 [0.71,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1.02 [0.73, 1.31]***</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Post vs. Follow-up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0.46 [0.21,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-0.22 [-0.45,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0.49 [0.26,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 [-0.24,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 [-0.15,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0.28 [0.09,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 [0.01, 0.59]</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Wait-list, Pre vs. Post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0.29 [0.09,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 [-0.29,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0.22 [0.03,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-0.25 [-0.50,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 [-0.12,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 [-0.07,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 [-0.25, 0.21]</w:t>
            </w:r>
          </w:p>
        </w:tc>
      </w:tr>
      <w:tr>
        <w:trPr>
          <w:trHeight w:val="360" w:hRule="auto"/>
        </w:trPr>
        body10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Between-group effect sizes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 at Post vs. Wait-list at Post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 [0.62,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-0.72 [-1.09,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1.02 [0.65,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0.61 [0.22,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 [-0.11,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0.59 [0.22,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0.70 [0.31, 1.08]*</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 at Follow-up vs. Wait-list at Post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1.30 [0.90,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-0.90 [-1.29,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1.35 [0.96,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0.76 [0.32,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0.50 [0.07,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0.92 [0.54,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1.07 [0.63, 1.50]***</w:t>
            </w:r>
          </w:p>
        </w:tc>
      </w:tr>
      <w:tr>
        <w:trPr>
          <w:trHeight w:val="360" w:hRule="auto"/>
        </w:trPr>
        body12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 at Follow-up vs. Wait-list at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(idem)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(idem)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(idem)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0.51 [0.07,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0.49 [0.06,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0.90 [0.52,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1.05 [0.62, 1.47]***</w:t>
            </w:r>
          </w:p>
        </w:tc>
      </w:tr>
      <w:tr>
        <w:trPr>
          <w:trHeight w:val="360" w:hRule="auto"/>
        </w:trPr>
        body13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at Post vs. Wait-list at Post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0.95 [0.59,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-0.62 [-0.97,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1.24 [0.88,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0.77 [0.40, 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0.48 [0.12,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0.67 [0.32,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0.76 [0.40, 1.13]**</w:t>
            </w:r>
          </w:p>
        </w:tc>
      </w:tr>
      <w:tr>
        <w:trPr>
          <w:trHeight w:val="360"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at Follow-up vs. Wait-list at Post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1.41 [1.03, 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-0.84 [-1.21,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1.73 [1.36,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0.85 [0.45, 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 [0.25,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0.95 [0.58,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1.06 [0.67, 1.45]***</w:t>
            </w:r>
          </w:p>
        </w:tc>
      </w:tr>
      <w:tr>
        <w:trPr>
          <w:trHeight w:val="360"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at Follow-up vs. Wait-list at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(idem)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(idem)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(idem)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0.60 [0.21,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 [0.24,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0.93 [0.57,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1.04 [0.66, 1.43]***</w:t>
            </w:r>
          </w:p>
        </w:tc>
      </w:tr>
      <w:tr>
        <w:trPr>
          <w:trHeight w:val="360" w:hRule="auto"/>
        </w:trPr>
        body16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vs. Unguided at Post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 [-0.43,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0.10 [-0.27,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0.22 [-0.15,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0.16 [-0.24,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0.21 [-0.18,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 [-0.29,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 [-0.33, 0.47]</w:t>
            </w:r>
          </w:p>
        </w:tc>
      </w:tr>
      <w:tr>
        <w:trPr>
          <w:trHeight w:val="360"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vs. Unguided at Follow-up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 [-0.31,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 [-0.34,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0.38 [-0.02,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 [-0.39,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 [-0.32,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 [-0.37,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 [-0.46, 0.45]</w:t>
            </w:r>
          </w:p>
        </w:tc>
      </w:tr>
      <w:tr>
        <w:trPr>
          <w:trHeight w:val="360" w:hRule="auto"/>
        </w:trPr>
        body18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Pre = pre-treatment measurement at 0 weeks; During = measurement during week 4; Post = measurement after completion of treatment at week 8; Follow-up = measurement at 1 year after completion.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 the most conservative measurement for the Wait-list control condition, in order to suppress any nocebo effects; see dotted lines in graphs in Figure 3 for identification of time 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 p &lt; .05, ** = p &lt; .01, *** = p &lt; .00; p-values are Bonferroni adjusted, based on pairwise comparisons of all sampled time points and conditions.</w:t>
            </w:r>
          </w:p>
        </w:tc>
      </w:tr>
    </w:tbl>
    <w:p>
      <w:r>
        <w:br w:type="page"/>
      </w:r>
    </w:p>
    <w:p>
      <w:pPr>
        <w:pStyle w:val="TableCaption"/>
      </w:pPr>
      <w:r>
        <w:t xml:space="preserve">Table 3:</w:t>
      </w:r>
      <w:r>
        <w:t xml:space="preserve"> </w:t>
      </w:r>
      <w:r>
        <w:t xml:space="preserve">Clinical significance summary of the number (and proportion in %) of participants that changed reliably and moved from the clinical to the functional population from Pre-treatment to Post- and 1-year Follow-up-time points respectively (rows named 'Recovered'). For missing values (i.e., caused by drop-outs), the last collected value was moved forward to the next measurement time point, in order to respect the intention to treat principle.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4"/>
        <w:gridCol w:w="1234"/>
        <w:gridCol w:w="1234"/>
        <w:gridCol w:w="1234"/>
        <w:gridCol w:w="1234"/>
        <w:gridCol w:w="1234"/>
        <w:gridCol w:w="1234"/>
      </w:tblGrid>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Wait-list</w:t>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Unguided self-help</w:t>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Guided self-help</w:t>
            </w:r>
          </w:p>
        </w:tc>
      </w:tr>
      <w:tr>
        <w:trPr>
          <w:trHeight w:val="360" w:hRule="auto"/>
        </w:trPr>
        body 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Pre–Post</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Pre–Post</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Pre–Follow-up</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Pre–Post</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Pre–Follow-up</w:t>
            </w:r>
          </w:p>
        </w:tc>
      </w:tr>
      <w:tr>
        <w:trPr>
          <w:trHeight w:val="360" w:hRule="auto"/>
        </w:trPr>
        body 3
        <w:tc>
          <w:tcPr>
            <w:vMerge w:val="restart"/>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AAA-S Adaptive</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Recovered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 (19%)*</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15 (22%)*</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 (19%)</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18 (26%)**</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Improved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r>
      <w:tr>
        <w:trPr>
          <w:trHeight w:val="360"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57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50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46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51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47 (67%)</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Deteriorated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r>
      <w:tr>
        <w:trPr>
          <w:trHeight w:val="360"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Harmed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r>
      <w:tr>
        <w:trPr>
          <w:trHeight w:val="360" w:hRule="auto"/>
        </w:trPr>
        body 8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AAA-S Aggressive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Recovered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Improved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55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56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55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61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55 (79%)</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Deteriorated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r>
      <w:tr>
        <w:trPr>
          <w:trHeight w:val="360" w:hRule="auto"/>
        </w:trPr>
        body12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Harmed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 (13%)</w:t>
            </w:r>
          </w:p>
        </w:tc>
      </w:tr>
      <w:tr>
        <w:trPr>
          <w:trHeight w:val="360" w:hRule="auto"/>
        </w:trPr>
        body13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Recovered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17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25 (36%)***</w:t>
            </w:r>
          </w:p>
        </w:tc>
      </w:tr>
      <w:tr>
        <w:trPr>
          <w:trHeight w:val="360"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Improved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 (19%)</w:t>
            </w:r>
          </w:p>
        </w:tc>
      </w:tr>
      <w:tr>
        <w:trPr>
          <w:trHeight w:val="360"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62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39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37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32 (46%)</w:t>
            </w:r>
          </w:p>
        </w:tc>
      </w:tr>
      <w:tr>
        <w:trPr>
          <w:trHeight w:val="360" w:hRule="auto"/>
        </w:trPr>
        body16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Deteriorated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r>
      <w:tr>
        <w:trPr>
          <w:trHeight w:val="360"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Harmed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r>
      <w:tr>
        <w:trPr>
          <w:trHeight w:val="360" w:hRule="auto"/>
        </w:trPr>
        body18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PHQ-9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Recovered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18 (26%)**</w:t>
            </w:r>
          </w:p>
        </w:tc>
      </w:tr>
      <w:tr>
        <w:trPr>
          <w:trHeight w:val="360" w:hRule="auto"/>
        </w:trPr>
        body19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Improved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49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47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48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45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40 (57%)</w:t>
            </w:r>
          </w:p>
        </w:tc>
      </w:tr>
      <w:tr>
        <w:trPr>
          <w:trHeight w:val="360" w:hRule="auto"/>
        </w:trPr>
        body21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Deteriorated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r>
      <w:tr>
        <w:trPr>
          <w:trHeight w:val="360" w:hRule="auto"/>
        </w:trPr>
        body22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Harmed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r>
      <w:tr>
        <w:trPr>
          <w:trHeight w:val="360" w:hRule="auto"/>
        </w:trPr>
        body23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GAD-7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Recovered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19 (27%)</w:t>
            </w:r>
          </w:p>
        </w:tc>
      </w:tr>
      <w:tr>
        <w:trPr>
          <w:trHeight w:val="360" w:hRule="auto"/>
        </w:trPr>
        body24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Improved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r>
      <w:tr>
        <w:trPr>
          <w:trHeight w:val="360" w:hRule="auto"/>
        </w:trPr>
        body25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47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42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38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51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44 (63%)</w:t>
            </w:r>
          </w:p>
        </w:tc>
      </w:tr>
      <w:tr>
        <w:trPr>
          <w:trHeight w:val="360" w:hRule="auto"/>
        </w:trPr>
        body26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Deteriorated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r>
      <w:tr>
        <w:trPr>
          <w:trHeight w:val="360" w:hRule="auto"/>
        </w:trPr>
        body27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Harmed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r>
      <w:tr>
        <w:trPr>
          <w:trHeight w:val="360" w:hRule="auto"/>
        </w:trPr>
        body28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LSAS-SR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Recovered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18 (26%)**</w:t>
            </w:r>
          </w:p>
        </w:tc>
      </w:tr>
      <w:tr>
        <w:trPr>
          <w:trHeight w:val="360" w:hRule="auto"/>
        </w:trPr>
        body29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Improved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 (14%)</w:t>
            </w:r>
          </w:p>
        </w:tc>
      </w:tr>
      <w:tr>
        <w:trPr>
          <w:trHeight w:val="360" w:hRule="auto"/>
        </w:trPr>
        body30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52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41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40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41 (59%)</w:t>
            </w:r>
          </w:p>
        </w:tc>
      </w:tr>
      <w:tr>
        <w:trPr>
          <w:trHeight w:val="360" w:hRule="auto"/>
        </w:trPr>
        body31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Deteriorated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r>
      <w:tr>
        <w:trPr>
          <w:trHeight w:val="360" w:hRule="auto"/>
        </w:trPr>
        body32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Harmed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r>
      <w:tr>
        <w:trPr>
          <w:trHeight w:val="360" w:hRule="auto"/>
        </w:trPr>
        body33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Well-being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Recovered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18 (26%)*</w:t>
            </w:r>
          </w:p>
        </w:tc>
      </w:tr>
      <w:tr>
        <w:trPr>
          <w:trHeight w:val="360" w:hRule="auto"/>
        </w:trPr>
        body34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Improved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 (9%)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 (10%)</w:t>
            </w:r>
          </w:p>
        </w:tc>
      </w:tr>
      <w:tr>
        <w:trPr>
          <w:trHeight w:val="360" w:hRule="auto"/>
        </w:trPr>
        body35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Unchanged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56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47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46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51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44 (63%)</w:t>
            </w:r>
          </w:p>
        </w:tc>
      </w:tr>
      <w:tr>
        <w:trPr>
          <w:trHeight w:val="360" w:hRule="auto"/>
        </w:trPr>
        body36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Deteriorated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r>
      <w:tr>
        <w:trPr>
          <w:trHeight w:val="360" w:hRule="auto"/>
        </w:trPr>
        body37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Harmed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 (0%)</w:t>
            </w:r>
          </w:p>
        </w:tc>
      </w:tr>
      <w:tr>
        <w:trPr>
          <w:trHeight w:val="360" w:hRule="auto"/>
        </w:trPr>
        body38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4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AAA-S Adaptive = Adaptive and Aggressive Assertiveness Scales, Adaptive subscale; AAA-S Aggressive = Adaptive and Aggressive Assertiveness Scales, Aggressive Subscale, RAS = Rathus Assertiveness Schedule; PHQ-9 = Patient Health Questionnaire, 9 items; GAD-7 = Generalized Anxiety Disorder 7-item Scale; LSAS-SR = Liebowitz Social Anxiety Scale; Well-being = Questionnaire on 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 p &lt; .05, ** = p &lt; .01, *** = p &lt; .00; p-values are Bonferroni adjusted, based on rank-sum tests of the proportions of clinically improved participants between the three conditions at the post and follow-up time points, respectively.</w:t>
            </w:r>
          </w:p>
        </w:tc>
      </w:tr>
    </w:tbl>
    <w:p>
      <w:r>
        <w:br w:type="page"/>
      </w:r>
    </w:p>
    <w:bookmarkEnd w:id="61"/>
    <w:bookmarkStart w:id="157" w:name="references"/>
    <w:p>
      <w:pPr>
        <w:pStyle w:val="berschrift1"/>
      </w:pPr>
      <w:r>
        <w:t xml:space="preserve">References</w:t>
      </w:r>
    </w:p>
    <w:bookmarkStart w:id="156" w:name="refs"/>
    <w:bookmarkStart w:id="62" w:name="ref-alberti2017your"/>
    <w:p>
      <w:pPr>
        <w:pStyle w:val="Literaturverzeichnis"/>
      </w:pPr>
      <w:r>
        <w:t xml:space="preserve">Alberti, R., Emmons, M., 2017.</w:t>
      </w:r>
      <w:r>
        <w:t xml:space="preserve"> </w:t>
      </w:r>
      <w:r>
        <w:t xml:space="preserve">Your perfect right: Assertiveness and equality in your life and relationships</w:t>
      </w:r>
      <w:r>
        <w:t xml:space="preserve">. New Harbinger Publications, Oakland, CA.</w:t>
      </w:r>
    </w:p>
    <w:bookmarkEnd w:id="62"/>
    <w:bookmarkStart w:id="63" w:name="ref-alberti1974your"/>
    <w:p>
      <w:pPr>
        <w:pStyle w:val="Literaturverzeichnis"/>
      </w:pPr>
      <w:r>
        <w:t xml:space="preserve">Alberti, R., Emmons, M., 1974.</w:t>
      </w:r>
      <w:r>
        <w:t xml:space="preserve"> </w:t>
      </w:r>
      <w:r>
        <w:t xml:space="preserve">Your perfect right</w:t>
      </w:r>
      <w:r>
        <w:t xml:space="preserve">, 2nd ed. Impact, San Luis Obispo.</w:t>
      </w:r>
    </w:p>
    <w:bookmarkEnd w:id="63"/>
    <w:bookmarkStart w:id="65" w:name="ref-Andrews2018"/>
    <w:p>
      <w:pPr>
        <w:pStyle w:val="Literaturverzeichnis"/>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64">
        <w:r>
          <w:rPr>
            <w:rStyle w:val="Hyperlink"/>
          </w:rPr>
          <w:t xml:space="preserve">https://doi.org/10.1016/j.janxdis.2018.01.001</w:t>
        </w:r>
      </w:hyperlink>
    </w:p>
    <w:bookmarkEnd w:id="65"/>
    <w:bookmarkStart w:id="67" w:name="ref-Antunez2020"/>
    <w:p>
      <w:pPr>
        <w:pStyle w:val="Literaturverzeichnis"/>
      </w:pPr>
      <w:r>
        <w:t xml:space="preserve">Antúnez, J.M., 2020. Circadian typology is related to emotion regulation, metacognitive beliefs and assertiveness in healthy adults. PLOS ONE 15, e0230169.</w:t>
      </w:r>
      <w:r>
        <w:t xml:space="preserve"> </w:t>
      </w:r>
      <w:hyperlink r:id="rId66">
        <w:r>
          <w:rPr>
            <w:rStyle w:val="Hyperlink"/>
          </w:rPr>
          <w:t xml:space="preserve">https://doi.org/10.1371/journal.pone.0230169</w:t>
        </w:r>
      </w:hyperlink>
    </w:p>
    <w:bookmarkEnd w:id="67"/>
    <w:bookmarkStart w:id="69" w:name="ref-Baker2015"/>
    <w:p>
      <w:pPr>
        <w:pStyle w:val="Literaturverzeichnis"/>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8">
        <w:r>
          <w:rPr>
            <w:rStyle w:val="Hyperlink"/>
          </w:rPr>
          <w:t xml:space="preserve">https://doi.org/10.4018/978-1-4666-5942-1</w:t>
        </w:r>
      </w:hyperlink>
    </w:p>
    <w:bookmarkEnd w:id="69"/>
    <w:bookmarkStart w:id="71" w:name="ref-Baumeister2014a"/>
    <w:p>
      <w:pPr>
        <w:pStyle w:val="Literaturverzeichnis"/>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70">
        <w:r>
          <w:rPr>
            <w:rStyle w:val="Hyperlink"/>
          </w:rPr>
          <w:t xml:space="preserve">https://doi.org/10.1016/j.invent.2014.08.003</w:t>
        </w:r>
      </w:hyperlink>
    </w:p>
    <w:bookmarkEnd w:id="71"/>
    <w:bookmarkStart w:id="72" w:name="ref-beck1979cognitive"/>
    <w:p>
      <w:pPr>
        <w:pStyle w:val="Literaturverzeichnis"/>
      </w:pPr>
      <w:r>
        <w:t xml:space="preserve">Beck, A.T., 1979.</w:t>
      </w:r>
      <w:r>
        <w:t xml:space="preserve"> </w:t>
      </w:r>
      <w:r>
        <w:t xml:space="preserve">Cognitive Therapy of Depression</w:t>
      </w:r>
      <w:r>
        <w:t xml:space="preserve">, Guilford clinical psychology and psychotherapy series. Guilford Publications, New York, NY.</w:t>
      </w:r>
    </w:p>
    <w:bookmarkEnd w:id="72"/>
    <w:bookmarkStart w:id="73" w:name="ref-berg2022good"/>
    <w:p>
      <w:pPr>
        <w:pStyle w:val="Literaturverzeichnis"/>
      </w:pPr>
      <w:r>
        <w:t xml:space="preserve">Berg, I., Hovne, V., Carlbring, P., Bernhard-Oettel, C., Oscarsson, M., Mechler, J., Lindqvist, K., Topooco, N., Andersson, G., Philips, B., 2022.</w:t>
      </w:r>
      <w:r>
        <w:t xml:space="preserve"> </w:t>
      </w:r>
      <w:r>
        <w:t xml:space="preserve">“Good job!”</w:t>
      </w:r>
      <w:r>
        <w:t xml:space="preserve">: Therapists’ encouragement, affirmation, and personal address in internet-based cognitive behavior therapy for adolescents with depression. Internet Interventions 30, 100592.</w:t>
      </w:r>
    </w:p>
    <w:bookmarkEnd w:id="73"/>
    <w:bookmarkStart w:id="74" w:name="ref-Braconier2015"/>
    <w:p>
      <w:pPr>
        <w:pStyle w:val="Literaturverzeichnis"/>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(Master thesis)</w:t>
      </w:r>
      <w:r>
        <w:t xml:space="preserve">.</w:t>
      </w:r>
    </w:p>
    <w:bookmarkEnd w:id="74"/>
    <w:bookmarkStart w:id="76" w:name="ref-Carlbring2018"/>
    <w:p>
      <w:pPr>
        <w:pStyle w:val="Literaturverzeichnis"/>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75">
        <w:r>
          <w:rPr>
            <w:rStyle w:val="Hyperlink"/>
          </w:rPr>
          <w:t xml:space="preserve">https://doi.org/10.1080/16506073.2017.1401115</w:t>
        </w:r>
      </w:hyperlink>
    </w:p>
    <w:bookmarkEnd w:id="76"/>
    <w:bookmarkStart w:id="77" w:name="ref-carlbring2023new"/>
    <w:p>
      <w:pPr>
        <w:pStyle w:val="Literaturverzeichnis"/>
      </w:pPr>
      <w:r>
        <w:t xml:space="preserve">Carlbring, P., Hadjistavropoulos, H., Kleiboer, A., Andersson, G., 2023. A new era in internet interventions: The advent of chat-GPT and AI-assisted therapist guidance. Internet Interventions.</w:t>
      </w:r>
    </w:p>
    <w:bookmarkEnd w:id="77"/>
    <w:bookmarkStart w:id="79" w:name="ref-Ciarrochi2022"/>
    <w:p>
      <w:pPr>
        <w:pStyle w:val="Literaturverzeichnis"/>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78">
        <w:r>
          <w:rPr>
            <w:rStyle w:val="Hyperlink"/>
          </w:rPr>
          <w:t xml:space="preserve">https://doi.org/10.1016/j.jcbs.2022.02.001</w:t>
        </w:r>
      </w:hyperlink>
    </w:p>
    <w:bookmarkEnd w:id="79"/>
    <w:bookmarkStart w:id="81" w:name="ref-Clark1986"/>
    <w:p>
      <w:pPr>
        <w:pStyle w:val="Literaturverzeichnis"/>
      </w:pPr>
      <w:r>
        <w:t xml:space="preserve">Clark, D.M., 1986.</w:t>
      </w:r>
      <w:r>
        <w:t xml:space="preserve"> </w:t>
      </w:r>
      <w:r>
        <w:t xml:space="preserve">A cognitive approach to panic</w:t>
      </w:r>
      <w:r>
        <w:t xml:space="preserve">. Behaviour Research and Therapy 24, 461–470.</w:t>
      </w:r>
      <w:r>
        <w:t xml:space="preserve"> </w:t>
      </w:r>
      <w:hyperlink r:id="rId80">
        <w:r>
          <w:rPr>
            <w:rStyle w:val="Hyperlink"/>
          </w:rPr>
          <w:t xml:space="preserve">https://doi.org/10.1016/0005-7967(86)90011-2</w:t>
        </w:r>
      </w:hyperlink>
    </w:p>
    <w:bookmarkEnd w:id="81"/>
    <w:bookmarkStart w:id="82" w:name="ref-clark1995cognitive"/>
    <w:p>
      <w:pPr>
        <w:pStyle w:val="Literaturverzeichnis"/>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82"/>
    <w:bookmarkStart w:id="84" w:name="ref-R-clinicalsignificance"/>
    <w:p>
      <w:pPr>
        <w:pStyle w:val="Literaturverzeichnis"/>
      </w:pPr>
      <w:r>
        <w:t xml:space="preserve">Claus, B., 2022.</w:t>
      </w:r>
      <w:r>
        <w:t xml:space="preserve"> </w:t>
      </w:r>
      <w:hyperlink r:id="rId83">
        <w:r>
          <w:rPr>
            <w:rStyle w:val="Hyperlink"/>
          </w:rPr>
          <w:t xml:space="preserve">Clinicalsignificance: Determine the clinical significance in clinical trials</w:t>
        </w:r>
      </w:hyperlink>
      <w:r>
        <w:t xml:space="preserve">.</w:t>
      </w:r>
    </w:p>
    <w:bookmarkEnd w:id="84"/>
    <w:bookmarkStart w:id="85" w:name="ref-cohen1988statistical"/>
    <w:p>
      <w:pPr>
        <w:pStyle w:val="Literaturverzeichnis"/>
      </w:pPr>
      <w:r>
        <w:t xml:space="preserve">Cohen, J., 1988. Statistical power analysis for the behavioral sciences (revised ed.).</w:t>
      </w:r>
    </w:p>
    <w:bookmarkEnd w:id="85"/>
    <w:bookmarkStart w:id="87" w:name="ref-Craske2008"/>
    <w:p>
      <w:pPr>
        <w:pStyle w:val="Literaturverzeichnis"/>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86">
        <w:r>
          <w:rPr>
            <w:rStyle w:val="Hyperlink"/>
          </w:rPr>
          <w:t xml:space="preserve">https://doi.org/10.1016/j.brat.2007.10.003</w:t>
        </w:r>
      </w:hyperlink>
    </w:p>
    <w:bookmarkEnd w:id="87"/>
    <w:bookmarkStart w:id="89" w:name="ref-Cuijpers2016"/>
    <w:p>
      <w:pPr>
        <w:pStyle w:val="Literaturverzeichnis"/>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88">
        <w:r>
          <w:rPr>
            <w:rStyle w:val="Hyperlink"/>
          </w:rPr>
          <w:t xml:space="preserve">https://doi.org/10.1002/wps.20346</w:t>
        </w:r>
      </w:hyperlink>
    </w:p>
    <w:bookmarkEnd w:id="89"/>
    <w:bookmarkStart w:id="91" w:name="ref-Day2013"/>
    <w:p>
      <w:pPr>
        <w:pStyle w:val="Literaturverzeichnis"/>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90">
        <w:r>
          <w:rPr>
            <w:rStyle w:val="Hyperlink"/>
          </w:rPr>
          <w:t xml:space="preserve">https://doi.org/10.1016/j.brat.2013.03.003</w:t>
        </w:r>
      </w:hyperlink>
    </w:p>
    <w:bookmarkEnd w:id="91"/>
    <w:bookmarkStart w:id="92" w:name="ref-fensterheim1975don"/>
    <w:p>
      <w:pPr>
        <w:pStyle w:val="Literaturverzeichnis"/>
      </w:pPr>
      <w:r>
        <w:t xml:space="preserve">Fensterheim, H., Baer, J.L., 1975.</w:t>
      </w:r>
      <w:r>
        <w:t xml:space="preserve"> </w:t>
      </w:r>
      <w:r>
        <w:t xml:space="preserve">Don’t say yes when you want to say no</w:t>
      </w:r>
      <w:r>
        <w:t xml:space="preserve">. Dell Publishing Company, New York, NY.</w:t>
      </w:r>
    </w:p>
    <w:bookmarkEnd w:id="92"/>
    <w:bookmarkStart w:id="94" w:name="ref-Fledderus2012"/>
    <w:p>
      <w:pPr>
        <w:pStyle w:val="Literaturverzeichnis"/>
      </w:pPr>
      <w:r>
        <w:t xml:space="preserve">Fledderus, M., Voshaar, M.A.H.O., Klooster, P.M. ten, Bohlmeijer, E.T., 2012. Further evaluation of the psychometric properties of the acceptance and action questionnaire–II. Psychological Assessment 24, 925–936.</w:t>
      </w:r>
      <w:r>
        <w:t xml:space="preserve"> </w:t>
      </w:r>
      <w:hyperlink r:id="rId93">
        <w:r>
          <w:rPr>
            <w:rStyle w:val="Hyperlink"/>
          </w:rPr>
          <w:t xml:space="preserve">https://doi.org/10.1037/a0028200</w:t>
        </w:r>
      </w:hyperlink>
    </w:p>
    <w:bookmarkEnd w:id="94"/>
    <w:bookmarkStart w:id="96" w:name="ref-Fresco2001"/>
    <w:p>
      <w:pPr>
        <w:pStyle w:val="Literaturverzeichnis"/>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95">
        <w:r>
          <w:rPr>
            <w:rStyle w:val="Hyperlink"/>
          </w:rPr>
          <w:t xml:space="preserve">https://doi.org/10.1017/S0033291701004056</w:t>
        </w:r>
      </w:hyperlink>
    </w:p>
    <w:bookmarkEnd w:id="96"/>
    <w:bookmarkStart w:id="98" w:name="ref-Furukawa2014"/>
    <w:p>
      <w:pPr>
        <w:pStyle w:val="Literaturverzeichnis"/>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97">
        <w:r>
          <w:rPr>
            <w:rStyle w:val="Hyperlink"/>
          </w:rPr>
          <w:t xml:space="preserve">https://doi.org/10.1111/acps.12275</w:t>
        </w:r>
      </w:hyperlink>
    </w:p>
    <w:bookmarkEnd w:id="98"/>
    <w:bookmarkStart w:id="99" w:name="ref-gambrill1975assertion"/>
    <w:p>
      <w:pPr>
        <w:pStyle w:val="Literaturverzeichnis"/>
      </w:pPr>
      <w:r>
        <w:t xml:space="preserve">Gambrill, E.D., Richey, C.A., 1975.</w:t>
      </w:r>
      <w:r>
        <w:t xml:space="preserve"> </w:t>
      </w:r>
      <w:r>
        <w:t xml:space="preserve">An assertion inventory for use in assessment and research</w:t>
      </w:r>
      <w:r>
        <w:t xml:space="preserve">. Behavior Therapy 6, 550–561.</w:t>
      </w:r>
    </w:p>
    <w:bookmarkEnd w:id="99"/>
    <w:bookmarkStart w:id="100" w:name="ref-RandomOrg"/>
    <w:p>
      <w:pPr>
        <w:pStyle w:val="Literaturverzeichnis"/>
      </w:pPr>
      <w:r>
        <w:t xml:space="preserve">Haahr, M., 2018.</w:t>
      </w:r>
      <w:r>
        <w:t xml:space="preserve"> </w:t>
      </w:r>
      <w:r>
        <w:t xml:space="preserve">RANDOM.ORG:</w:t>
      </w:r>
      <w:r>
        <w:t xml:space="preserve"> </w:t>
      </w:r>
      <w:r>
        <w:t xml:space="preserve">True random number service. [online].</w:t>
      </w:r>
    </w:p>
    <w:bookmarkEnd w:id="100"/>
    <w:bookmarkStart w:id="102" w:name="ref-Hayes2004a"/>
    <w:p>
      <w:pPr>
        <w:pStyle w:val="Literaturverzeichnis"/>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101">
        <w:r>
          <w:rPr>
            <w:rStyle w:val="Hyperlink"/>
          </w:rPr>
          <w:t xml:space="preserve">https://doi.org/10.1016/S0005-7894(04)80013-3</w:t>
        </w:r>
      </w:hyperlink>
    </w:p>
    <w:bookmarkEnd w:id="102"/>
    <w:bookmarkStart w:id="103" w:name="ref-Hull1978"/>
    <w:p>
      <w:pPr>
        <w:pStyle w:val="Literaturverzeichnis"/>
      </w:pPr>
      <w:r>
        <w:t xml:space="preserve">Hull, D.B., Hull, J.H., 1978. Rathus assertiveness schedule: Normative and factor-analytic data, BEHAVIOR THERAPY.</w:t>
      </w:r>
    </w:p>
    <w:bookmarkEnd w:id="103"/>
    <w:bookmarkStart w:id="104" w:name="ref-Jacobson1991"/>
    <w:p>
      <w:pPr>
        <w:pStyle w:val="Literaturverzeichnis"/>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104"/>
    <w:bookmarkStart w:id="106" w:name="ref-Kroenke2010"/>
    <w:p>
      <w:pPr>
        <w:pStyle w:val="Literaturverzeichnis"/>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105">
        <w:r>
          <w:rPr>
            <w:rStyle w:val="Hyperlink"/>
          </w:rPr>
          <w:t xml:space="preserve">https://doi.org/10.1016/j.genhosppsych.2010.03.006</w:t>
        </w:r>
      </w:hyperlink>
    </w:p>
    <w:bookmarkEnd w:id="106"/>
    <w:bookmarkStart w:id="108" w:name="ref-R-lmerTest"/>
    <w:p>
      <w:pPr>
        <w:pStyle w:val="Literaturverzeichnis"/>
      </w:pPr>
      <w:r>
        <w:t xml:space="preserve">Kuznetsova, A., Bruun Brockhoff, P., Haubo Bojesen Christensen, R., 2020.</w:t>
      </w:r>
      <w:r>
        <w:t xml:space="preserve"> </w:t>
      </w:r>
      <w:hyperlink r:id="rId107">
        <w:r>
          <w:rPr>
            <w:rStyle w:val="Hyperlink"/>
          </w:rPr>
          <w:t xml:space="preserve">lmerTest: Tests in linear mixed effects models</w:t>
        </w:r>
      </w:hyperlink>
      <w:r>
        <w:t xml:space="preserve">.</w:t>
      </w:r>
    </w:p>
    <w:bookmarkEnd w:id="108"/>
    <w:bookmarkStart w:id="110" w:name="ref-R-emmeans"/>
    <w:p>
      <w:pPr>
        <w:pStyle w:val="Literaturverzeichnis"/>
      </w:pPr>
      <w:r>
        <w:t xml:space="preserve">Lenth, R., 2020.</w:t>
      </w:r>
      <w:r>
        <w:t xml:space="preserve"> </w:t>
      </w:r>
      <w:hyperlink r:id="rId109">
        <w:r>
          <w:rPr>
            <w:rStyle w:val="Hyperlink"/>
          </w:rPr>
          <w:t xml:space="preserve">emmeans: Estimated Marginal Means, aka Least-Squares Means</w:t>
        </w:r>
      </w:hyperlink>
      <w:r>
        <w:t xml:space="preserve">.</w:t>
      </w:r>
    </w:p>
    <w:bookmarkEnd w:id="110"/>
    <w:bookmarkStart w:id="112" w:name="ref-Lindner2015"/>
    <w:p>
      <w:pPr>
        <w:pStyle w:val="Literaturverzeichnis"/>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11">
        <w:r>
          <w:rPr>
            <w:rStyle w:val="Hyperlink"/>
          </w:rPr>
          <w:t xml:space="preserve">https://doi.org/10.1016/j.invent.2015.04.002</w:t>
        </w:r>
      </w:hyperlink>
    </w:p>
    <w:bookmarkEnd w:id="112"/>
    <w:bookmarkStart w:id="113" w:name="ref-linehan1993skills"/>
    <w:p>
      <w:pPr>
        <w:pStyle w:val="Literaturverzeichnis"/>
      </w:pPr>
      <w:r>
        <w:t xml:space="preserve">Linehan, M.M., 1993. Skills training manual for treating borderline personality disorder. The Guilford Press.</w:t>
      </w:r>
    </w:p>
    <w:bookmarkEnd w:id="113"/>
    <w:bookmarkStart w:id="115" w:name="ref-LINEHAN1979"/>
    <w:p>
      <w:pPr>
        <w:pStyle w:val="Literaturverzeichnis"/>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14">
        <w:r>
          <w:rPr>
            <w:rStyle w:val="Hyperlink"/>
          </w:rPr>
          <w:t xml:space="preserve">https://doi.org/10.1016/B978-0-12-404480-7.50013-7</w:t>
        </w:r>
      </w:hyperlink>
    </w:p>
    <w:bookmarkEnd w:id="115"/>
    <w:bookmarkStart w:id="117" w:name="ref-R-ggeffects"/>
    <w:p>
      <w:pPr>
        <w:pStyle w:val="Literaturverzeichnis"/>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16">
        <w:r>
          <w:rPr>
            <w:rStyle w:val="Hyperlink"/>
          </w:rPr>
          <w:t xml:space="preserve">https://doi.org/10.21105/joss.00772</w:t>
        </w:r>
      </w:hyperlink>
    </w:p>
    <w:bookmarkEnd w:id="117"/>
    <w:bookmarkStart w:id="119" w:name="ref-R-performance"/>
    <w:p>
      <w:pPr>
        <w:pStyle w:val="Literaturverzeichnis"/>
      </w:pPr>
      <w:r>
        <w:t xml:space="preserve">Lüdecke, D., Makowski, D., Ben-Shachar, M.S., Patil, I., Waggoner, P., Wiernik, B.M., 2023.</w:t>
      </w:r>
      <w:r>
        <w:t xml:space="preserve"> </w:t>
      </w:r>
      <w:hyperlink r:id="rId118">
        <w:r>
          <w:rPr>
            <w:rStyle w:val="Hyperlink"/>
          </w:rPr>
          <w:t xml:space="preserve">Performance: Assessment of regression models performance</w:t>
        </w:r>
      </w:hyperlink>
      <w:r>
        <w:t xml:space="preserve">.</w:t>
      </w:r>
    </w:p>
    <w:bookmarkEnd w:id="119"/>
    <w:bookmarkStart w:id="121" w:name="ref-Lundgren2016"/>
    <w:p>
      <w:pPr>
        <w:pStyle w:val="Literaturverzeichnis"/>
      </w:pPr>
      <w:r>
        <w:t xml:space="preserve">Lundgren, T., Parling, T., 2017. Swedish acceptance and action questionnaire (SAAQ): A psychometric evaluation. Cognitive Behaviour Therapy 46, 315–326.</w:t>
      </w:r>
      <w:r>
        <w:t xml:space="preserve"> </w:t>
      </w:r>
      <w:hyperlink r:id="rId120">
        <w:r>
          <w:rPr>
            <w:rStyle w:val="Hyperlink"/>
          </w:rPr>
          <w:t xml:space="preserve">https://doi.org/10.1080/16506073.2016.1250228</w:t>
        </w:r>
      </w:hyperlink>
    </w:p>
    <w:bookmarkEnd w:id="121"/>
    <w:bookmarkStart w:id="122" w:name="ref-magnusson2018consequences"/>
    <w:p>
      <w:pPr>
        <w:pStyle w:val="Literaturverzeichnis"/>
      </w:pPr>
      <w:r>
        <w:t xml:space="preserve">Magnusson, K., Andersson, G., Carlbring, P., 2018. The consequences of ignoring therapist effects in trials with longitudinal data: A simulation study. Journal of Consulting and Clinical Psychology 86, 711.</w:t>
      </w:r>
    </w:p>
    <w:bookmarkEnd w:id="122"/>
    <w:bookmarkStart w:id="124" w:name="ref-michel2008"/>
    <w:p>
      <w:pPr>
        <w:pStyle w:val="Literaturverzeichnis"/>
      </w:pPr>
      <w:r>
        <w:t xml:space="preserve">Michel, F., Fursland, A., 2008.</w:t>
      </w:r>
      <w:r>
        <w:t xml:space="preserve"> </w:t>
      </w:r>
      <w:hyperlink r:id="rId123">
        <w:r>
          <w:rPr>
            <w:rStyle w:val="Hyperlink"/>
          </w:rPr>
          <w:t xml:space="preserve">Assert Yourself</w:t>
        </w:r>
      </w:hyperlink>
      <w:r>
        <w:t xml:space="preserve">.</w:t>
      </w:r>
    </w:p>
    <w:bookmarkEnd w:id="124"/>
    <w:bookmarkStart w:id="126" w:name="ref-Mitamura2018"/>
    <w:p>
      <w:pPr>
        <w:pStyle w:val="Literaturverzeichnis"/>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25">
        <w:r>
          <w:rPr>
            <w:rStyle w:val="Hyperlink"/>
          </w:rPr>
          <w:t xml:space="preserve">https://doi.org/10.1111/jpr.12185</w:t>
        </w:r>
      </w:hyperlink>
    </w:p>
    <w:bookmarkEnd w:id="126"/>
    <w:bookmarkStart w:id="127" w:name="ref-ost2006tillampad"/>
    <w:p>
      <w:pPr>
        <w:pStyle w:val="Literaturverzeichnis"/>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27"/>
    <w:bookmarkStart w:id="128" w:name="ref-powell2017mental"/>
    <w:p>
      <w:pPr>
        <w:pStyle w:val="Literaturverzeichnis"/>
      </w:pPr>
      <w:r>
        <w:t xml:space="preserve">Powell, T.J., 2017.</w:t>
      </w:r>
      <w:r>
        <w:t xml:space="preserve"> </w:t>
      </w:r>
      <w:r>
        <w:t xml:space="preserve">The Mental Health Handbook: A Cognitive Behavioural Approach</w:t>
      </w:r>
      <w:r>
        <w:t xml:space="preserve">. Routledge, Abingdon-on-Thames,England, UK.</w:t>
      </w:r>
    </w:p>
    <w:bookmarkEnd w:id="128"/>
    <w:bookmarkStart w:id="130" w:name="ref-Rathus1973"/>
    <w:p>
      <w:pPr>
        <w:pStyle w:val="Literaturverzeichnis"/>
      </w:pPr>
      <w:r>
        <w:t xml:space="preserve">Rathus, S.A., 1973.</w:t>
      </w:r>
      <w:r>
        <w:t xml:space="preserve"> </w:t>
      </w:r>
      <w:r>
        <w:t xml:space="preserve">A 30-item schedule for assessing assertive behavior</w:t>
      </w:r>
      <w:r>
        <w:t xml:space="preserve">. Behavior Therapy 4, 398–406.</w:t>
      </w:r>
      <w:r>
        <w:t xml:space="preserve"> </w:t>
      </w:r>
      <w:hyperlink r:id="rId129">
        <w:r>
          <w:rPr>
            <w:rStyle w:val="Hyperlink"/>
          </w:rPr>
          <w:t xml:space="preserve">https://doi.org/10.1016/S0005-7894(73)80120-0</w:t>
        </w:r>
      </w:hyperlink>
    </w:p>
    <w:bookmarkEnd w:id="130"/>
    <w:bookmarkStart w:id="132" w:name="ref-Rozental2015"/>
    <w:p>
      <w:pPr>
        <w:pStyle w:val="Literaturverzeichnis"/>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31">
        <w:r>
          <w:rPr>
            <w:rStyle w:val="Hyperlink"/>
          </w:rPr>
          <w:t xml:space="preserve">https://doi.org/10.1037/ccp0000023</w:t>
        </w:r>
      </w:hyperlink>
    </w:p>
    <w:bookmarkEnd w:id="132"/>
    <w:bookmarkStart w:id="134" w:name="ref-Rozental2017"/>
    <w:p>
      <w:pPr>
        <w:pStyle w:val="Literaturverzeichnis"/>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33">
        <w:r>
          <w:rPr>
            <w:rStyle w:val="Hyperlink"/>
          </w:rPr>
          <w:t xml:space="preserve">https://doi.org/10.1016/j.brat.2017.05.015</w:t>
        </w:r>
      </w:hyperlink>
    </w:p>
    <w:bookmarkEnd w:id="134"/>
    <w:bookmarkStart w:id="135" w:name="ref-salter1949conditioned"/>
    <w:p>
      <w:pPr>
        <w:pStyle w:val="Literaturverzeichnis"/>
      </w:pPr>
      <w:r>
        <w:t xml:space="preserve">Salter, A., 1949.</w:t>
      </w:r>
      <w:r>
        <w:t xml:space="preserve"> </w:t>
      </w:r>
      <w:r>
        <w:t xml:space="preserve">Conditioned reflex therapy</w:t>
      </w:r>
      <w:r>
        <w:t xml:space="preserve">. NY: Capricorn 106.</w:t>
      </w:r>
    </w:p>
    <w:bookmarkEnd w:id="135"/>
    <w:bookmarkStart w:id="136" w:name="ref-sealed"/>
    <w:p>
      <w:pPr>
        <w:pStyle w:val="Literaturverzeichnis"/>
      </w:pPr>
      <w:r>
        <w:t xml:space="preserve">Sealed Envelope Ltd., 2021.</w:t>
      </w:r>
      <w:r>
        <w:t xml:space="preserve"> </w:t>
      </w:r>
      <w:r>
        <w:t xml:space="preserve">Sealed Envelope. Simple randomisation service. [Online]</w:t>
      </w:r>
      <w:r>
        <w:t xml:space="preserve">.</w:t>
      </w:r>
    </w:p>
    <w:bookmarkEnd w:id="136"/>
    <w:bookmarkStart w:id="138" w:name="ref-Sheynin2014"/>
    <w:p>
      <w:pPr>
        <w:pStyle w:val="Literaturverzeichnis"/>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37">
        <w:r>
          <w:rPr>
            <w:rStyle w:val="Hyperlink"/>
          </w:rPr>
          <w:t xml:space="preserve">https://doi.org/10.3389/fnbeh.2014.00323</w:t>
        </w:r>
      </w:hyperlink>
    </w:p>
    <w:bookmarkEnd w:id="138"/>
    <w:bookmarkStart w:id="140" w:name="ref-Sigler2008"/>
    <w:p>
      <w:pPr>
        <w:pStyle w:val="Literaturverzeichnis"/>
      </w:pPr>
      <w:r>
        <w:t xml:space="preserve">Sigler, K., Burnett, A., Child, J.T., 2008. A regional analysis of assertiveness. Journal of Intercultural Communication Research 37, 89–104.</w:t>
      </w:r>
      <w:r>
        <w:t xml:space="preserve"> </w:t>
      </w:r>
      <w:hyperlink r:id="rId139">
        <w:r>
          <w:rPr>
            <w:rStyle w:val="Hyperlink"/>
          </w:rPr>
          <w:t xml:space="preserve">https://doi.org/10.1080/17475750802533364</w:t>
        </w:r>
      </w:hyperlink>
    </w:p>
    <w:bookmarkEnd w:id="140"/>
    <w:bookmarkStart w:id="141" w:name="ref-smith1975say"/>
    <w:p>
      <w:pPr>
        <w:pStyle w:val="Literaturverzeichnis"/>
      </w:pPr>
      <w:r>
        <w:t xml:space="preserve">Smith, M.J., 1975.</w:t>
      </w:r>
      <w:r>
        <w:t xml:space="preserve"> </w:t>
      </w:r>
      <w:r>
        <w:t xml:space="preserve">When I say no, I feel guilty: how to cope–using the skills of systematic assertive therapy</w:t>
      </w:r>
      <w:r>
        <w:t xml:space="preserve">. Bantam.</w:t>
      </w:r>
    </w:p>
    <w:bookmarkEnd w:id="141"/>
    <w:bookmarkStart w:id="143" w:name="ref-Speed2018a"/>
    <w:p>
      <w:pPr>
        <w:pStyle w:val="Literaturverzeichnis"/>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42">
        <w:r>
          <w:rPr>
            <w:rStyle w:val="Hyperlink"/>
          </w:rPr>
          <w:t xml:space="preserve">https://doi.org/10.1111/cpsp.12216</w:t>
        </w:r>
      </w:hyperlink>
    </w:p>
    <w:bookmarkEnd w:id="143"/>
    <w:bookmarkStart w:id="145" w:name="ref-Kroenke2006"/>
    <w:p>
      <w:pPr>
        <w:pStyle w:val="Literaturverzeichnis"/>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44">
        <w:r>
          <w:rPr>
            <w:rStyle w:val="Hyperlink"/>
          </w:rPr>
          <w:t xml:space="preserve">https://doi.org/10.1001/archinte.166.10.1092</w:t>
        </w:r>
      </w:hyperlink>
    </w:p>
    <w:bookmarkEnd w:id="145"/>
    <w:bookmarkStart w:id="147" w:name="ref-Thompson2011"/>
    <w:p>
      <w:pPr>
        <w:pStyle w:val="Literaturverzeichnis"/>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46">
        <w:r>
          <w:rPr>
            <w:rStyle w:val="Hyperlink"/>
          </w:rPr>
          <w:t xml:space="preserve">https://doi.org/10.1007/s10862-011-9226-9</w:t>
        </w:r>
      </w:hyperlink>
    </w:p>
    <w:bookmarkEnd w:id="147"/>
    <w:bookmarkStart w:id="149" w:name="ref-Vagos2019"/>
    <w:p>
      <w:pPr>
        <w:pStyle w:val="Literaturverzeichnis"/>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48">
        <w:r>
          <w:rPr>
            <w:rStyle w:val="Hyperlink"/>
          </w:rPr>
          <w:t xml:space="preserve">https://doi.org/10.1007/s10942-018-0296-4</w:t>
        </w:r>
      </w:hyperlink>
    </w:p>
    <w:bookmarkEnd w:id="149"/>
    <w:bookmarkStart w:id="151" w:name="ref-Vlaescu2016"/>
    <w:p>
      <w:pPr>
        <w:pStyle w:val="Literaturverzeichnis"/>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50">
        <w:r>
          <w:rPr>
            <w:rStyle w:val="Hyperlink"/>
          </w:rPr>
          <w:t xml:space="preserve">https://doi.org/10.1016/j.invent.2016.09.006</w:t>
        </w:r>
      </w:hyperlink>
    </w:p>
    <w:bookmarkEnd w:id="151"/>
    <w:bookmarkStart w:id="152" w:name="ref-Wilson2010"/>
    <w:p>
      <w:pPr>
        <w:pStyle w:val="Literaturverzeichnis"/>
      </w:pPr>
      <w:r>
        <w:t xml:space="preserve">Wilson, K.G., Sandoz, E.K., Kitchens, J., Roberts, M., 2010. The valued living questionnaire: Defining and measuring valued action within a behavioral framework, The Psychological Record.</w:t>
      </w:r>
    </w:p>
    <w:bookmarkEnd w:id="152"/>
    <w:bookmarkStart w:id="153" w:name="ref-wolpe1990practice"/>
    <w:p>
      <w:pPr>
        <w:pStyle w:val="Literaturverzeichnis"/>
      </w:pPr>
      <w:r>
        <w:t xml:space="preserve">Wolpe, J., 1990.</w:t>
      </w:r>
      <w:r>
        <w:t xml:space="preserve"> </w:t>
      </w:r>
      <w:r>
        <w:t xml:space="preserve">The practice of behavior therapy</w:t>
      </w:r>
      <w:r>
        <w:t xml:space="preserve">. Pergamon Press, Oxford, UK.</w:t>
      </w:r>
    </w:p>
    <w:bookmarkEnd w:id="153"/>
    <w:bookmarkStart w:id="154" w:name="ref-Wolpe1952"/>
    <w:p>
      <w:pPr>
        <w:pStyle w:val="Literaturverzeichnis"/>
      </w:pPr>
      <w:r>
        <w:t xml:space="preserve">Wolpe, J., 1952.</w:t>
      </w:r>
      <w:r>
        <w:t xml:space="preserve"> </w:t>
      </w:r>
      <w:r>
        <w:t xml:space="preserve">Objective Psychotherapy of the neuroses</w:t>
      </w:r>
      <w:r>
        <w:t xml:space="preserve">. South African Medical Journal 20, 825–829.</w:t>
      </w:r>
    </w:p>
    <w:bookmarkEnd w:id="154"/>
    <w:bookmarkStart w:id="155" w:name="ref-Wolpe1966"/>
    <w:p>
      <w:pPr>
        <w:pStyle w:val="Literaturverzeichnis"/>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55"/>
    <w:bookmarkEnd w:id="156"/>
    <w:bookmarkEnd w:id="15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EFFICACY OF CBT FOR ASSERTIVENESS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EFFICACY OF CBT FOR ASSERTIVENESS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hyperlink" Id="rId83" Target="https://CRAN.R-project.org/package=clinicalsignificance" TargetMode="External" /><Relationship Type="http://schemas.openxmlformats.org/officeDocument/2006/relationships/hyperlink" Id="rId109" Target="https://cran.r-project.org/package=emmeans" TargetMode="External" /><Relationship Type="http://schemas.openxmlformats.org/officeDocument/2006/relationships/hyperlink" Id="rId144" Target="https://doi.org/10.1001/archinte.166.10.1092" TargetMode="External" /><Relationship Type="http://schemas.openxmlformats.org/officeDocument/2006/relationships/hyperlink" Id="rId88" Target="https://doi.org/10.1002/wps.20346" TargetMode="External" /><Relationship Type="http://schemas.openxmlformats.org/officeDocument/2006/relationships/hyperlink" Id="rId146" Target="https://doi.org/10.1007/s10862-011-9226-9" TargetMode="External" /><Relationship Type="http://schemas.openxmlformats.org/officeDocument/2006/relationships/hyperlink" Id="rId148" Target="https://doi.org/10.1007/s10942-018-0296-4" TargetMode="External" /><Relationship Type="http://schemas.openxmlformats.org/officeDocument/2006/relationships/hyperlink" Id="rId80" Target="https://doi.org/10.1016/0005-7967(86)90011-2" TargetMode="External" /><Relationship Type="http://schemas.openxmlformats.org/officeDocument/2006/relationships/hyperlink" Id="rId114" Target="https://doi.org/10.1016/B978-0-12-404480-7.50013-7" TargetMode="External" /><Relationship Type="http://schemas.openxmlformats.org/officeDocument/2006/relationships/hyperlink" Id="rId101" Target="https://doi.org/10.1016/S0005-7894(04)80013-3" TargetMode="External" /><Relationship Type="http://schemas.openxmlformats.org/officeDocument/2006/relationships/hyperlink" Id="rId129" Target="https://doi.org/10.1016/S0005-7894(73)80120-0" TargetMode="External" /><Relationship Type="http://schemas.openxmlformats.org/officeDocument/2006/relationships/hyperlink" Id="rId86" Target="https://doi.org/10.1016/j.brat.2007.10.003" TargetMode="External" /><Relationship Type="http://schemas.openxmlformats.org/officeDocument/2006/relationships/hyperlink" Id="rId90" Target="https://doi.org/10.1016/j.brat.2013.03.003" TargetMode="External" /><Relationship Type="http://schemas.openxmlformats.org/officeDocument/2006/relationships/hyperlink" Id="rId133" Target="https://doi.org/10.1016/j.brat.2017.05.015" TargetMode="External" /><Relationship Type="http://schemas.openxmlformats.org/officeDocument/2006/relationships/hyperlink" Id="rId105"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111" Target="https://doi.org/10.1016/j.invent.2015.04.002" TargetMode="External" /><Relationship Type="http://schemas.openxmlformats.org/officeDocument/2006/relationships/hyperlink" Id="rId150" Target="https://doi.org/10.1016/j.invent.2016.09.006" TargetMode="External" /><Relationship Type="http://schemas.openxmlformats.org/officeDocument/2006/relationships/hyperlink" Id="rId64" Target="https://doi.org/10.1016/j.janxdis.2018.01.001" TargetMode="External" /><Relationship Type="http://schemas.openxmlformats.org/officeDocument/2006/relationships/hyperlink" Id="rId78" Target="https://doi.org/10.1016/j.jcbs.2022.02.001" TargetMode="External" /><Relationship Type="http://schemas.openxmlformats.org/officeDocument/2006/relationships/hyperlink" Id="rId95" Target="https://doi.org/10.1017/S0033291701004056" TargetMode="External" /><Relationship Type="http://schemas.openxmlformats.org/officeDocument/2006/relationships/hyperlink" Id="rId93" Target="https://doi.org/10.1037/a0028200" TargetMode="External" /><Relationship Type="http://schemas.openxmlformats.org/officeDocument/2006/relationships/hyperlink" Id="rId131" Target="https://doi.org/10.1037/ccp0000023" TargetMode="External" /><Relationship Type="http://schemas.openxmlformats.org/officeDocument/2006/relationships/hyperlink" Id="rId120" Target="https://doi.org/10.1080/16506073.2016.1250228" TargetMode="External" /><Relationship Type="http://schemas.openxmlformats.org/officeDocument/2006/relationships/hyperlink" Id="rId75" Target="https://doi.org/10.1080/16506073.2017.1401115" TargetMode="External" /><Relationship Type="http://schemas.openxmlformats.org/officeDocument/2006/relationships/hyperlink" Id="rId139" Target="https://doi.org/10.1080/17475750802533364" TargetMode="External" /><Relationship Type="http://schemas.openxmlformats.org/officeDocument/2006/relationships/hyperlink" Id="rId97" Target="https://doi.org/10.1111/acps.12275" TargetMode="External" /><Relationship Type="http://schemas.openxmlformats.org/officeDocument/2006/relationships/hyperlink" Id="rId142" Target="https://doi.org/10.1111/cpsp.12216" TargetMode="External" /><Relationship Type="http://schemas.openxmlformats.org/officeDocument/2006/relationships/hyperlink" Id="rId125" Target="https://doi.org/10.1111/jpr.12185" TargetMode="External" /><Relationship Type="http://schemas.openxmlformats.org/officeDocument/2006/relationships/hyperlink" Id="rId66" Target="https://doi.org/10.1371/journal.pone.0230169" TargetMode="External" /><Relationship Type="http://schemas.openxmlformats.org/officeDocument/2006/relationships/hyperlink" Id="rId116" Target="https://doi.org/10.21105/joss.00772" TargetMode="External" /><Relationship Type="http://schemas.openxmlformats.org/officeDocument/2006/relationships/hyperlink" Id="rId137" Target="https://doi.org/10.3389/fnbeh.2014.00323" TargetMode="External" /><Relationship Type="http://schemas.openxmlformats.org/officeDocument/2006/relationships/hyperlink" Id="rId68" Target="https://doi.org/10.4018/978-1-4666-5942-1" TargetMode="External" /><Relationship Type="http://schemas.openxmlformats.org/officeDocument/2006/relationships/hyperlink" Id="rId118" Target="https://easystats.github.io/performance/" TargetMode="External" /><Relationship Type="http://schemas.openxmlformats.org/officeDocument/2006/relationships/hyperlink" Id="rId31" Target="https://github.com/hmep/r2fu/" TargetMode="External" /><Relationship Type="http://schemas.openxmlformats.org/officeDocument/2006/relationships/hyperlink" Id="rId107" Target="https://github.com/runehaubo/lmerTestR" TargetMode="External" /><Relationship Type="http://schemas.openxmlformats.org/officeDocument/2006/relationships/hyperlink" Id="rId45" Target="https://orcid.org/0000-0001-6059-6668" TargetMode="External" /><Relationship Type="http://schemas.openxmlformats.org/officeDocument/2006/relationships/hyperlink" Id="rId49" Target="https://orcid.org/0000-0002-2172-8813" TargetMode="External" /><Relationship Type="http://schemas.openxmlformats.org/officeDocument/2006/relationships/hyperlink" Id="rId46" Target="https://orcid.org/0000-0002-2883-9751" TargetMode="External" /><Relationship Type="http://schemas.openxmlformats.org/officeDocument/2006/relationships/hyperlink" Id="rId47" Target="https://orcid.org/0000-0002-8209-5351" TargetMode="External" /><Relationship Type="http://schemas.openxmlformats.org/officeDocument/2006/relationships/hyperlink" Id="rId48" Target="https://orcid.org/0000-0003-4753-6745" TargetMode="External" /><Relationship Type="http://schemas.openxmlformats.org/officeDocument/2006/relationships/hyperlink" Id="rId123" Target="https://www.cci.health.wa.gov.au/Resources/Looking-After-Yourself/Assertiveness" TargetMode="External" /><Relationship Type="http://schemas.openxmlformats.org/officeDocument/2006/relationships/hyperlink" Id="rId20" Target="mailto:per.carlbring@psychology.su.se" TargetMode="External" /></Relationships>
</file>

<file path=word/_rels/footnotes.xml.rels><?xml version="1.0" encoding="UTF-8"?><Relationships xmlns="http://schemas.openxmlformats.org/package/2006/relationships"><Relationship Type="http://schemas.openxmlformats.org/officeDocument/2006/relationships/hyperlink" Id="rId83" Target="https://CRAN.R-project.org/package=clinicalsignificance" TargetMode="External" /><Relationship Type="http://schemas.openxmlformats.org/officeDocument/2006/relationships/hyperlink" Id="rId109" Target="https://cran.r-project.org/package=emmeans" TargetMode="External" /><Relationship Type="http://schemas.openxmlformats.org/officeDocument/2006/relationships/hyperlink" Id="rId144" Target="https://doi.org/10.1001/archinte.166.10.1092" TargetMode="External" /><Relationship Type="http://schemas.openxmlformats.org/officeDocument/2006/relationships/hyperlink" Id="rId88" Target="https://doi.org/10.1002/wps.20346" TargetMode="External" /><Relationship Type="http://schemas.openxmlformats.org/officeDocument/2006/relationships/hyperlink" Id="rId146" Target="https://doi.org/10.1007/s10862-011-9226-9" TargetMode="External" /><Relationship Type="http://schemas.openxmlformats.org/officeDocument/2006/relationships/hyperlink" Id="rId148" Target="https://doi.org/10.1007/s10942-018-0296-4" TargetMode="External" /><Relationship Type="http://schemas.openxmlformats.org/officeDocument/2006/relationships/hyperlink" Id="rId80" Target="https://doi.org/10.1016/0005-7967(86)90011-2" TargetMode="External" /><Relationship Type="http://schemas.openxmlformats.org/officeDocument/2006/relationships/hyperlink" Id="rId114" Target="https://doi.org/10.1016/B978-0-12-404480-7.50013-7" TargetMode="External" /><Relationship Type="http://schemas.openxmlformats.org/officeDocument/2006/relationships/hyperlink" Id="rId101" Target="https://doi.org/10.1016/S0005-7894(04)80013-3" TargetMode="External" /><Relationship Type="http://schemas.openxmlformats.org/officeDocument/2006/relationships/hyperlink" Id="rId129" Target="https://doi.org/10.1016/S0005-7894(73)80120-0" TargetMode="External" /><Relationship Type="http://schemas.openxmlformats.org/officeDocument/2006/relationships/hyperlink" Id="rId86" Target="https://doi.org/10.1016/j.brat.2007.10.003" TargetMode="External" /><Relationship Type="http://schemas.openxmlformats.org/officeDocument/2006/relationships/hyperlink" Id="rId90" Target="https://doi.org/10.1016/j.brat.2013.03.003" TargetMode="External" /><Relationship Type="http://schemas.openxmlformats.org/officeDocument/2006/relationships/hyperlink" Id="rId133" Target="https://doi.org/10.1016/j.brat.2017.05.015" TargetMode="External" /><Relationship Type="http://schemas.openxmlformats.org/officeDocument/2006/relationships/hyperlink" Id="rId105"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111" Target="https://doi.org/10.1016/j.invent.2015.04.002" TargetMode="External" /><Relationship Type="http://schemas.openxmlformats.org/officeDocument/2006/relationships/hyperlink" Id="rId150" Target="https://doi.org/10.1016/j.invent.2016.09.006" TargetMode="External" /><Relationship Type="http://schemas.openxmlformats.org/officeDocument/2006/relationships/hyperlink" Id="rId64" Target="https://doi.org/10.1016/j.janxdis.2018.01.001" TargetMode="External" /><Relationship Type="http://schemas.openxmlformats.org/officeDocument/2006/relationships/hyperlink" Id="rId78" Target="https://doi.org/10.1016/j.jcbs.2022.02.001" TargetMode="External" /><Relationship Type="http://schemas.openxmlformats.org/officeDocument/2006/relationships/hyperlink" Id="rId95" Target="https://doi.org/10.1017/S0033291701004056" TargetMode="External" /><Relationship Type="http://schemas.openxmlformats.org/officeDocument/2006/relationships/hyperlink" Id="rId93" Target="https://doi.org/10.1037/a0028200" TargetMode="External" /><Relationship Type="http://schemas.openxmlformats.org/officeDocument/2006/relationships/hyperlink" Id="rId131" Target="https://doi.org/10.1037/ccp0000023" TargetMode="External" /><Relationship Type="http://schemas.openxmlformats.org/officeDocument/2006/relationships/hyperlink" Id="rId120" Target="https://doi.org/10.1080/16506073.2016.1250228" TargetMode="External" /><Relationship Type="http://schemas.openxmlformats.org/officeDocument/2006/relationships/hyperlink" Id="rId75" Target="https://doi.org/10.1080/16506073.2017.1401115" TargetMode="External" /><Relationship Type="http://schemas.openxmlformats.org/officeDocument/2006/relationships/hyperlink" Id="rId139" Target="https://doi.org/10.1080/17475750802533364" TargetMode="External" /><Relationship Type="http://schemas.openxmlformats.org/officeDocument/2006/relationships/hyperlink" Id="rId97" Target="https://doi.org/10.1111/acps.12275" TargetMode="External" /><Relationship Type="http://schemas.openxmlformats.org/officeDocument/2006/relationships/hyperlink" Id="rId142" Target="https://doi.org/10.1111/cpsp.12216" TargetMode="External" /><Relationship Type="http://schemas.openxmlformats.org/officeDocument/2006/relationships/hyperlink" Id="rId125" Target="https://doi.org/10.1111/jpr.12185" TargetMode="External" /><Relationship Type="http://schemas.openxmlformats.org/officeDocument/2006/relationships/hyperlink" Id="rId66" Target="https://doi.org/10.1371/journal.pone.0230169" TargetMode="External" /><Relationship Type="http://schemas.openxmlformats.org/officeDocument/2006/relationships/hyperlink" Id="rId116" Target="https://doi.org/10.21105/joss.00772" TargetMode="External" /><Relationship Type="http://schemas.openxmlformats.org/officeDocument/2006/relationships/hyperlink" Id="rId137" Target="https://doi.org/10.3389/fnbeh.2014.00323" TargetMode="External" /><Relationship Type="http://schemas.openxmlformats.org/officeDocument/2006/relationships/hyperlink" Id="rId68" Target="https://doi.org/10.4018/978-1-4666-5942-1" TargetMode="External" /><Relationship Type="http://schemas.openxmlformats.org/officeDocument/2006/relationships/hyperlink" Id="rId118" Target="https://easystats.github.io/performance/" TargetMode="External" /><Relationship Type="http://schemas.openxmlformats.org/officeDocument/2006/relationships/hyperlink" Id="rId31" Target="https://github.com/hmep/r2fu/" TargetMode="External" /><Relationship Type="http://schemas.openxmlformats.org/officeDocument/2006/relationships/hyperlink" Id="rId107" Target="https://github.com/runehaubo/lmerTestR" TargetMode="External" /><Relationship Type="http://schemas.openxmlformats.org/officeDocument/2006/relationships/hyperlink" Id="rId45" Target="https://orcid.org/0000-0001-6059-6668" TargetMode="External" /><Relationship Type="http://schemas.openxmlformats.org/officeDocument/2006/relationships/hyperlink" Id="rId49" Target="https://orcid.org/0000-0002-2172-8813" TargetMode="External" /><Relationship Type="http://schemas.openxmlformats.org/officeDocument/2006/relationships/hyperlink" Id="rId46" Target="https://orcid.org/0000-0002-2883-9751" TargetMode="External" /><Relationship Type="http://schemas.openxmlformats.org/officeDocument/2006/relationships/hyperlink" Id="rId47" Target="https://orcid.org/0000-0002-8209-5351" TargetMode="External" /><Relationship Type="http://schemas.openxmlformats.org/officeDocument/2006/relationships/hyperlink" Id="rId48" Target="https://orcid.org/0000-0003-4753-6745" TargetMode="External" /><Relationship Type="http://schemas.openxmlformats.org/officeDocument/2006/relationships/hyperlink" Id="rId123" Target="https://www.cci.health.wa.gov.au/Resources/Looking-After-Yourself/Assertiveness" TargetMode="External" /><Relationship Type="http://schemas.openxmlformats.org/officeDocument/2006/relationships/hyperlink" Id="rId20" Target="mailto:per.carlbring@psychology.s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
  <dcterms:created xsi:type="dcterms:W3CDTF">2023-05-08T20:09:37Z</dcterms:created>
  <dcterms:modified xsi:type="dcterms:W3CDTF">2023-05-08T20:09:37Z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
  </property>
  <property fmtid="{D5CDD505-2E9C-101B-9397-08002B2CF9AE}" pid="4" name="classoption">
    <vt:lpwstr>man</vt:lpwstr>
  </property>
  <property fmtid="{D5CDD505-2E9C-101B-9397-08002B2CF9AE}" pid="5" name="csl">
    <vt:lpwstr>/home/tobias/Documents/r2fu/elsevier-harvard.csl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Efficacy of CBT for Assertiveness</vt:lpwstr>
  </property>
  <property fmtid="{D5CDD505-2E9C-101B-9397-08002B2CF9AE}" pid="14" name="tablelist">
    <vt:lpwstr>False</vt:lpwstr>
  </property>
  <property fmtid="{D5CDD505-2E9C-101B-9397-08002B2CF9AE}" pid="15" name="wordcount">
    <vt:lpwstr>6360</vt:lpwstr>
  </property>
</Properties>
</file>