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29</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In the Self-help group, there was no difference between Post and Follow-up time points for either measure, from</w:t>
      </w:r>
      <w:r>
        <w:t xml:space="preserve"> </w:t>
      </w:r>
      <m:oMath>
        <m:r>
          <m:t>p</m:t>
        </m:r>
      </m:oMath>
      <w:r>
        <w:t xml:space="preserve"> </w:t>
      </w:r>
      <w:r>
        <w:t xml:space="preserve">=</w:t>
      </w:r>
      <w:r>
        <w:t xml:space="preserve"> </w:t>
      </w:r>
      <m:oMath>
        <m:r>
          <m:t>0.73</m:t>
        </m:r>
      </m:oMath>
      <w:r>
        <w:t xml:space="preserve"> </w:t>
      </w:r>
      <w:r>
        <w:t xml:space="preserve">to</w:t>
      </w:r>
      <w:r>
        <w:t xml:space="preserve"> </w:t>
      </w:r>
      <m:oMath>
        <m:r>
          <m:t>p</m:t>
        </m:r>
      </m:oMath>
      <w:r>
        <w:t xml:space="preserve"> </w:t>
      </w:r>
      <w:r>
        <w:t xml:space="preserve">=</w:t>
      </w:r>
      <w:r>
        <w:t xml:space="preserve"> </w:t>
      </w:r>
      <m:oMath>
        <m:r>
          <m:t>1</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0.04</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0.33</m:t>
        </m:r>
      </m:oMath>
      <w:r>
        <w:t xml:space="preserve"> </w:t>
      </w:r>
      <w:r>
        <w:t xml:space="preserve">for Self-help and</w:t>
      </w:r>
      <w:r>
        <w:t xml:space="preserve"> </w:t>
      </w:r>
      <m:oMath>
        <m:r>
          <m:t>p</m:t>
        </m:r>
      </m:oMath>
      <w:r>
        <w:t xml:space="preserve"> </w:t>
      </w:r>
      <w:r>
        <w:t xml:space="preserve">=</w:t>
      </w:r>
      <w:r>
        <w:t xml:space="preserve"> </w:t>
      </w:r>
      <m:oMath>
        <m:r>
          <m:t>0.27</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0.11</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those anxiety responses that were captured with LSAS-SR.</w:t>
      </w:r>
    </w:p>
    <w:p>
      <w:pPr>
        <w:pStyle w:val="BodyText"/>
      </w:pPr>
      <w:r>
        <w:t xml:space="preserve">To summarize, we found large between-group effects on assertiveness of Self-help and Guided self-help participation in Respect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0.95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0.98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0.34</m:t>
        </m:r>
      </m:oMath>
      <w:r>
        <w:t xml:space="preserve"> </w:t>
      </w:r>
      <w:r>
        <w:t xml:space="preserve">increase at 1 year Follow-up was also significant. No effect on AAA-S Aggressive was detected in any group. We conclude that Respect</w:t>
      </w:r>
      <w:r>
        <w:rPr>
          <w:vertAlign w:val="superscript"/>
        </w:rPr>
        <w:t xml:space="preserve">2</w:t>
      </w:r>
      <w:r>
        <w:t xml:space="preserve"> </w:t>
      </w:r>
      <w:r>
        <w:t xml:space="preserve">did indeed help participants to act more assertively, although not more aggressively, and that the effects were sustained well beyond the end of the intervention.</w:t>
      </w:r>
    </w:p>
    <w:p>
      <w:pPr>
        <w:pStyle w:val="BodyText"/>
      </w:pPr>
      <w:r>
        <w:t xml:space="preserve">To further assess the effect of the Respect</w:t>
      </w:r>
      <w:r>
        <w:rPr>
          <w:vertAlign w:val="superscript"/>
        </w:rPr>
        <w:t xml:space="preserve">2</w:t>
      </w:r>
      <w:r>
        <w:t xml:space="preserve"> </w:t>
      </w:r>
      <w:r>
        <w:t xml:space="preserve">intervention on symptom burden among participants, with respect to depression and common anxiety disorders, …</w:t>
      </w:r>
    </w:p>
    <w:p>
      <w:pPr>
        <w:numPr>
          <w:ilvl w:val="0"/>
          <w:numId w:val="1002"/>
        </w:numPr>
        <w:pStyle w:val="Compact"/>
      </w:pPr>
      <w:r>
        <w:t xml:space="preserve">What are the effects of guided and unguided participation on measures of anxiety and depression, compared to the control?</w:t>
      </w:r>
    </w:p>
    <w:bookmarkEnd w:id="50"/>
    <w:bookmarkEnd w:id="51"/>
    <w:bookmarkEnd w:id="52"/>
    <w:bookmarkEnd w:id="53"/>
    <w:bookmarkStart w:id="132" w:name="discussion"/>
    <w:p>
      <w:pPr>
        <w:pStyle w:val="Heading1"/>
      </w:pPr>
      <w:r>
        <w:t xml:space="preserve">Discussion</w:t>
      </w:r>
    </w:p>
    <w:p>
      <w:pPr>
        <w:pStyle w:val="FirstParagraph"/>
      </w:pPr>
      <w:r>
        <w:t xml:space="preserve">Although the effect sizes between groups and within treatment groups were substantial in the Respect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Å (operationalization of</w:t>
      </w:r>
      <w:r>
        <w:t xml:space="preserve"> </w:t>
      </w:r>
      <w:r>
        <w:t xml:space="preserve">‘</w:t>
      </w:r>
      <w:r>
        <w:t xml:space="preserve">assertiveness</w:t>
      </w:r>
      <w:r>
        <w:t xml:space="preserve">’</w:t>
      </w:r>
      <w:r>
        <w:t xml:space="preserve">), Ä (no validated scales) and Ö (?). However, it is intriguing that …, and clearly merits further investigation.</w:t>
      </w:r>
    </w:p>
    <w:p>
      <w:pPr>
        <w:pStyle w:val="BodyText"/>
      </w:pPr>
      <w:r>
        <w:t xml:space="preserve">Lösrykta tankar/stycken att utveckla och sammanfoga till en helhet:</w:t>
      </w:r>
    </w:p>
    <w:p>
      <w:pPr>
        <w:numPr>
          <w:ilvl w:val="0"/>
          <w:numId w:val="1003"/>
        </w:numPr>
      </w:pPr>
      <w:r>
        <w:t xml:space="preserve">Samla upp viktigaste punkterna från uppsatsen.</w:t>
      </w:r>
    </w:p>
    <w:p>
      <w:pPr>
        <w:numPr>
          <w:ilvl w:val="0"/>
          <w:numId w:val="1003"/>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3"/>
        </w:numPr>
      </w:pPr>
      <w:r>
        <w:t xml:space="preserve">Man kan ha olika uppfattning om vad som är aggressiv vs adaptiv självhävdelse, finns behov av att mäta dessa antaganden på något adekvat sätt. Att följa upp?</w:t>
      </w:r>
    </w:p>
    <w:p>
      <w:pPr>
        <w:numPr>
          <w:ilvl w:val="0"/>
          <w:numId w:val="1003"/>
        </w:numPr>
      </w:pPr>
      <w:r>
        <w:t xml:space="preserve">Skalorna är inte validerade på svenska.</w:t>
      </w:r>
    </w:p>
    <w:p>
      <w:pPr>
        <w:numPr>
          <w:ilvl w:val="0"/>
          <w:numId w:val="1003"/>
        </w:numPr>
      </w:pPr>
      <w:r>
        <w:t xml:space="preserve">Problem med ITT – fångar inte ev försämring … men vi får anta att regression to the mean gäller även här.</w:t>
      </w:r>
    </w:p>
    <w:p>
      <w:pPr>
        <w:numPr>
          <w:ilvl w:val="0"/>
          <w:numId w:val="1003"/>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3"/>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3"/>
        </w:numPr>
      </w:pPr>
      <w:r>
        <w:t xml:space="preserve">För en replikering vore det intressant att använda andra transdiagnostiska skalor kopplade till värderat handlande, typ VLQ, och även SAAQ.</w:t>
      </w:r>
    </w:p>
    <w:p>
      <w:pPr>
        <w:numPr>
          <w:ilvl w:val="0"/>
          <w:numId w:val="1003"/>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3"/>
        </w:numPr>
      </w:pPr>
      <w:r>
        <w:t xml:space="preserve">…</w:t>
      </w:r>
    </w:p>
    <w:p>
      <w:pPr>
        <w:numPr>
          <w:ilvl w:val="0"/>
          <w:numId w:val="1003"/>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2022-06-29T08:26:24Z</dcterms:created>
  <dcterms:modified xsi:type="dcterms:W3CDTF">2022-06-29T08:26:24Z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29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