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2022-08-17</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The</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comparing</w:t>
      </w:r>
      <w:r>
        <w:t xml:space="preserve"> </w:t>
      </w:r>
      <w:r>
        <w:t xml:space="preserve">with</w:t>
      </w:r>
      <w:r>
        <w:t xml:space="preserve"> </w:t>
      </w:r>
      <w:r>
        <w:t xml:space="preserve">the</w:t>
      </w:r>
      <w:r>
        <w:t xml:space="preserve"> </w:t>
      </w:r>
      <w:r>
        <w:t xml:space="preserve">waitlist,</w:t>
      </w:r>
      <w:r>
        <w:t xml:space="preserve"> </w:t>
      </w:r>
      <w:r>
        <w:t xml:space="preserve">on</w:t>
      </w:r>
      <w:r>
        <w:t xml:space="preserve"> </w:t>
      </w:r>
      <w:r>
        <w:t xml:space="preserve">self-rated</w:t>
      </w:r>
      <w:r>
        <w:t xml:space="preserve"> </w:t>
      </w:r>
      <w:r>
        <w:t xml:space="preserve">adaptive</w:t>
      </w:r>
      <w:r>
        <w:t xml:space="preserve"> </w:t>
      </w:r>
      <w:r>
        <w:t xml:space="preserve">assertivness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1.00</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0.40</w:t>
      </w:r>
      <w:r>
        <w:t xml:space="preserve"> </w:t>
      </w:r>
      <w:r>
        <w:t xml:space="preserve">to</w:t>
      </w:r>
      <w:r>
        <w:t xml:space="preserve"> </w:t>
      </w:r>
      <m:oMath>
        <m:r>
          <m:t>E</m:t>
        </m:r>
        <m:r>
          <m:t>S</m:t>
        </m:r>
      </m:oMath>
      <w:r>
        <w:t xml:space="preserve"> </w:t>
      </w:r>
      <w:r>
        <w:t xml:space="preserve">=</w:t>
      </w:r>
      <w:r>
        <w:t xml:space="preserve"> </w:t>
      </w:r>
      <w:r>
        <w:t xml:space="preserve">0.72,</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0.90</w:t>
      </w:r>
      <w:r>
        <w:t xml:space="preserve"> </w:t>
      </w:r>
      <w:r>
        <w:t xml:space="preserve">to</w:t>
      </w:r>
      <w:r>
        <w:t xml:space="preserve"> </w:t>
      </w:r>
      <m:oMath>
        <m:r>
          <m:t>E</m:t>
        </m:r>
        <m:r>
          <m:t>S</m:t>
        </m:r>
      </m:oMath>
      <w:r>
        <w:t xml:space="preserve"> </w:t>
      </w:r>
      <w:r>
        <w:t xml:space="preserve">=</w:t>
      </w:r>
      <w:r>
        <w:t xml:space="preserve"> </w:t>
      </w:r>
      <w:r>
        <w:t xml:space="preserve">0.95,</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but</w:t>
      </w:r>
      <w:r>
        <w:t xml:space="preserve"> </w:t>
      </w:r>
      <w:r>
        <w:t xml:space="preserve">in</w:t>
      </w:r>
      <w:r>
        <w:t xml:space="preserve"> </w:t>
      </w:r>
      <w:r>
        <w:t xml:space="preserve">the</w:t>
      </w:r>
      <w:r>
        <w:t xml:space="preserve"> </w:t>
      </w:r>
      <w:r>
        <w:t xml:space="preserve">guided</w:t>
      </w:r>
      <w:r>
        <w:t xml:space="preserve"> </w:t>
      </w:r>
      <w:r>
        <w:t xml:space="preserve">treatment</w:t>
      </w:r>
      <w:r>
        <w:t xml:space="preserve"> </w:t>
      </w:r>
      <w:r>
        <w:t xml:space="preserve">condition,</w:t>
      </w:r>
      <w:r>
        <w:t xml:space="preserve"> </w:t>
      </w:r>
      <w:r>
        <w:t xml:space="preserve">at</w:t>
      </w:r>
      <w:r>
        <w:t xml:space="preserve"> </w:t>
      </w:r>
      <w:r>
        <w:t xml:space="preserve">follow-up,</w:t>
      </w:r>
      <w:r>
        <w:t xml:space="preserve"> </w:t>
      </w:r>
      <w:r>
        <w:t xml:space="preserve">large</w:t>
      </w:r>
      <w:r>
        <w:t xml:space="preserve"> </w:t>
      </w:r>
      <w:r>
        <w:t xml:space="preserve">effects</w:t>
      </w:r>
      <w:r>
        <w:t xml:space="preserve"> </w:t>
      </w:r>
      <w:r>
        <w:t xml:space="preserve">were</w:t>
      </w:r>
      <w:r>
        <w:t xml:space="preserve"> </w:t>
      </w:r>
      <w:r>
        <w:t xml:space="preserve">found</w:t>
      </w:r>
      <w:r>
        <w:t xml:space="preserve"> </w:t>
      </w:r>
      <w:r>
        <w:t xml:space="preserve">also</w:t>
      </w:r>
      <w:r>
        <w:t xml:space="preserve"> </w:t>
      </w:r>
      <w:r>
        <w:t xml:space="preserve">for</w:t>
      </w:r>
      <w:r>
        <w:t xml:space="preserve"> </w:t>
      </w:r>
      <w:r>
        <w:t xml:space="preserve">symptoms</w:t>
      </w:r>
      <w:r>
        <w:t xml:space="preserve"> </w:t>
      </w:r>
      <w:r>
        <w:t xml:space="preserve">of</w:t>
      </w:r>
      <w:r>
        <w:t xml:space="preserve"> </w:t>
      </w:r>
      <w:r>
        <w:t xml:space="preserve">depression.</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with</w:t>
      </w:r>
      <w:r>
        <w:t xml:space="preserve"> </w:t>
      </w:r>
      <w:r>
        <w:t xml:space="preserve">similar</w:t>
      </w:r>
      <w:r>
        <w:t xml:space="preserve"> </w:t>
      </w:r>
      <w:r>
        <w:t xml:space="preserve">effects</w:t>
      </w:r>
      <w:r>
        <w:t xml:space="preserve"> </w:t>
      </w:r>
      <w:r>
        <w:t xml:space="preserve">for</w:t>
      </w:r>
      <w:r>
        <w:t xml:space="preserve"> </w:t>
      </w:r>
      <w:r>
        <w:t xml:space="preserve">both</w:t>
      </w:r>
      <w:r>
        <w:t xml:space="preserve"> </w:t>
      </w:r>
      <w:r>
        <w:t xml:space="preserve">the</w:t>
      </w:r>
      <w:r>
        <w:t xml:space="preserve"> </w:t>
      </w:r>
      <w:r>
        <w:t xml:space="preserve">guided</w:t>
      </w:r>
      <w:r>
        <w:t xml:space="preserve"> </w:t>
      </w:r>
      <w:r>
        <w:t xml:space="preserve">and</w:t>
      </w:r>
      <w:r>
        <w:t xml:space="preserve"> </w:t>
      </w:r>
      <w:r>
        <w:t xml:space="preserve">unguided</w:t>
      </w:r>
      <w:r>
        <w:t xml:space="preserve"> </w:t>
      </w:r>
      <w:r>
        <w:t xml:space="preserve">conditions.</w:t>
      </w:r>
      <w:r>
        <w:t xml:space="preserve"> </w:t>
      </w:r>
      <w:r>
        <w:t xml:space="preserve">With</w:t>
      </w:r>
      <w:r>
        <w:t xml:space="preserve"> </w:t>
      </w:r>
      <w:r>
        <w:t xml:space="preserve">therapist</w:t>
      </w:r>
      <w:r>
        <w:t xml:space="preserve"> </w:t>
      </w:r>
      <w:r>
        <w:t xml:space="preserve">support,</w:t>
      </w:r>
      <w:r>
        <w:t xml:space="preserve"> </w:t>
      </w:r>
      <w:r>
        <w:t xml:space="preserve">participation</w:t>
      </w:r>
      <w:r>
        <w:t xml:space="preserve"> </w:t>
      </w:r>
      <w:r>
        <w:t xml:space="preserve">also</w:t>
      </w:r>
      <w:r>
        <w:t xml:space="preserve"> </w:t>
      </w:r>
      <w:r>
        <w:t xml:space="preserve">reduced</w:t>
      </w:r>
      <w:r>
        <w:t xml:space="preserve"> </w:t>
      </w:r>
      <w:r>
        <w:t xml:space="preserve">levels</w:t>
      </w:r>
      <w:r>
        <w:t xml:space="preserve"> </w:t>
      </w:r>
      <w:r>
        <w:t xml:space="preserve">of</w:t>
      </w:r>
      <w:r>
        <w:t xml:space="preserve"> </w:t>
      </w:r>
      <w:r>
        <w:t xml:space="preserve">depression</w:t>
      </w:r>
      <w:r>
        <w:t xml:space="preserve"> </w:t>
      </w:r>
      <w:r>
        <w:t xml:space="preserve">over</w:t>
      </w:r>
      <w:r>
        <w:t xml:space="preserve"> </w:t>
      </w:r>
      <w:r>
        <w:t xml:space="preserve">time.</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stand-alone</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p>
      <w:pPr>
        <w:pStyle w:val="FirstParagraph"/>
      </w:pPr>
      <w:r>
        <w:rPr>
          <w:bCs/>
          <w:b/>
        </w:rPr>
        <w:t xml:space="preserve">Highlights.</w:t>
      </w:r>
      <w:r>
        <w:t xml:space="preserve"> </w:t>
      </w:r>
      <w:r>
        <w:t xml:space="preserve">Short-term iCBT assertion training holds promise as an efficacious stand-alone intervention in the treatment of psychological problems and psychiatric syndromes, especially social anxiety.</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&amp;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&amp; Lazarus (1966)</w:t>
      </w:r>
      <w:r>
        <w:t xml:space="preserve">. Assertiveness was presented as a behavioristic alternative to psychoanalysis. In the 1970s, the concept was popularized in self-help books by</w:t>
      </w:r>
      <w:r>
        <w:t xml:space="preserve"> </w:t>
      </w:r>
      <w:r>
        <w:t xml:space="preserve">Alberti &amp; Emmons (1974)</w:t>
      </w:r>
      <w:r>
        <w:t xml:space="preserve">,</w:t>
      </w:r>
      <w:r>
        <w:t xml:space="preserve"> </w:t>
      </w:r>
      <w:r>
        <w:t xml:space="preserve">Smith (1975)</w:t>
      </w:r>
      <w:r>
        <w:t xml:space="preserve">, as well as</w:t>
      </w:r>
      <w:r>
        <w:t xml:space="preserve"> </w:t>
      </w:r>
      <w:r>
        <w:t xml:space="preserve">Fensterheim &amp;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&amp; Hull, 1978)</w:t>
      </w:r>
      <w:r>
        <w:t xml:space="preserve">. Building on the definition by</w:t>
      </w:r>
      <w:r>
        <w:t xml:space="preserve"> </w:t>
      </w:r>
      <w:r>
        <w:t xml:space="preserve">Alberti &amp;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(2015)</w:t>
      </w:r>
      <w:r>
        <w:t xml:space="preserve">, showing a negative relationship between social anxiety and assertiveness,</w:t>
      </w:r>
      <w:r>
        <w:t xml:space="preserve"> </w:t>
      </w:r>
      <w:r>
        <w:t xml:space="preserve">Vagos &amp;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&amp;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&amp;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&amp;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&amp;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&amp; Emmons (1974)</w:t>
      </w:r>
      <w:r>
        <w:t xml:space="preserve">,</w:t>
      </w:r>
      <w:r>
        <w:t xml:space="preserve"> </w:t>
      </w:r>
      <w:r>
        <w:t xml:space="preserve">Gambrill &amp;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&amp;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&amp;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34"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&amp;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bookmarkEnd w:id="34"/>
    <w:bookmarkEnd w:id="35"/>
    <w:bookmarkStart w:id="50" w:name="results"/>
    <w:p>
      <w:pPr>
        <w:pStyle w:val="Heading1"/>
      </w:pPr>
      <w:r>
        <w:t xml:space="preserve">Results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7" name="Picture"/>
            <a:graphic>
              <a:graphicData uri="http://schemas.openxmlformats.org/drawingml/2006/picture">
                <pic:pic>
                  <pic:nvPicPr>
                    <pic:cNvPr descr="r2fu-article_files/figure-docx/emm.primary.plots-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40" name="Picture"/>
            <a:graphic>
              <a:graphicData uri="http://schemas.openxmlformats.org/drawingml/2006/picture">
                <pic:pic>
                  <pic:nvPicPr>
                    <pic:cNvPr descr="r2fu-article_files/figure-docx/emm.secondary.plots-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those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144"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no statistically significant number of clinically changed participants was found at either the post or the follow-up time points for the AAA-S Aggressive subscale. This should not be surprising, however, since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&amp;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or depression,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Start w:id="143" w:name="references"/>
    <w:p>
      <w:pPr>
        <w:pStyle w:val="Heading2"/>
      </w:pPr>
      <w:r>
        <w:t xml:space="preserve">References</w:t>
      </w:r>
    </w:p>
    <w:bookmarkStart w:id="142" w:name="refs"/>
    <w:bookmarkStart w:id="5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2"/>
    <w:bookmarkStart w:id="5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3"/>
    <w:bookmarkStart w:id="5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4">
        <w:r>
          <w:rPr>
            <w:rStyle w:val="Hyperlink"/>
          </w:rPr>
          <w:t xml:space="preserve">https://doi.org/10.1016/j.janxdis.2018.01.001</w:t>
        </w:r>
      </w:hyperlink>
    </w:p>
    <w:bookmarkEnd w:id="55"/>
    <w:bookmarkStart w:id="5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6">
        <w:r>
          <w:rPr>
            <w:rStyle w:val="Hyperlink"/>
          </w:rPr>
          <w:t xml:space="preserve">https://doi.org/10.1371/journal.pone.0230169</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67">
        <w:r>
          <w:rPr>
            <w:rStyle w:val="Hyperlink"/>
          </w:rPr>
          <w:t xml:space="preserve">https://doi.org/10.1016/j.jcbs.2022.02.001</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2">
        <w:r>
          <w:rPr>
            <w:rStyle w:val="Hyperlink"/>
          </w:rPr>
          <w:t xml:space="preserve">https://doi.org/10.1037/a0028200</w:t>
        </w:r>
      </w:hyperlink>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7"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6">
        <w:r>
          <w:rPr>
            <w:rStyle w:val="Hyperlink"/>
          </w:rPr>
          <w:t xml:space="preserve">https://doi.org/10.1111/acps.12275</w:t>
        </w:r>
      </w:hyperlink>
    </w:p>
    <w:bookmarkEnd w:id="87"/>
    <w:bookmarkStart w:id="88"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8"/>
    <w:bookmarkStart w:id="90"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9">
        <w:r>
          <w:rPr>
            <w:rStyle w:val="Hyperlink"/>
          </w:rPr>
          <w:t xml:space="preserve">https://www.random.org</w:t>
        </w:r>
      </w:hyperlink>
      <w:r>
        <w:t xml:space="preserve">.</w:t>
      </w:r>
    </w:p>
    <w:bookmarkEnd w:id="90"/>
    <w:bookmarkStart w:id="92"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1">
        <w:r>
          <w:rPr>
            <w:rStyle w:val="Hyperlink"/>
          </w:rPr>
          <w:t xml:space="preserve">https://doi.org/10.1016/S0005-7894(04)80013-3</w:t>
        </w:r>
      </w:hyperlink>
    </w:p>
    <w:bookmarkEnd w:id="92"/>
    <w:bookmarkStart w:id="93"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01">
        <w:r>
          <w:rPr>
            <w:rStyle w:val="Hyperlink"/>
          </w:rPr>
          <w:t xml:space="preserve">https://doi.org/10.1016/j.invent.2015.04.002</w:t>
        </w:r>
      </w:hyperlink>
    </w:p>
    <w:bookmarkEnd w:id="102"/>
    <w:bookmarkStart w:id="104"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3">
        <w:r>
          <w:rPr>
            <w:rStyle w:val="Hyperlink"/>
          </w:rPr>
          <w:t xml:space="preserve">https://doi.org/10.1016/B978-0-12-404480-7.50013-7</w:t>
        </w:r>
      </w:hyperlink>
    </w:p>
    <w:bookmarkEnd w:id="104"/>
    <w:bookmarkStart w:id="105"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5"/>
    <w:bookmarkStart w:id="107"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6">
        <w:r>
          <w:rPr>
            <w:rStyle w:val="Hyperlink"/>
          </w:rPr>
          <w:t xml:space="preserve">https://doi.org/10.21105/joss.00772</w:t>
        </w:r>
      </w:hyperlink>
    </w:p>
    <w:bookmarkEnd w:id="107"/>
    <w:bookmarkStart w:id="109"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8">
        <w:r>
          <w:rPr>
            <w:rStyle w:val="Hyperlink"/>
          </w:rPr>
          <w:t xml:space="preserve">https://easystats.github.io/performance/</w:t>
        </w:r>
      </w:hyperlink>
    </w:p>
    <w:bookmarkEnd w:id="109"/>
    <w:bookmarkStart w:id="111"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0">
        <w:r>
          <w:rPr>
            <w:rStyle w:val="Hyperlink"/>
          </w:rPr>
          <w:t xml:space="preserve">https://doi.org/10.1080/16506073.2016.1250228</w:t>
        </w:r>
      </w:hyperlink>
    </w:p>
    <w:bookmarkEnd w:id="111"/>
    <w:bookmarkStart w:id="11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2">
        <w:r>
          <w:rPr>
            <w:rStyle w:val="Hyperlink"/>
          </w:rPr>
          <w:t xml:space="preserve">www.cci.health.wa.gov.au/Resources/Looking-After-Yourself/Assertiveness</w:t>
        </w:r>
      </w:hyperlink>
    </w:p>
    <w:bookmarkEnd w:id="113"/>
    <w:bookmarkStart w:id="11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4">
        <w:r>
          <w:rPr>
            <w:rStyle w:val="Hyperlink"/>
          </w:rPr>
          <w:t xml:space="preserve">https://doi.org/10.1111/jpr.12185</w:t>
        </w:r>
      </w:hyperlink>
    </w:p>
    <w:bookmarkEnd w:id="115"/>
    <w:bookmarkStart w:id="116"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6"/>
    <w:bookmarkStart w:id="117"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7"/>
    <w:bookmarkStart w:id="119"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8">
        <w:r>
          <w:rPr>
            <w:rStyle w:val="Hyperlink"/>
          </w:rPr>
          <w:t xml:space="preserve">https://doi.org/10.1016/S0005-7894(73)80120-0</w:t>
        </w:r>
      </w:hyperlink>
    </w:p>
    <w:bookmarkEnd w:id="119"/>
    <w:bookmarkStart w:id="121"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0">
        <w:r>
          <w:rPr>
            <w:rStyle w:val="Hyperlink"/>
          </w:rPr>
          <w:t xml:space="preserve">https://doi.org/10.1037/ccp0000023</w:t>
        </w:r>
      </w:hyperlink>
    </w:p>
    <w:bookmarkEnd w:id="121"/>
    <w:bookmarkStart w:id="123"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2">
        <w:r>
          <w:rPr>
            <w:rStyle w:val="Hyperlink"/>
          </w:rPr>
          <w:t xml:space="preserve">https://doi.org/10.1016/j.brat.2017.05.015</w:t>
        </w:r>
      </w:hyperlink>
    </w:p>
    <w:bookmarkEnd w:id="123"/>
    <w:bookmarkStart w:id="124"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4"/>
    <w:bookmarkStart w:id="126"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5">
        <w:r>
          <w:rPr>
            <w:rStyle w:val="Hyperlink"/>
          </w:rPr>
          <w:t xml:space="preserve">https://sealedenvelope.com/simple-randomiser/v1</w:t>
        </w:r>
      </w:hyperlink>
      <w:r>
        <w:t xml:space="preserve">.</w:t>
      </w:r>
    </w:p>
    <w:bookmarkEnd w:id="126"/>
    <w:bookmarkStart w:id="128"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8"/>
    <w:bookmarkStart w:id="13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9"/>
    <w:bookmarkStart w:id="140" w:name="ref-wolpe1990practice"/>
    <w:p>
      <w:pPr>
        <w:pStyle w:val="Bibliography"/>
      </w:pPr>
      <w:r>
        <w:t xml:space="preserve">Wolpe, J. (1990).</w:t>
      </w:r>
      <w:r>
        <w:t xml:space="preserve"> </w:t>
      </w:r>
      <w:r>
        <w:rPr>
          <w:iCs/>
          <w:i/>
        </w:rPr>
        <w:t xml:space="preserve">The practice of behavior therapy</w:t>
      </w:r>
      <w:r>
        <w:t xml:space="preserve">. Pergamon Press.</w:t>
      </w:r>
    </w:p>
    <w:bookmarkEnd w:id="140"/>
    <w:bookmarkStart w:id="14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1"/>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2022-08-17T09:45:55Z</dcterms:created>
  <dcterms:modified xsi:type="dcterms:W3CDTF">2022-08-17T09:45:55Z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The estimated between-group effect sizes, comparing with the waitlist, on self-rated adaptive assertivness were statistically equivalent for the two treatment groups both at the post time point and at the one-year follow-up, ranging from ES = 1.00 to ES = 1.73, with reliable clinical recovery proportions from 19% to 36%. The effects for aggressive assertiveness ranged from ES = 0.40 to ES = 0.72, with no observed reliable clinical change. For social anxiety symptoms, the effects ranged from ES = 0.90 to ES = 0.95, with reliable clinical recovery from 16% to 26%. No effects were observed for generalized anxiety, but in the guided treatment condition, at follow-up, large effects were found also for symptoms of depression.Conclusions. In general, participation increased healthy assertive expressions, thereby reducing self-assessed social anxiety, with similar effects for both the guided and unguided conditions. With therapist support, participation also reduced levels of depression over time. The findings demonstrate the viability of stand-alone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 authoryear</vt:lpwstr>
  </property>
  <property fmtid="{D5CDD505-2E9C-101B-9397-08002B2CF9AE}" pid="6" name="csl">
    <vt:lpwstr>./apa.csl</vt:lpwstr>
  </property>
  <property fmtid="{D5CDD505-2E9C-101B-9397-08002B2CF9AE}" pid="7" name="date">
    <vt:lpwstr>2022-08-17</vt:lpwstr>
  </property>
  <property fmtid="{D5CDD505-2E9C-101B-9397-08002B2CF9AE}" pid="8" name="header-includes">
    <vt:lpwstr/>
  </property>
  <property fmtid="{D5CDD505-2E9C-101B-9397-08002B2CF9AE}" pid="9" name="journal">
    <vt:lpwstr>??</vt:lpwstr>
  </property>
  <property fmtid="{D5CDD505-2E9C-101B-9397-08002B2CF9AE}" pid="10" name="knit">
    <vt:lpwstr>(function(inputFile, encoding){ 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