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30</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of guided and unguided participation in Respekt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effects of group, time, and group-time interaction, and random effects of participant (specifying a random intercept to control for individual differences),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filled in with the value from the previous time point.</w:t>
      </w:r>
    </w:p>
    <w:bookmarkEnd w:id="41"/>
    <w:bookmarkEnd w:id="42"/>
    <w:bookmarkStart w:id="55" w:name="results"/>
    <w:p>
      <w:pPr>
        <w:pStyle w:val="Heading1"/>
      </w:pPr>
      <w:r>
        <w:t xml:space="preserve">Results</w:t>
      </w:r>
    </w:p>
    <w:p>
      <w:pPr>
        <w:pStyle w:val="CaptionedFigure"/>
      </w:pPr>
      <w:r>
        <w:drawing>
          <wp:inline>
            <wp:extent cx="5334000" cy="2133600"/>
            <wp:effectExtent b="0" l="0" r="0" t="0"/>
            <wp:docPr descr="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two of the primary transdiagnostic scales used to measure skillful, assertive behaviors. Participants’ estimated means for both measures exhibit increasing levels of assertiveness during the course of treatment in the Support and Self-help groups, with negligable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both measures.</w:t>
      </w:r>
    </w:p>
    <w:p>
      <w:pPr>
        <w:pStyle w:val="CaptionedFigure"/>
      </w:pPr>
      <w:r>
        <w:drawing>
          <wp:inline>
            <wp:extent cx="5334000" cy="2133600"/>
            <wp:effectExtent b="0" l="0" r="0" t="0"/>
            <wp:docPr descr="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t xml:space="preserve">Plots of estimated fixed effects for secondary syndromal outcome measures. Participation in the Support and Self-help conditions lead to significant symptom alleviation between the Pre and Post as well as between Pre and 1-year Follow-up time points for depression and social anxiety, as captured with their respective measures. As with the transdiagnostic measures of assertive behaviors, the difference between the two time points was small or statistically inappreciable for both groups and both measures.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4"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1.01</m:t>
        </m:r>
      </m:oMath>
      <w:r>
        <w:t xml:space="preserve">, 95% CI [</w:t>
      </w:r>
      <m:oMath>
        <m:r>
          <m:t>.76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1.20</m:t>
        </m:r>
      </m:oMath>
      <w:r>
        <w:t xml:space="preserve">] respectively.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1.05</m:t>
        </m:r>
      </m:oMath>
      <w:r>
        <w:t xml:space="preserve">, 95% CI [</w:t>
      </w:r>
      <m:oMath>
        <m:r>
          <m:t>.82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w:t>
      </w:r>
      <w:r>
        <w:t xml:space="preserve"> </w:t>
      </w:r>
      <w:r>
        <w:t xml:space="preserve"> </w:t>
      </w:r>
      <w:r>
        <w:t xml:space="preserve">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were significant Post to Follow-up comparisons found, for measures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.017</m:t>
        </m:r>
      </m:oMath>
      <w:r>
        <w:t xml:space="preserve">,</w:t>
      </w:r>
      <w:r>
        <w:t xml:space="preserve"> </w:t>
      </w:r>
      <m:oMath>
        <m:r>
          <m:t>E</m:t>
        </m:r>
        <m:r>
          <m:t>S</m:t>
        </m:r>
      </m:oMath>
      <w:r>
        <w:t xml:space="preserve"> </w:t>
      </w:r>
      <w:r>
        <w:t xml:space="preserve">=</w:t>
      </w:r>
      <w:r>
        <w:t xml:space="preserve"> </w:t>
      </w:r>
      <m:oMath>
        <m:r>
          <m:t>.46</m:t>
        </m:r>
      </m:oMath>
      <w:r>
        <w:t xml:space="preserve">, 95% CI [</w:t>
      </w:r>
      <m:oMath>
        <m:r>
          <m:t>.21</m:t>
        </m:r>
      </m:oMath>
      <w:r>
        <w:t xml:space="preserve">,</w:t>
      </w:r>
      <w:r>
        <w:t xml:space="preserve"> </w:t>
      </w:r>
      <m:oMath>
        <m:r>
          <m:t>.72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.49</m:t>
        </m:r>
      </m:oMath>
      <w:r>
        <w:t xml:space="preserve">, 95% CI [</w:t>
      </w:r>
      <m:oMath>
        <m:r>
          <m:t>.26</m:t>
        </m:r>
      </m:oMath>
      <w:r>
        <w:t xml:space="preserve">,</w:t>
      </w:r>
      <w:r>
        <w:t xml:space="preserve"> </w:t>
      </w:r>
      <m:oMath>
        <m:r>
          <m:t>.73</m:t>
        </m:r>
      </m:oMath>
      <w:r>
        <w:t xml:space="preserve">] respectively. In the Self-help group, there was no difference between Post and Follow-up time points for either measure, from</w:t>
      </w:r>
      <w:r>
        <w:t xml:space="preserve"> </w:t>
      </w:r>
      <m:oMath>
        <m:r>
          <m:t>p</m:t>
        </m:r>
      </m:oMath>
      <w:r>
        <w:t xml:space="preserve"> </w:t>
      </w:r>
      <w:r>
        <w:t xml:space="preserve">=</w:t>
      </w:r>
      <w:r>
        <w:t xml:space="preserve"> </w:t>
      </w:r>
      <m:oMath>
        <m:r>
          <m:t>.731</m:t>
        </m:r>
      </m:oMath>
      <w:r>
        <w:t xml:space="preserve"> </w:t>
      </w:r>
      <w:r>
        <w:t xml:space="preserve">to</w:t>
      </w:r>
      <w:r>
        <w:t xml:space="preserve"> </w:t>
      </w:r>
      <m:oMath>
        <m:r>
          <m:t>p</m:t>
        </m:r>
      </m:oMath>
      <w:r>
        <w:t xml:space="preserve"> </w:t>
      </w:r>
      <w:r>
        <w:t xml:space="preserve">=</w:t>
      </w:r>
      <w:r>
        <w:t xml:space="preserve"> </w:t>
      </w:r>
      <m:oMath>
        <m:r>
          <m:t>1.000</m:t>
        </m:r>
      </m:oMath>
      <w:r>
        <w:t xml:space="preserve">.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.038</m:t>
        </m:r>
      </m:oMath>
      <w:r>
        <w:t xml:space="preserve">,</w:t>
      </w:r>
      <w:r>
        <w:t xml:space="preserve"> </w:t>
      </w:r>
      <m:oMath>
        <m:r>
          <m:t>E</m:t>
        </m:r>
        <m:r>
          <m:t>S</m:t>
        </m:r>
      </m:oMath>
      <w:r>
        <w:t xml:space="preserve"> </w:t>
      </w:r>
      <w:r>
        <w:t xml:space="preserve">=</w:t>
      </w:r>
      <w:r>
        <w:t xml:space="preserve"> </w:t>
      </w:r>
      <m:oMath>
        <m:r>
          <m:t>.53</m:t>
        </m:r>
      </m:oMath>
      <w:r>
        <w:t xml:space="preserve">, 95% CI [</w:t>
      </w:r>
      <m:oMath>
        <m:r>
          <m:t>.23</m:t>
        </m:r>
      </m:oMath>
      <w:r>
        <w:t xml:space="preserve">,</w:t>
      </w:r>
      <w:r>
        <w:t xml:space="preserve"> </w:t>
      </w:r>
      <m:oMath>
        <m:r>
          <m:t>.84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.65</m:t>
        </m:r>
      </m:oMath>
      <w:r>
        <w:t xml:space="preserve">, 95% CI [</w:t>
      </w:r>
      <m:oMath>
        <m:r>
          <m:t>.45</m:t>
        </m:r>
      </m:oMath>
      <w:r>
        <w:t xml:space="preserve">,</w:t>
      </w:r>
      <w:r>
        <w:t xml:space="preserve"> </w:t>
      </w:r>
      <m:oMath>
        <m:r>
          <m:t>.84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.98</m:t>
        </m:r>
      </m:oMath>
      <w:r>
        <w:t xml:space="preserve">, 95% CI [</w:t>
      </w:r>
      <m:oMath>
        <m:r>
          <m:t>.75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.63</m:t>
        </m:r>
      </m:oMath>
      <w:r>
        <w:t xml:space="preserve">, 95% CI [</w:t>
      </w:r>
      <m:oMath>
        <m:r>
          <m:t>.46</m:t>
        </m:r>
      </m:oMath>
      <w:r>
        <w:t xml:space="preserve">,</w:t>
      </w:r>
      <w:r>
        <w:t xml:space="preserve"> </w:t>
      </w:r>
      <m:oMath>
        <m:r>
          <m:t>.80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.91</m:t>
        </m:r>
      </m:oMath>
      <w:r>
        <w:t xml:space="preserve">, 95% CI [</w:t>
      </w:r>
      <m:oMath>
        <m:r>
          <m:t>.71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.328</m:t>
        </m:r>
      </m:oMath>
      <w:r>
        <w:t xml:space="preserve"> </w:t>
      </w:r>
      <w:r>
        <w:t xml:space="preserve">for Self-help and</w:t>
      </w:r>
      <w:r>
        <w:t xml:space="preserve"> </w:t>
      </w:r>
      <m:oMath>
        <m:r>
          <m:t>p</m:t>
        </m:r>
      </m:oMath>
      <w:r>
        <w:t xml:space="preserve"> </w:t>
      </w:r>
      <w:r>
        <w:t xml:space="preserve">=</w:t>
      </w:r>
      <w:r>
        <w:t xml:space="preserve"> </w:t>
      </w:r>
      <m:oMath>
        <m:r>
          <m:t>.269</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2"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1.00</m:t>
        </m:r>
      </m:oMath>
      <w:r>
        <w:t xml:space="preserve">, 95% CI [</w:t>
      </w:r>
      <m:oMath>
        <m:r>
          <m:t>.62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1.30</m:t>
        </m:r>
      </m:oMath>
      <w:r>
        <w:t xml:space="preserve">, 95% CI [</w:t>
      </w:r>
      <m:oMath>
        <m:r>
          <m:t>.90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1.02</m:t>
        </m:r>
      </m:oMath>
      <w:r>
        <w:t xml:space="preserve">, 95% CI [</w:t>
      </w:r>
      <m:oMath>
        <m:r>
          <m:t>.65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1.35</m:t>
        </m:r>
      </m:oMath>
      <w:r>
        <w:t xml:space="preserve">, 95% CI [</w:t>
      </w:r>
      <m:oMath>
        <m:r>
          <m:t>.96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.95</m:t>
        </m:r>
      </m:oMath>
      <w:r>
        <w:t xml:space="preserve">, 95% CI [</w:t>
      </w:r>
      <m:oMath>
        <m:r>
          <m:t>.59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1.24</m:t>
        </m:r>
      </m:oMath>
      <w:r>
        <w:t xml:space="preserve">, 95% CI [</w:t>
      </w:r>
      <m:oMath>
        <m:r>
          <m:t>.88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.087</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.001</m:t>
        </m:r>
      </m:oMath>
      <w:r>
        <w:t xml:space="preserve">,</w:t>
      </w:r>
      <w:r>
        <w:t xml:space="preserve"> </w:t>
      </w:r>
      <m:oMath>
        <m:r>
          <m:t>E</m:t>
        </m:r>
        <m:r>
          <m:t>S</m:t>
        </m:r>
      </m:oMath>
      <w:r>
        <w:t xml:space="preserve"> </w:t>
      </w:r>
      <w:r>
        <w:t xml:space="preserve">=</w:t>
      </w:r>
      <w:r>
        <w:t xml:space="preserve"> </w:t>
      </w:r>
      <m:oMath>
        <m:r>
          <m:t>.90</m:t>
        </m:r>
      </m:oMath>
      <w:r>
        <w:t xml:space="preserve">, 95% CI [</w:t>
      </w:r>
      <m:oMath>
        <m:r>
          <m:t>.52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.112</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.77</m:t>
        </m:r>
      </m:oMath>
      <w:r>
        <w:t xml:space="preserve">, 95% CI [</w:t>
      </w:r>
      <m:oMath>
        <m:r>
          <m:t>.40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into the category</w:t>
      </w:r>
      <w:r>
        <w:t xml:space="preserve"> </w:t>
      </w:r>
      <w:r>
        <w:t xml:space="preserve">‘</w:t>
      </w:r>
      <w:r>
        <w:t xml:space="preserve">Recovered</w:t>
      </w:r>
      <w:r>
        <w:t xml:space="preserve">’</w:t>
      </w:r>
      <w:r>
        <w:t xml:space="preserv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.019</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.023</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.912</m:t>
        </m:r>
      </m:oMath>
      <w:r>
        <w:t xml:space="preserve">, PHQ-9,</w:t>
      </w:r>
      <w:r>
        <w:t xml:space="preserve"> </w:t>
      </w:r>
      <m:oMath>
        <m:r>
          <m:t>p</m:t>
        </m:r>
      </m:oMath>
      <w:r>
        <w:t xml:space="preserve"> </w:t>
      </w:r>
      <w:r>
        <w:t xml:space="preserve">=</w:t>
      </w:r>
      <w:r>
        <w:t xml:space="preserve"> </w:t>
      </w:r>
      <m:oMath>
        <m:r>
          <m:t>.008</m:t>
        </m:r>
      </m:oMath>
      <w:r>
        <w:t xml:space="preserve">, or GAD-7,</w:t>
      </w:r>
      <w:r>
        <w:t xml:space="preserve"> </w:t>
      </w:r>
      <m:oMath>
        <m:r>
          <m:t>p</m:t>
        </m:r>
      </m:oMath>
      <w:r>
        <w:t xml:space="preserve"> </w:t>
      </w:r>
      <w:r>
        <w:t xml:space="preserve">=</w:t>
      </w:r>
      <w:r>
        <w:t xml:space="preserve"> </w:t>
      </w:r>
      <m:oMath>
        <m:r>
          <m:t>.364</m:t>
        </m:r>
      </m:oMath>
      <w:r>
        <w:t xml:space="preserve">. At Follow-up, the difference in recovery rates between conditions was significant for both behavioral and syndromal measures: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.001</m:t>
        </m:r>
      </m:oMath>
      <w:r>
        <w:t xml:space="preserve">; but not for AAA-S Aggressive,</w:t>
      </w:r>
      <w:r>
        <w:t xml:space="preserve"> </w:t>
      </w:r>
      <m:oMath>
        <m:r>
          <m:t>p</m:t>
        </m:r>
      </m:oMath>
      <w:r>
        <w:t xml:space="preserve"> </w:t>
      </w:r>
      <w:r>
        <w:t xml:space="preserve">=</w:t>
      </w:r>
      <w:r>
        <w:t xml:space="preserve"> </w:t>
      </w:r>
      <m:oMath>
        <m:r>
          <m:t>.421</m:t>
        </m:r>
      </m:oMath>
      <w:r>
        <w:t xml:space="preserve"> </w:t>
      </w:r>
      <w:r>
        <w:t xml:space="preserve">or GAD-7,</w:t>
      </w:r>
      <w:r>
        <w:t xml:space="preserve"> </w:t>
      </w:r>
      <m:oMath>
        <m:r>
          <m:t>p</m:t>
        </m:r>
      </m:oMath>
      <w:r>
        <w:t xml:space="preserve"> </w:t>
      </w:r>
      <w:r>
        <w:t xml:space="preserve">=</w:t>
      </w:r>
      <w:r>
        <w:t xml:space="preserve"> </w:t>
      </w:r>
      <m:oMath>
        <m:r>
          <m:t>.077</m:t>
        </m:r>
      </m:oMath>
      <w:r>
        <w:t xml:space="preserve">. See Table 2 for a summary of clinical recovery rates and the significance of pairwise tests against Waitlist.</w:t>
      </w:r>
    </w:p>
    <w:p>
      <w:pPr>
        <w:pStyle w:val="BodyText"/>
      </w:pPr>
      <w:r>
        <w:t xml:space="preserve">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.013</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.006</m:t>
        </m:r>
      </m:oMath>
      <w:r>
        <w:t xml:space="preserve"> </w:t>
      </w:r>
      <w:r>
        <w:t xml:space="preserve">at Follow-up. In the Guided self-help group the number of recovered participants at Post was non-significantly different from that of the Waitlist, while significantly different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.001</m:t>
        </m:r>
      </m:oMath>
      <w:r>
        <w:t xml:space="preserve">. For assertiveness assessed with the RAS, the corresponding numbers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compared to Waitlist,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.002</m:t>
        </m:r>
      </m:oMath>
      <w:r>
        <w:t xml:space="preserve">, but not so in Self-help group, pointing to that interaction with therapists might contribute to faster recovery for depressed participants. In addition, a significant number of participants in the Self-help group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.015</m:t>
        </m:r>
      </m:oMath>
      <w:r>
        <w:t xml:space="preserve"> </w:t>
      </w:r>
      <w:r>
        <w:t xml:space="preserve">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.001</m:t>
        </m:r>
      </m:oMath>
      <w:r>
        <w:t xml:space="preserve"> </w:t>
      </w:r>
      <w:r>
        <w:t xml:space="preserve">at Follow-up. These clinical findings seem to pick up that symptoms of social anxiety continued to subside in the year following treatment, to the point that some participants had recovered. Combined with the clinically relevant recovery for assertive behaviors measured with AAA-S Adaptive and RAS, this could be a sign of generalization of assertive behaviors having continued to occur after the end of treatment, facilitating extinction of anxiety responses.</w:t>
      </w:r>
    </w:p>
    <w:bookmarkEnd w:id="50"/>
    <w:bookmarkStart w:id="51" w:name="reliable-harm-and-deterioration"/>
    <w:p>
      <w:pPr>
        <w:pStyle w:val="Heading4"/>
      </w:pPr>
      <w:r>
        <w:t xml:space="preserve">Reliable harm and deterioration</w:t>
      </w:r>
    </w:p>
    <w:p>
      <w:pPr>
        <w:pStyle w:val="FirstParagraph"/>
      </w:pPr>
      <w:r>
        <w:t xml:space="preserve">Checking for any signs of reliable harm, the most severe form of deterioration, a significant difference between groups in clinical significant change was found for the AAA-S Aggressive measure,</w:t>
      </w:r>
      <w:r>
        <w:t xml:space="preserve"> </w:t>
      </w:r>
      <m:oMath>
        <m:sSup>
          <m:e>
            <m:r>
              <m:t>χ</m:t>
            </m:r>
          </m:e>
          <m:sup>
            <m:r>
              <m:t>2</m:t>
            </m:r>
          </m:sup>
        </m:sSup>
      </m:oMath>
      <w:r>
        <w:t xml:space="preserve">(</w:t>
      </w:r>
      <m:oMath>
        <m:r>
          <m:t>2</m:t>
        </m:r>
      </m:oMath>
      <w:r>
        <w:t xml:space="preserve">) = 6.1,</w:t>
      </w:r>
      <w:r>
        <w:t xml:space="preserve"> </w:t>
      </w:r>
      <m:oMath>
        <m:r>
          <m:t>p</m:t>
        </m:r>
      </m:oMath>
      <w:r>
        <w:t xml:space="preserve"> </w:t>
      </w:r>
      <w:r>
        <w:t xml:space="preserve">=</w:t>
      </w:r>
      <w:r>
        <w:t xml:space="preserve"> </w:t>
      </w:r>
      <m:oMath>
        <m:r>
          <m:t>.047</m:t>
        </m:r>
      </m:oMath>
      <w:r>
        <w:t xml:space="preserve">, as</w:t>
      </w:r>
      <w:r>
        <w:t xml:space="preserve"> </w:t>
      </w:r>
      <m:oMath>
        <m:r>
          <m:t>n</m:t>
        </m:r>
      </m:oMath>
      <w:r>
        <w:t xml:space="preserve"> </w:t>
      </w:r>
      <w:r>
        <w:t xml:space="preserve">=</w:t>
      </w:r>
      <w:r>
        <w:t xml:space="preserve"> </w:t>
      </w:r>
      <m:oMath>
        <m:r>
          <m:t>3</m:t>
        </m:r>
      </m:oMath>
      <w:r>
        <w:t xml:space="preserve"> </w:t>
      </w:r>
      <w:r>
        <w:t xml:space="preserve">participants (</w:t>
      </w:r>
      <m:oMath>
        <m:r>
          <m:t>4</m:t>
        </m:r>
      </m:oMath>
      <w:r>
        <w:t xml:space="preserve">%) had reached below the threshold for the category</w:t>
      </w:r>
      <w:r>
        <w:t xml:space="preserve"> </w:t>
      </w:r>
      <w:r>
        <w:t xml:space="preserve">‘</w:t>
      </w:r>
      <w:r>
        <w:t xml:space="preserve">Harmed</w:t>
      </w:r>
      <w:r>
        <w:t xml:space="preserve">’</w:t>
      </w:r>
      <w:r>
        <w:t xml:space="preserve"> </w:t>
      </w:r>
      <w:r>
        <w:t xml:space="preserve">while waiting to enter into treatment (see Table 2). However, post hoc testing did not reveal any significant pairwise differences between any of the treatment groups and the Waitlist group,</w:t>
      </w:r>
      <w:r>
        <w:t xml:space="preserve"> </w:t>
      </w:r>
      <m:oMath>
        <m:r>
          <m:t>p</m:t>
        </m:r>
      </m:oMath>
      <w:r>
        <w:t xml:space="preserve"> </w:t>
      </w:r>
      <w:r>
        <w:t xml:space="preserve">=</w:t>
      </w:r>
      <w:r>
        <w:t xml:space="preserve"> </w:t>
      </w:r>
      <m:oMath>
        <m:r>
          <m:t>.094</m:t>
        </m:r>
      </m:oMath>
      <w:r>
        <w:t xml:space="preserve"> </w:t>
      </w:r>
      <w:r>
        <w:t xml:space="preserve">and</w:t>
      </w:r>
      <w:r>
        <w:t xml:space="preserve"> </w:t>
      </w:r>
      <m:oMath>
        <m:r>
          <m:t>p</m:t>
        </m:r>
      </m:oMath>
      <w:r>
        <w:t xml:space="preserve"> </w:t>
      </w:r>
      <w:r>
        <w:t xml:space="preserve">=</w:t>
      </w:r>
      <w:r>
        <w:t xml:space="preserve"> </w:t>
      </w:r>
      <m:oMath>
        <m:r>
          <m:t>.100</m:t>
        </m:r>
      </m:oMath>
      <w:r>
        <w:t xml:space="preserve">. No other instances of suspected reliable harm Pre to Post or Pre to Follow-up were identified for either measure. The next worst category in assessing reliable change is</w:t>
      </w:r>
      <w:r>
        <w:t xml:space="preserve"> </w:t>
      </w:r>
      <w:r>
        <w:t xml:space="preserve">‘</w:t>
      </w:r>
      <w:r>
        <w:t xml:space="preserve">Deteriorated</w:t>
      </w:r>
      <w:r>
        <w:t xml:space="preserve">’</w:t>
      </w:r>
      <w:r>
        <w:t xml:space="preserve">; in order 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 gathering participants that had moved into either of these two categories. Using the</w:t>
      </w:r>
      <w:r>
        <w:t xml:space="preserve"> </w:t>
      </w:r>
      <w:r>
        <w:t xml:space="preserve">‘</w:t>
      </w:r>
      <w:r>
        <w:t xml:space="preserve">Worsened</w:t>
      </w:r>
      <w:r>
        <w:t xml:space="preserve">’</w:t>
      </w:r>
      <w:r>
        <w:t xml:space="preserve"> </w:t>
      </w:r>
      <w:r>
        <w:t xml:space="preserve">portmanteau category, and checking clinical change Pre to Post treatment, we observed a significant difference between groups for LSAS-SR,</w:t>
      </w:r>
      <w:r>
        <w:t xml:space="preserve"> </w:t>
      </w:r>
      <m:oMath>
        <m:sSup>
          <m:e>
            <m:r>
              <m:t>χ</m:t>
            </m:r>
          </m:e>
          <m:sup>
            <m:r>
              <m:t>2</m:t>
            </m:r>
          </m:sup>
        </m:sSup>
      </m:oMath>
      <w:r>
        <w:t xml:space="preserve">(</w:t>
      </w:r>
      <m:oMath>
        <m:r>
          <m:t>2</m:t>
        </m:r>
      </m:oMath>
      <w:r>
        <w:t xml:space="preserve">) = 9.13,</w:t>
      </w:r>
      <w:r>
        <w:t xml:space="preserve"> </w:t>
      </w:r>
      <m:oMath>
        <m:r>
          <m:t>p</m:t>
        </m:r>
      </m:oMath>
      <w:r>
        <w:t xml:space="preserve"> </w:t>
      </w:r>
      <w:r>
        <w:t xml:space="preserve">=</w:t>
      </w:r>
      <w:r>
        <w:t xml:space="preserve"> </w:t>
      </w:r>
      <m:oMath>
        <m:r>
          <m:t>.010</m:t>
        </m:r>
      </m:oMath>
      <w:r>
        <w:t xml:space="preserve">, meriting a follow-up pairwise comparison. It revealed that the number of participants in the Waitlist condition that had either reached</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going from Pre to Post treatment, was significant compared to the Guided self-help group,</w:t>
      </w:r>
      <w:r>
        <w:t xml:space="preserve"> </w:t>
      </w:r>
      <m:oMath>
        <m:r>
          <m:t>n</m:t>
        </m:r>
      </m:oMath>
      <w:r>
        <w:t xml:space="preserve"> </w:t>
      </w:r>
      <w:r>
        <w:t xml:space="preserve">= 7 (</w:t>
      </w:r>
      <m:oMath>
        <m:r>
          <m:t>10</m:t>
        </m:r>
      </m:oMath>
      <w:r>
        <w:t xml:space="preserve">),</w:t>
      </w:r>
      <w:r>
        <w:t xml:space="preserve"> </w:t>
      </w:r>
      <m:oMath>
        <m:r>
          <m:t>Z</m:t>
        </m:r>
      </m:oMath>
      <w:r>
        <w:t xml:space="preserve">(</w:t>
      </w:r>
      <m:oMath>
        <m:r>
          <m:t>2</m:t>
        </m:r>
      </m:oMath>
      <w:r>
        <w:t xml:space="preserve">) =</w:t>
      </w:r>
      <w:r>
        <w:t xml:space="preserve"> </w:t>
      </w:r>
      <m:oMath>
        <m:r>
          <m:t>2.94</m:t>
        </m:r>
      </m:oMath>
      <w:r>
        <w:t xml:space="preserve">,</w:t>
      </w:r>
      <w:r>
        <w:t xml:space="preserve"> </w:t>
      </w:r>
      <m:oMath>
        <m:r>
          <m:t>p</m:t>
        </m:r>
      </m:oMath>
      <w:r>
        <w:t xml:space="preserve"> </w:t>
      </w:r>
      <w:r>
        <w:t xml:space="preserve">=</w:t>
      </w:r>
      <w:r>
        <w:t xml:space="preserve"> </w:t>
      </w:r>
      <m:oMath>
        <m:r>
          <m:t>.010</m:t>
        </m:r>
      </m:oMath>
      <w:r>
        <w:t xml:space="preserve">. The same held true comparing Pre to Follow-up,</w:t>
      </w:r>
      <w:r>
        <w:t xml:space="preserve"> </w:t>
      </w:r>
      <m:oMath>
        <m:sSup>
          <m:e>
            <m:r>
              <m:t>χ</m:t>
            </m:r>
          </m:e>
          <m:sup>
            <m:r>
              <m:t>2</m:t>
            </m:r>
          </m:sup>
        </m:sSup>
      </m:oMath>
      <w:r>
        <w:t xml:space="preserve">(</w:t>
      </w:r>
      <m:oMath>
        <m:r>
          <m:t>2</m:t>
        </m:r>
      </m:oMath>
      <w:r>
        <w:t xml:space="preserve">) = 8.41,</w:t>
      </w:r>
      <w:r>
        <w:t xml:space="preserve"> </w:t>
      </w:r>
      <m:oMath>
        <m:r>
          <m:t>p</m:t>
        </m:r>
      </m:oMath>
      <w:r>
        <w:t xml:space="preserve"> </w:t>
      </w:r>
      <w:r>
        <w:t xml:space="preserve">=</w:t>
      </w:r>
      <w:r>
        <w:t xml:space="preserve"> </w:t>
      </w:r>
      <m:oMath>
        <m:r>
          <m:t>.015</m:t>
        </m:r>
      </m:oMath>
      <w:r>
        <w:t xml:space="preserve">, where these</w:t>
      </w:r>
      <w:r>
        <w:t xml:space="preserve"> </w:t>
      </w:r>
      <m:oMath>
        <m:r>
          <m:t>7</m:t>
        </m:r>
      </m:oMath>
      <w:r>
        <w:t xml:space="preserve"> </w:t>
      </w:r>
      <w:r>
        <w:t xml:space="preserve">individuals were significantly more than the number of worsened participants in both the Self-help group,</w:t>
      </w:r>
      <w:r>
        <w:t xml:space="preserve"> </w:t>
      </w:r>
      <m:oMath>
        <m:r>
          <m:t>Z</m:t>
        </m:r>
      </m:oMath>
      <w:r>
        <w:t xml:space="preserve">(</w:t>
      </w:r>
      <m:oMath>
        <m:r>
          <m:t>2</m:t>
        </m:r>
      </m:oMath>
      <w:r>
        <w:t xml:space="preserve">) =</w:t>
      </w:r>
      <w:r>
        <w:t xml:space="preserve"> </w:t>
      </w:r>
      <m:oMath>
        <m:r>
          <m:t>2.49</m:t>
        </m:r>
      </m:oMath>
      <w:r>
        <w:t xml:space="preserve">,</w:t>
      </w:r>
      <w:r>
        <w:t xml:space="preserve"> </w:t>
      </w:r>
      <m:oMath>
        <m:r>
          <m:t>p</m:t>
        </m:r>
      </m:oMath>
      <w:r>
        <w:t xml:space="preserve"> </w:t>
      </w:r>
      <w:r>
        <w:t xml:space="preserve">=</w:t>
      </w:r>
      <w:r>
        <w:t xml:space="preserve"> </w:t>
      </w:r>
      <m:oMath>
        <m:r>
          <m:t>.038</m:t>
        </m:r>
      </m:oMath>
      <w:r>
        <w:t xml:space="preserve">, and the Guided self-help group,</w:t>
      </w:r>
      <w:r>
        <w:t xml:space="preserve"> </w:t>
      </w:r>
      <m:oMath>
        <m:r>
          <m:t>Z</m:t>
        </m:r>
      </m:oMath>
      <w:r>
        <w:t xml:space="preserve">(</w:t>
      </w:r>
      <m:oMath>
        <m:r>
          <m:t>2</m:t>
        </m:r>
      </m:oMath>
      <w:r>
        <w:t xml:space="preserve">) =</w:t>
      </w:r>
      <w:r>
        <w:t xml:space="preserve"> </w:t>
      </w:r>
      <m:oMath>
        <m:r>
          <m:t>2.54</m:t>
        </m:r>
      </m:oMath>
      <w:r>
        <w:t xml:space="preserve">,</w:t>
      </w:r>
      <w:r>
        <w:t xml:space="preserve"> </w:t>
      </w:r>
      <m:oMath>
        <m:r>
          <m:t>p</m:t>
        </m:r>
      </m:oMath>
      <w:r>
        <w:t xml:space="preserve"> </w:t>
      </w:r>
      <w:r>
        <w:t xml:space="preserve">=</w:t>
      </w:r>
      <w:r>
        <w:t xml:space="preserve"> </w:t>
      </w:r>
      <m:oMath>
        <m:r>
          <m:t>.034</m:t>
        </m:r>
      </m:oMath>
      <w:r>
        <w:t xml:space="preserve">. Finally, a difference between groups was found for PHQ-9,</w:t>
      </w:r>
      <w:r>
        <w:t xml:space="preserve"> </w:t>
      </w:r>
      <m:oMath>
        <m:sSup>
          <m:e>
            <m:r>
              <m:t>χ</m:t>
            </m:r>
          </m:e>
          <m:sup>
            <m:r>
              <m:t>2</m:t>
            </m:r>
          </m:sup>
        </m:sSup>
      </m:oMath>
      <w:r>
        <w:t xml:space="preserve">(</w:t>
      </w:r>
      <m:oMath>
        <m:r>
          <m:t>2</m:t>
        </m:r>
      </m:oMath>
      <w:r>
        <w:t xml:space="preserve">) = 7.86,</w:t>
      </w:r>
      <w:r>
        <w:t xml:space="preserve"> </w:t>
      </w:r>
      <m:oMath>
        <m:r>
          <m:t>p</m:t>
        </m:r>
      </m:oMath>
      <w:r>
        <w:t xml:space="preserve"> </w:t>
      </w:r>
      <w:r>
        <w:t xml:space="preserve">=</w:t>
      </w:r>
      <w:r>
        <w:t xml:space="preserve"> </w:t>
      </w:r>
      <m:oMath>
        <m:r>
          <m:t>.020</m:t>
        </m:r>
      </m:oMath>
      <w:r>
        <w:t xml:space="preserve">, with post hoc testing revealing a difference for the Guided self-help group,</w:t>
      </w:r>
      <w:r>
        <w:t xml:space="preserve"> </w:t>
      </w:r>
      <m:oMath>
        <m:r>
          <m:t>n</m:t>
        </m:r>
      </m:oMath>
      <w:r>
        <w:t xml:space="preserve"> </w:t>
      </w:r>
      <w:r>
        <w:t xml:space="preserve">= 12 (</w:t>
      </w:r>
      <m:oMath>
        <m:r>
          <m:t>18</m:t>
        </m:r>
      </m:oMath>
      <w:r>
        <w:t xml:space="preserve">),</w:t>
      </w:r>
      <w:r>
        <w:t xml:space="preserve"> </w:t>
      </w:r>
      <m:oMath>
        <m:r>
          <m:t>Z</m:t>
        </m:r>
      </m:oMath>
      <w:r>
        <w:t xml:space="preserve">(</w:t>
      </w:r>
      <m:oMath>
        <m:r>
          <m:t>2</m:t>
        </m:r>
      </m:oMath>
      <w:r>
        <w:t xml:space="preserve">) =</w:t>
      </w:r>
      <w:r>
        <w:t xml:space="preserve"> </w:t>
      </w:r>
      <m:oMath>
        <m:r>
          <m:t>2.80</m:t>
        </m:r>
      </m:oMath>
      <w:r>
        <w:t xml:space="preserve">,</w:t>
      </w:r>
      <w:r>
        <w:t xml:space="preserve"> </w:t>
      </w:r>
      <m:oMath>
        <m:r>
          <m:t>p</m:t>
        </m:r>
      </m:oMath>
      <w:r>
        <w:t xml:space="preserve"> </w:t>
      </w:r>
      <w:r>
        <w:t xml:space="preserve">=</w:t>
      </w:r>
      <w:r>
        <w:t xml:space="preserve"> </w:t>
      </w:r>
      <m:oMath>
        <m:r>
          <m:t>.015</m:t>
        </m:r>
      </m:oMath>
      <w:r>
        <w:t xml:space="preserve">. These findings reveal that the non-active Waitlist condition brought about adverse clinical change for</w:t>
      </w:r>
      <w:r>
        <w:t xml:space="preserve"> </w:t>
      </w:r>
      <m:oMath>
        <m:r>
          <m:t>10</m:t>
        </m:r>
      </m:oMath>
      <w:r>
        <w:t xml:space="preserve">% of participants with regards to social anxiety and</w:t>
      </w:r>
      <w:r>
        <w:t xml:space="preserve"> </w:t>
      </w:r>
      <m:oMath>
        <m:r>
          <m:t>18</m:t>
        </m:r>
      </m:oMath>
      <w:r>
        <w:t xml:space="preserve">% with regards to depression, highlighting the need to use caution comparing results for the treatment groups with those of the Waitlist condition, lest running the risk of artificially inflated effect sizes (especially for PHQ-9 for which estimated marginal means in fact increased over time; see Figure 3).</w:t>
      </w:r>
    </w:p>
    <w:bookmarkEnd w:id="51"/>
    <w:bookmarkEnd w:id="52"/>
    <w:bookmarkStart w:id="53" w:name="summary-of-findings"/>
    <w:p>
      <w:pPr>
        <w:pStyle w:val="Heading3"/>
      </w:pPr>
      <w:r>
        <w:t xml:space="preserve">Summary of findings</w:t>
      </w:r>
    </w:p>
    <w:p>
      <w:pPr>
        <w:pStyle w:val="FirstParagraph"/>
      </w:pPr>
      <w:r>
        <w:t xml:space="preserve">To summarize, we found large between-group effects on assertiveness of Self-help and Guided self-help participation in Respekt</w:t>
      </w:r>
      <w:r>
        <w:rPr>
          <w:vertAlign w:val="superscript"/>
        </w:rPr>
        <w:t xml:space="preserve">2</w:t>
      </w:r>
      <w:r>
        <w:t xml:space="preserve">, compared to Waitlist control. For AAA-S Adaptive and RAS at Post in the Self-help condition,</w:t>
      </w:r>
      <w:r>
        <w:t xml:space="preserve"> </w:t>
      </w:r>
      <m:oMath>
        <m:r>
          <m:t>E</m:t>
        </m:r>
        <m:r>
          <m:t>S</m:t>
        </m:r>
      </m:oMath>
      <w:r>
        <w:t xml:space="preserve"> </w:t>
      </w:r>
      <w:r>
        <w:t xml:space="preserve">=</w:t>
      </w:r>
      <w:r>
        <w:t xml:space="preserve"> </w:t>
      </w:r>
      <m:oMath>
        <m:r>
          <m:t>1.00</m:t>
        </m:r>
      </m:oMath>
      <w:r>
        <w:t xml:space="preserve"> </w:t>
      </w:r>
      <w:r>
        <w:t xml:space="preserve">and</w:t>
      </w:r>
      <w:r>
        <w:t xml:space="preserve"> </w:t>
      </w:r>
      <m:oMath>
        <m:r>
          <m:t>E</m:t>
        </m:r>
        <m:r>
          <m:t>S</m:t>
        </m:r>
      </m:oMath>
      <w:r>
        <w:t xml:space="preserve"> </w:t>
      </w:r>
      <w:r>
        <w:t xml:space="preserve">=</w:t>
      </w:r>
      <w:r>
        <w:t xml:space="preserve"> </w:t>
      </w:r>
      <m:oMath>
        <m:r>
          <m:t>1.02</m:t>
        </m:r>
      </m:oMath>
      <w:r>
        <w:t xml:space="preserve"> </w:t>
      </w:r>
      <w:r>
        <w:t xml:space="preserve">respectively. The corresponding effect sizes in the Guided self-help group was</w:t>
      </w:r>
      <w:r>
        <w:t xml:space="preserve"> </w:t>
      </w:r>
      <m:oMath>
        <m:r>
          <m:t>E</m:t>
        </m:r>
        <m:r>
          <m:t>S</m:t>
        </m:r>
      </m:oMath>
      <w:r>
        <w:t xml:space="preserve"> </w:t>
      </w:r>
      <w:r>
        <w:t xml:space="preserve">=</w:t>
      </w:r>
      <w:r>
        <w:t xml:space="preserve"> </w:t>
      </w:r>
      <m:oMath>
        <m:r>
          <m:t>.95</m:t>
        </m:r>
      </m:oMath>
      <w:r>
        <w:t xml:space="preserve"> </w:t>
      </w:r>
      <w:r>
        <w:t xml:space="preserve">and</w:t>
      </w:r>
      <w:r>
        <w:t xml:space="preserve"> </w:t>
      </w:r>
      <m:oMath>
        <m:r>
          <m:t>E</m:t>
        </m:r>
        <m:r>
          <m:t>S</m:t>
        </m:r>
      </m:oMath>
      <w:r>
        <w:t xml:space="preserve"> </w:t>
      </w:r>
      <w:r>
        <w:t xml:space="preserve">=</w:t>
      </w:r>
      <w:r>
        <w:t xml:space="preserve"> </w:t>
      </w:r>
      <m:oMath>
        <m:r>
          <m:t>1.24</m:t>
        </m:r>
      </m:oMath>
      <w:r>
        <w:t xml:space="preserve"> </w:t>
      </w:r>
      <w:r>
        <w:t xml:space="preserve">respectively. Within-group effects from Pre to Post were also large:</w:t>
      </w:r>
      <w:r>
        <w:t xml:space="preserve"> </w:t>
      </w:r>
      <m:oMath>
        <m:r>
          <m:t>E</m:t>
        </m:r>
        <m:r>
          <m:t>S</m:t>
        </m:r>
      </m:oMath>
      <w:r>
        <w:t xml:space="preserve"> </w:t>
      </w:r>
      <w:r>
        <w:t xml:space="preserve">=</w:t>
      </w:r>
      <w:r>
        <w:t xml:space="preserve"> </w:t>
      </w:r>
      <m:oMath>
        <m:r>
          <m:t>1.01</m:t>
        </m:r>
      </m:oMath>
      <w:r>
        <w:t xml:space="preserve"> </w:t>
      </w:r>
      <w:r>
        <w:t xml:space="preserve">for AAA-S Adaptive in the Self-group, and</w:t>
      </w:r>
      <w:r>
        <w:t xml:space="preserve"> </w:t>
      </w:r>
      <m:oMath>
        <m:r>
          <m:t>E</m:t>
        </m:r>
        <m:r>
          <m:t>S</m:t>
        </m:r>
      </m:oMath>
      <w:r>
        <w:t xml:space="preserve"> </w:t>
      </w:r>
      <w:r>
        <w:t xml:space="preserve">=</w:t>
      </w:r>
      <w:r>
        <w:t xml:space="preserve"> </w:t>
      </w:r>
      <m:oMath>
        <m:r>
          <m:t>.98</m:t>
        </m:r>
      </m:oMath>
      <w:r>
        <w:t xml:space="preserve"> </w:t>
      </w:r>
      <w:r>
        <w:t xml:space="preserve">in the Guided self-help group;</w:t>
      </w:r>
      <w:r>
        <w:t xml:space="preserve"> </w:t>
      </w:r>
      <m:oMath>
        <m:r>
          <m:t>E</m:t>
        </m:r>
        <m:r>
          <m:t>S</m:t>
        </m:r>
      </m:oMath>
      <w:r>
        <w:t xml:space="preserve"> </w:t>
      </w:r>
      <w:r>
        <w:t xml:space="preserve">=</w:t>
      </w:r>
      <w:r>
        <w:t xml:space="preserve"> </w:t>
      </w:r>
      <m:oMath>
        <m:r>
          <m:t>1.05</m:t>
        </m:r>
      </m:oMath>
      <w:r>
        <w:t xml:space="preserve"> </w:t>
      </w:r>
      <w:r>
        <w:t xml:space="preserve">for the RAS in the Self-group, and</w:t>
      </w:r>
      <w:r>
        <w:t xml:space="preserve"> </w:t>
      </w:r>
      <m:oMath>
        <m:r>
          <m:t>E</m:t>
        </m:r>
        <m:r>
          <m:t>S</m:t>
        </m:r>
      </m:oMath>
      <w:r>
        <w:t xml:space="preserve"> </w:t>
      </w:r>
      <w:r>
        <w:t xml:space="preserve">=</w:t>
      </w:r>
      <w:r>
        <w:t xml:space="preserve"> </w:t>
      </w:r>
      <m:oMath>
        <m:r>
          <m:t>1.32</m:t>
        </m:r>
      </m:oMath>
      <w:r>
        <w:t xml:space="preserve"> </w:t>
      </w:r>
      <w:r>
        <w:t xml:space="preserve">in the Guided self-help group. For AAA-S Adaptive in the Guided self-group, the</w:t>
      </w:r>
      <w:r>
        <w:t xml:space="preserve"> </w:t>
      </w:r>
      <m:oMath>
        <m:r>
          <m:t>E</m:t>
        </m:r>
        <m:r>
          <m:t>S</m:t>
        </m:r>
      </m:oMath>
      <w:r>
        <w:t xml:space="preserve"> </w:t>
      </w:r>
      <w:r>
        <w:t xml:space="preserve">=</w:t>
      </w:r>
      <w:r>
        <w:t xml:space="preserve"> </w:t>
      </w:r>
      <m:oMath>
        <m:r>
          <m:t>.34</m:t>
        </m:r>
      </m:oMath>
      <w:r>
        <w:t xml:space="preserve"> </w:t>
      </w:r>
      <w:r>
        <w:t xml:space="preserve">increase at 1 year Follow-up was also significant. No significant time</w:t>
      </w:r>
      <w:r>
        <w:t xml:space="preserve"> </w:t>
      </w:r>
      <w:r>
        <w:t xml:space="preserve"> </w:t>
      </w:r>
      <w:r>
        <w:t xml:space="preserve">group interaction was found for AAA-S Aggressive. Clinically speaking,</w:t>
      </w:r>
      <w:r>
        <w:t xml:space="preserve"> </w:t>
      </w:r>
      <m:oMath>
        <m:r>
          <m:t>n</m:t>
        </m:r>
      </m:oMath>
      <w:r>
        <w:t xml:space="preserve"> </w:t>
      </w:r>
      <w:r>
        <w:t xml:space="preserve">= 15 (22%) of participants in the Self-help group had recovered with regards to AAA-S Adaptive at Follow-up, while</w:t>
      </w:r>
      <w:r>
        <w:t xml:space="preserve"> </w:t>
      </w:r>
      <m:oMath>
        <m:r>
          <m:t>n</m:t>
        </m:r>
      </m:oMath>
      <w:r>
        <w:t xml:space="preserve"> </w:t>
      </w:r>
      <w:r>
        <w:t xml:space="preserve">= 18 (26%) of participants in the Guided self-help group had recovered at the same time point. The corresponding recovery rates for RAS were</w:t>
      </w:r>
      <w:r>
        <w:t xml:space="preserve"> </w:t>
      </w:r>
      <m:oMath>
        <m:r>
          <m:t>n</m:t>
        </m:r>
      </m:oMath>
      <w:r>
        <w:t xml:space="preserve"> </w:t>
      </w:r>
      <w:r>
        <w:t xml:space="preserve">= 21 (31%) and</w:t>
      </w:r>
      <w:r>
        <w:t xml:space="preserve"> </w:t>
      </w:r>
      <m:oMath>
        <m:r>
          <m:t>n</m:t>
        </m:r>
      </m:oMath>
      <w:r>
        <w:t xml:space="preserve"> </w:t>
      </w:r>
      <w:r>
        <w:t xml:space="preserve">= 25 (36%). We conclude that Respekt</w:t>
      </w:r>
      <w:r>
        <w:rPr>
          <w:vertAlign w:val="superscript"/>
        </w:rPr>
        <w:t xml:space="preserve">2</w:t>
      </w:r>
      <w:r>
        <w:t xml:space="preserve"> </w:t>
      </w:r>
      <w:r>
        <w:t xml:space="preserve">did indeed help participants act more assertively, although not more aggressively, and that the effects were either sustained or more pronounced 1 year after the intervention.</w:t>
      </w:r>
    </w:p>
    <w:p>
      <w:pPr>
        <w:pStyle w:val="BodyText"/>
      </w:pPr>
      <w:r>
        <w:t xml:space="preserve">Assessing the effect of the Respekt</w:t>
      </w:r>
      <w:r>
        <w:rPr>
          <w:vertAlign w:val="superscript"/>
        </w:rPr>
        <w:t xml:space="preserve">2</w:t>
      </w:r>
      <w:r>
        <w:t xml:space="preserve"> </w:t>
      </w:r>
      <w:r>
        <w:t xml:space="preserve">intervention on symptom burden with respect to depression and common anxiety disorders, we found no significant effects at Post for PHQ-9 or LSAS-SR in the Self-help group, compared with Waitlist. At Follow-up, however, we found a large between-group effect on LSAS-SR,</w:t>
      </w:r>
      <w:r>
        <w:t xml:space="preserve"> </w:t>
      </w:r>
      <m:oMath>
        <m:r>
          <m:t>E</m:t>
        </m:r>
        <m:r>
          <m:t>S</m:t>
        </m:r>
      </m:oMath>
      <w:r>
        <w:t xml:space="preserve"> </w:t>
      </w:r>
      <w:r>
        <w:t xml:space="preserve">=</w:t>
      </w:r>
      <w:r>
        <w:t xml:space="preserve"> </w:t>
      </w:r>
      <m:oMath>
        <m:r>
          <m:t>.90</m:t>
        </m:r>
      </m:oMath>
      <w:r>
        <w:t xml:space="preserve">. Effects were also found in the Guided self-help group, where participants were supported by therapists: Compared with waitlist, participants exhibited moderate effects at Post for PHQ-9,</w:t>
      </w:r>
      <w:r>
        <w:t xml:space="preserve"> </w:t>
      </w:r>
      <m:oMath>
        <m:r>
          <m:t>E</m:t>
        </m:r>
        <m:r>
          <m:t>S</m:t>
        </m:r>
      </m:oMath>
      <w:r>
        <w:t xml:space="preserve"> </w:t>
      </w:r>
      <w:r>
        <w:t xml:space="preserve">=</w:t>
      </w:r>
      <w:r>
        <w:t xml:space="preserve"> </w:t>
      </w:r>
      <m:oMath>
        <m:r>
          <m:t>.77</m:t>
        </m:r>
      </m:oMath>
      <w:r>
        <w:t xml:space="preserve">, and LSAS-SR,</w:t>
      </w:r>
      <w:r>
        <w:t xml:space="preserve"> </w:t>
      </w:r>
      <m:oMath>
        <m:r>
          <m:t>E</m:t>
        </m:r>
        <m:r>
          <m:t>S</m:t>
        </m:r>
      </m:oMath>
      <w:r>
        <w:t xml:space="preserve"> </w:t>
      </w:r>
      <w:r>
        <w:t xml:space="preserve">=</w:t>
      </w:r>
      <w:r>
        <w:t xml:space="preserve"> </w:t>
      </w:r>
      <m:oMath>
        <m:r>
          <m:t>.67</m:t>
        </m:r>
      </m:oMath>
      <w:r>
        <w:t xml:space="preserve"> </w:t>
      </w:r>
      <w:r>
        <w:t xml:space="preserve">respectively, as well as a large effect only for LSAS-SR at Follow-up,</w:t>
      </w:r>
      <w:r>
        <w:t xml:space="preserve"> </w:t>
      </w:r>
      <m:oMath>
        <m:r>
          <m:t>E</m:t>
        </m:r>
        <m:r>
          <m:t>S</m:t>
        </m:r>
      </m:oMath>
      <w:r>
        <w:t xml:space="preserve"> </w:t>
      </w:r>
      <w:r>
        <w:t xml:space="preserve">=</w:t>
      </w:r>
      <w:r>
        <w:t xml:space="preserve"> </w:t>
      </w:r>
      <m:oMath>
        <m:r>
          <m:t>.93</m:t>
        </m:r>
      </m:oMath>
      <w:r>
        <w:t xml:space="preserve">. There was no significant time</w:t>
      </w:r>
      <w:r>
        <w:t xml:space="preserve"> </w:t>
      </w:r>
      <w:r>
        <w:t xml:space="preserve"> </w:t>
      </w:r>
      <w:r>
        <w:t xml:space="preserve">group interaction for generalized anxiety, as measured with GAD-7, however. Within-group comparisons revealed moderate effects in the Self-help group for LSAS-SR,</w:t>
      </w:r>
      <w:r>
        <w:t xml:space="preserve"> </w:t>
      </w:r>
      <m:oMath>
        <m:r>
          <m:t>E</m:t>
        </m:r>
        <m:r>
          <m:t>S</m:t>
        </m:r>
      </m:oMath>
      <w:r>
        <w:t xml:space="preserve"> </w:t>
      </w:r>
      <w:r>
        <w:t xml:space="preserve">=</w:t>
      </w:r>
      <w:r>
        <w:t xml:space="preserve"> </w:t>
      </w:r>
      <m:oMath>
        <m:r>
          <m:t>.65</m:t>
        </m:r>
      </m:oMath>
      <w:r>
        <w:t xml:space="preserve"> </w:t>
      </w:r>
      <w:r>
        <w:t xml:space="preserve">Pre–Post, and large effects</w:t>
      </w:r>
      <w:r>
        <w:t xml:space="preserve"> </w:t>
      </w:r>
      <m:oMath>
        <m:r>
          <m:t>E</m:t>
        </m:r>
        <m:r>
          <m:t>S</m:t>
        </m:r>
      </m:oMath>
      <w:r>
        <w:t xml:space="preserve"> </w:t>
      </w:r>
      <w:r>
        <w:t xml:space="preserve">=</w:t>
      </w:r>
      <w:r>
        <w:t xml:space="preserve"> </w:t>
      </w:r>
      <m:oMath>
        <m:r>
          <m:t>.98</m:t>
        </m:r>
      </m:oMath>
      <w:r>
        <w:t xml:space="preserve"> </w:t>
      </w:r>
      <w:r>
        <w:t xml:space="preserve">Pre–Follow-up. Similar effects were found in the Guided self-help group,</w:t>
      </w:r>
      <w:r>
        <w:t xml:space="preserve"> </w:t>
      </w:r>
      <m:oMath>
        <m:r>
          <m:t>E</m:t>
        </m:r>
        <m:r>
          <m:t>S</m:t>
        </m:r>
      </m:oMath>
      <w:r>
        <w:t xml:space="preserve"> </w:t>
      </w:r>
      <w:r>
        <w:t xml:space="preserve">=</w:t>
      </w:r>
      <w:r>
        <w:t xml:space="preserve"> </w:t>
      </w:r>
      <m:oMath>
        <m:r>
          <m:t>.63</m:t>
        </m:r>
      </m:oMath>
      <w:r>
        <w:t xml:space="preserve"> </w:t>
      </w:r>
      <w:r>
        <w:t xml:space="preserve">Pre–Post, and</w:t>
      </w:r>
      <w:r>
        <w:t xml:space="preserve"> </w:t>
      </w:r>
      <m:oMath>
        <m:r>
          <m:t>E</m:t>
        </m:r>
        <m:r>
          <m:t>S</m:t>
        </m:r>
      </m:oMath>
      <w:r>
        <w:t xml:space="preserve"> </w:t>
      </w:r>
      <w:r>
        <w:t xml:space="preserve">=</w:t>
      </w:r>
      <w:r>
        <w:t xml:space="preserve"> </w:t>
      </w:r>
      <m:oMath>
        <m:r>
          <m:t>.91</m:t>
        </m:r>
      </m:oMath>
      <w:r>
        <w:t xml:space="preserve"> </w:t>
      </w:r>
      <w:r>
        <w:t xml:space="preserve">Pre–Follow-up. A moderate effect was found for PHQ-9 Pre–Follow-up for the Guided self-help group,</w:t>
      </w:r>
      <w:r>
        <w:t xml:space="preserve"> </w:t>
      </w:r>
      <m:oMath>
        <m:r>
          <m:t>E</m:t>
        </m:r>
        <m:r>
          <m:t>S</m:t>
        </m:r>
      </m:oMath>
      <w:r>
        <w:t xml:space="preserve"> </w:t>
      </w:r>
      <w:r>
        <w:t xml:space="preserve">=</w:t>
      </w:r>
      <w:r>
        <w:t xml:space="preserve"> </w:t>
      </w:r>
      <m:oMath>
        <m:r>
          <m:t>.53</m:t>
        </m:r>
      </m:oMath>
      <w:r>
        <w:t xml:space="preserve">. These findings were supplemented by the analysis of clinical significant change, where,</w:t>
      </w:r>
      <w:r>
        <w:t xml:space="preserve"> </w:t>
      </w:r>
      <m:oMath>
        <m:r>
          <m:t>n</m:t>
        </m:r>
      </m:oMath>
      <w:r>
        <w:t xml:space="preserve"> </w:t>
      </w:r>
      <w:r>
        <w:t xml:space="preserve">= 14 (21%) had recovered from social anxiety at Follow-up in the Self-help group, and</w:t>
      </w:r>
      <w:r>
        <w:t xml:space="preserve"> </w:t>
      </w:r>
      <m:oMath>
        <m:r>
          <m:t>n</m:t>
        </m:r>
      </m:oMath>
      <w:r>
        <w:t xml:space="preserve"> </w:t>
      </w:r>
      <w:r>
        <w:t xml:space="preserve">= 18 (26%) in the group that were guided by therapists. In addition,</w:t>
      </w:r>
      <w:r>
        <w:t xml:space="preserve"> </w:t>
      </w:r>
      <m:oMath>
        <m:r>
          <m:t>n</m:t>
        </m:r>
      </m:oMath>
      <w:r>
        <w:t xml:space="preserve"> </w:t>
      </w:r>
      <w:r>
        <w:t xml:space="preserve">= 18 (26%) in the Guided self-help group had recovered from depression at Follow-up. Thus, we found that Respekt</w:t>
      </w:r>
      <w:r>
        <w:rPr>
          <w:vertAlign w:val="superscript"/>
        </w:rPr>
        <w:t xml:space="preserve">2</w:t>
      </w:r>
      <w:r>
        <w:t xml:space="preserve"> </w:t>
      </w:r>
      <w:r>
        <w:t xml:space="preserve">clearly reduced symptoms of social anxiety across both treatment conditions, and over time somewhat reduced symptoms of depression among participants that were guided by therapists.</w:t>
      </w:r>
    </w:p>
    <w:bookmarkEnd w:id="53"/>
    <w:bookmarkEnd w:id="54"/>
    <w:bookmarkEnd w:id="55"/>
    <w:bookmarkStart w:id="136" w:name="discussion"/>
    <w:p>
      <w:pPr>
        <w:pStyle w:val="Heading1"/>
      </w:pPr>
      <w:r>
        <w:t xml:space="preserve">Discussion</w:t>
      </w:r>
    </w:p>
    <w:p>
      <w:pPr>
        <w:pStyle w:val="FirstParagraph"/>
      </w:pPr>
      <w:r>
        <w:t xml:space="preserve">Contextualize the current study,</w:t>
      </w:r>
      <w:r>
        <w:t xml:space="preserve"> </w:t>
      </w:r>
      <w:r>
        <w:t xml:space="preserve">Speed et al. (</w:t>
      </w:r>
      <w:hyperlink w:anchor="ref-Speed2018a">
        <w:r>
          <w:rPr>
            <w:rStyle w:val="Hyperlink"/>
          </w:rPr>
          <w:t xml:space="preserve">2018</w:t>
        </w:r>
      </w:hyperlink>
      <w:r>
        <w:t xml:space="preserve">)</w:t>
      </w:r>
    </w:p>
    <w:p>
      <w:pPr>
        <w:pStyle w:val="BodyText"/>
      </w:pPr>
      <w:r>
        <w:t xml:space="preserve">Restate effects, compare to literature,</w:t>
      </w:r>
      <w:r>
        <w:t xml:space="preserve"> </w:t>
      </w:r>
      <w:r>
        <w:t xml:space="preserve">Andersson et al. (</w:t>
      </w:r>
      <w:hyperlink w:anchor="ref-Andersson2013">
        <w:r>
          <w:rPr>
            <w:rStyle w:val="Hyperlink"/>
          </w:rPr>
          <w:t xml:space="preserve">2013</w:t>
        </w:r>
      </w:hyperlink>
      <w:r>
        <w:t xml:space="preserve">)</w:t>
      </w:r>
    </w:p>
    <w:p>
      <w:pPr>
        <w:pStyle w:val="BodyText"/>
      </w:pPr>
      <w:r>
        <w:t xml:space="preserve">Being guided by a therapist does seem to entail some advantages, especially for longer-term outcomes. In the Guided self-help group, adaptive assertiveness had increased between end of treatment and 1-year Follow-up, and depression had decreased from pre-treatment to 1-year Follow-up. These phenomena were not observed in the group where the participants were engaging with the intervention on their own. Speculatively, this might be explained by either increased</w:t>
      </w:r>
      <w:r>
        <w:t xml:space="preserve"> </w:t>
      </w:r>
      <w:r>
        <w:rPr>
          <w:iCs/>
          <w:i/>
        </w:rPr>
        <w:t xml:space="preserve">willingness</w:t>
      </w:r>
      <w:r>
        <w:t xml:space="preserve"> </w:t>
      </w:r>
      <w:r>
        <w:t xml:space="preserve">to participate in behavioral experiments through the effects of coaching, an increased</w:t>
      </w:r>
      <w:r>
        <w:t xml:space="preserve"> </w:t>
      </w:r>
      <w:r>
        <w:rPr>
          <w:iCs/>
          <w:i/>
        </w:rPr>
        <w:t xml:space="preserve">ability to engage</w:t>
      </w:r>
      <w:r>
        <w:t xml:space="preserve"> </w:t>
      </w:r>
      <w:r>
        <w:t xml:space="preserve">in behavioral experiments through active problem solving with the therapist, or increased</w:t>
      </w:r>
      <w:r>
        <w:t xml:space="preserve"> </w:t>
      </w:r>
      <w:r>
        <w:rPr>
          <w:iCs/>
          <w:i/>
        </w:rPr>
        <w:t xml:space="preserve">ability to generalize</w:t>
      </w:r>
      <w:r>
        <w:t xml:space="preserve"> </w:t>
      </w:r>
      <w:r>
        <w:t xml:space="preserve">findings from such experiments through better compliance to homework, or any combination of such factors. To dismantle the difference … (Följa upp på något sätt? Kolla antal inloggningar? Antal meddelanden som skickats? Något för en annan artikel? Hur som helst, kolla litteraturen, jämför med andras fynd.)</w:t>
      </w:r>
    </w:p>
    <w:p>
      <w:pPr>
        <w:pStyle w:val="BodyText"/>
      </w:pPr>
      <w:r>
        <w:t xml:space="preserve">Although the effect sizes between groups and within treatment groups were substantial in the Respekt</w:t>
      </w:r>
      <w:r>
        <w:rPr>
          <w:vertAlign w:val="superscript"/>
        </w:rPr>
        <w:t xml:space="preserve">2</w:t>
      </w:r>
      <w:r>
        <w:t xml:space="preserve"> </w:t>
      </w:r>
      <w:r>
        <w:t xml:space="preserve">intervention, it is difficult to transfer the findings to the general population. Firstly, X, secondly, Y, … The current study also suffers from a number of limitations, among them Å (operationalization of</w:t>
      </w:r>
      <w:r>
        <w:t xml:space="preserve"> </w:t>
      </w:r>
      <w:r>
        <w:t xml:space="preserve">‘</w:t>
      </w:r>
      <w:r>
        <w:t xml:space="preserve">assertiveness</w:t>
      </w:r>
      <w:r>
        <w:t xml:space="preserve">’</w:t>
      </w:r>
      <w:r>
        <w:t xml:space="preserve">), Ä (no validated scales) and Ö (?). However, it is intriguing that …, and merits further investigation. Directions for future research could include …</w:t>
      </w:r>
    </w:p>
    <w:p>
      <w:pPr>
        <w:pStyle w:val="BodyText"/>
      </w:pPr>
      <w:r>
        <w:t xml:space="preserve">Lösrykta tankar/stycken att utveckla och sammanfoga till en helhet:</w:t>
      </w:r>
    </w:p>
    <w:p>
      <w:pPr>
        <w:numPr>
          <w:ilvl w:val="0"/>
          <w:numId w:val="1002"/>
        </w:numPr>
      </w:pPr>
      <w:r>
        <w:t xml:space="preserve">Diskutera huvudeffekter för AAA-S Aggressive och GAD-7 trots avsaknad av interation tid x grupp? Hur tänka?</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Hade varit bättre med också random slopes.</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5" w:name="references"/>
    <w:p>
      <w:pPr>
        <w:pStyle w:val="Heading2"/>
      </w:pPr>
      <w:r>
        <w:t xml:space="preserve">References</w:t>
      </w:r>
    </w:p>
    <w:bookmarkStart w:id="134" w:name="refs"/>
    <w:bookmarkStart w:id="56"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6"/>
    <w:bookmarkStart w:id="57"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7"/>
    <w:bookmarkStart w:id="59" w:name="ref-Andersson2013"/>
    <w:p>
      <w:pPr>
        <w:pStyle w:val="Bibliography"/>
      </w:pPr>
      <w:r>
        <w:t xml:space="preserve">Andersson, G., Carlbring, P., Ljótsson, B., &amp; Hedman, E. (2013). Guided internet-based CBT for common mental disorders.</w:t>
      </w:r>
      <w:r>
        <w:t xml:space="preserve"> </w:t>
      </w:r>
      <w:r>
        <w:rPr>
          <w:iCs/>
          <w:i/>
        </w:rPr>
        <w:t xml:space="preserve">Journal of Contemporary Psychotherapy</w:t>
      </w:r>
      <w:r>
        <w:t xml:space="preserve">,</w:t>
      </w:r>
      <w:r>
        <w:t xml:space="preserve"> </w:t>
      </w:r>
      <w:r>
        <w:rPr>
          <w:iCs/>
          <w:i/>
        </w:rPr>
        <w:t xml:space="preserve">43</w:t>
      </w:r>
      <w:r>
        <w:t xml:space="preserve">, 223–233.</w:t>
      </w:r>
      <w:r>
        <w:t xml:space="preserve"> </w:t>
      </w:r>
      <w:hyperlink r:id="rId58">
        <w:r>
          <w:rPr>
            <w:rStyle w:val="Hyperlink"/>
          </w:rPr>
          <w:t xml:space="preserve">https://doi.org/10.1007/s10879-013-9237-9</w:t>
        </w:r>
      </w:hyperlink>
    </w:p>
    <w:bookmarkEnd w:id="59"/>
    <w:bookmarkStart w:id="61"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60">
        <w:r>
          <w:rPr>
            <w:rStyle w:val="Hyperlink"/>
          </w:rPr>
          <w:t xml:space="preserve">https://doi.org/10.1016/j.janxdis.2018.01.001</w:t>
        </w:r>
      </w:hyperlink>
    </w:p>
    <w:bookmarkEnd w:id="61"/>
    <w:bookmarkStart w:id="63"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62">
        <w:r>
          <w:rPr>
            <w:rStyle w:val="Hyperlink"/>
          </w:rPr>
          <w:t xml:space="preserve">https://doi.org/10.4018/978-1-4666-5942-1</w:t>
        </w:r>
      </w:hyperlink>
    </w:p>
    <w:bookmarkEnd w:id="63"/>
    <w:bookmarkStart w:id="65"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4">
        <w:r>
          <w:rPr>
            <w:rStyle w:val="Hyperlink"/>
          </w:rPr>
          <w:t xml:space="preserve">https://doi.org/10.1016/j.invent.2014.08.003</w:t>
        </w:r>
      </w:hyperlink>
    </w:p>
    <w:bookmarkEnd w:id="65"/>
    <w:bookmarkStart w:id="66"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6"/>
    <w:bookmarkStart w:id="68"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7">
        <w:r>
          <w:rPr>
            <w:rStyle w:val="Hyperlink"/>
          </w:rPr>
          <w:t xml:space="preserve">https://doi.org/10.1080/16506073.2017.1401115</w:t>
        </w:r>
      </w:hyperlink>
    </w:p>
    <w:bookmarkEnd w:id="68"/>
    <w:bookmarkStart w:id="70"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9">
        <w:r>
          <w:rPr>
            <w:rStyle w:val="Hyperlink"/>
          </w:rPr>
          <w:t xml:space="preserve">https://doi.org/10.1146/annurev.psych.52.1.685</w:t>
        </w:r>
      </w:hyperlink>
    </w:p>
    <w:bookmarkEnd w:id="70"/>
    <w:bookmarkStart w:id="72"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73"/>
    <w:bookmarkStart w:id="75"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4">
        <w:r>
          <w:rPr>
            <w:rStyle w:val="Hyperlink"/>
          </w:rPr>
          <w:t xml:space="preserve">https://CRAN.R-project.org/package=clinicalsignificance</w:t>
        </w:r>
      </w:hyperlink>
    </w:p>
    <w:bookmarkEnd w:id="75"/>
    <w:bookmarkStart w:id="76"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6"/>
    <w:bookmarkStart w:id="78"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83"/>
    <w:bookmarkStart w:id="85"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4">
        <w:r>
          <w:rPr>
            <w:rStyle w:val="Hyperlink"/>
          </w:rPr>
          <w:t xml:space="preserve">https://doi.org/10.1017/S0033291701004056</w:t>
        </w:r>
      </w:hyperlink>
    </w:p>
    <w:bookmarkEnd w:id="85"/>
    <w:bookmarkStart w:id="87"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6">
        <w:r>
          <w:rPr>
            <w:rStyle w:val="Hyperlink"/>
          </w:rPr>
          <w:t xml:space="preserve">https://doi.org/10.1111/acps.12275</w:t>
        </w:r>
      </w:hyperlink>
    </w:p>
    <w:bookmarkEnd w:id="87"/>
    <w:bookmarkStart w:id="88"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8"/>
    <w:bookmarkStart w:id="90"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9">
        <w:r>
          <w:rPr>
            <w:rStyle w:val="Hyperlink"/>
          </w:rPr>
          <w:t xml:space="preserve">https://www.random.org</w:t>
        </w:r>
      </w:hyperlink>
      <w:r>
        <w:t xml:space="preserve">.</w:t>
      </w:r>
    </w:p>
    <w:bookmarkEnd w:id="90"/>
    <w:bookmarkStart w:id="92"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91">
        <w:r>
          <w:rPr>
            <w:rStyle w:val="Hyperlink"/>
          </w:rPr>
          <w:t xml:space="preserve">https://doi.org/10.1016/S0005-7894(04)80013-3</w:t>
        </w:r>
      </w:hyperlink>
    </w:p>
    <w:bookmarkEnd w:id="92"/>
    <w:bookmarkStart w:id="94"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93">
        <w:r>
          <w:rPr>
            <w:rStyle w:val="Hyperlink"/>
          </w:rPr>
          <w:t xml:space="preserve">https://doi.org/10.1007/s10608-012-9476-1</w:t>
        </w:r>
      </w:hyperlink>
    </w:p>
    <w:bookmarkEnd w:id="94"/>
    <w:bookmarkStart w:id="95"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5"/>
    <w:bookmarkStart w:id="97"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8">
        <w:r>
          <w:rPr>
            <w:rStyle w:val="Hyperlink"/>
          </w:rPr>
          <w:t xml:space="preserve">https://github.com/runehaubo/lmerTestR</w:t>
        </w:r>
      </w:hyperlink>
    </w:p>
    <w:bookmarkEnd w:id="99"/>
    <w:bookmarkStart w:id="101"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100">
        <w:r>
          <w:rPr>
            <w:rStyle w:val="Hyperlink"/>
          </w:rPr>
          <w:t xml:space="preserve">https://cran.r-project.org/package=emmeans</w:t>
        </w:r>
      </w:hyperlink>
    </w:p>
    <w:bookmarkEnd w:id="101"/>
    <w:bookmarkStart w:id="103"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102">
        <w:r>
          <w:rPr>
            <w:rStyle w:val="Hyperlink"/>
          </w:rPr>
          <w:t xml:space="preserve">https://doi.org/10.1016/B978-0-12-404480-7.50013-7</w:t>
        </w:r>
      </w:hyperlink>
    </w:p>
    <w:bookmarkEnd w:id="103"/>
    <w:bookmarkStart w:id="104"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4"/>
    <w:bookmarkStart w:id="106"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5">
        <w:r>
          <w:rPr>
            <w:rStyle w:val="Hyperlink"/>
          </w:rPr>
          <w:t xml:space="preserve">https://doi.org/10.21105/joss.00772</w:t>
        </w:r>
      </w:hyperlink>
    </w:p>
    <w:bookmarkEnd w:id="106"/>
    <w:bookmarkStart w:id="108"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7">
        <w:r>
          <w:rPr>
            <w:rStyle w:val="Hyperlink"/>
          </w:rPr>
          <w:t xml:space="preserve">https://easystats.github.io/performance/</w:t>
        </w:r>
      </w:hyperlink>
    </w:p>
    <w:bookmarkEnd w:id="108"/>
    <w:bookmarkStart w:id="110"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9">
        <w:r>
          <w:rPr>
            <w:rStyle w:val="Hyperlink"/>
          </w:rPr>
          <w:t xml:space="preserve">www.cci.health.wa.gov.au/Resources/Looking-After-Yourself/Assertiveness</w:t>
        </w:r>
      </w:hyperlink>
    </w:p>
    <w:bookmarkEnd w:id="110"/>
    <w:bookmarkStart w:id="111"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11"/>
    <w:bookmarkStart w:id="112"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12"/>
    <w:bookmarkStart w:id="114"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13">
        <w:r>
          <w:rPr>
            <w:rStyle w:val="Hyperlink"/>
          </w:rPr>
          <w:t xml:space="preserve">https://doi.org/10.1016/S0005-7894(73)80120-0</w:t>
        </w:r>
      </w:hyperlink>
    </w:p>
    <w:bookmarkEnd w:id="114"/>
    <w:bookmarkStart w:id="116"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5">
        <w:r>
          <w:rPr>
            <w:rStyle w:val="Hyperlink"/>
          </w:rPr>
          <w:t xml:space="preserve">https://doi.org/10.1037/ccp0000023</w:t>
        </w:r>
      </w:hyperlink>
    </w:p>
    <w:bookmarkEnd w:id="116"/>
    <w:bookmarkStart w:id="118"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7">
        <w:r>
          <w:rPr>
            <w:rStyle w:val="Hyperlink"/>
          </w:rPr>
          <w:t xml:space="preserve">https://doi.org/10.1016/j.brat.2017.05.015</w:t>
        </w:r>
      </w:hyperlink>
    </w:p>
    <w:bookmarkEnd w:id="118"/>
    <w:bookmarkStart w:id="119"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9"/>
    <w:bookmarkStart w:id="121"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20">
        <w:r>
          <w:rPr>
            <w:rStyle w:val="Hyperlink"/>
          </w:rPr>
          <w:t xml:space="preserve">https://sealedenvelope.com/simple-randomiser/v1</w:t>
        </w:r>
      </w:hyperlink>
      <w:r>
        <w:t xml:space="preserve">.</w:t>
      </w:r>
    </w:p>
    <w:bookmarkEnd w:id="121"/>
    <w:bookmarkStart w:id="122"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22"/>
    <w:bookmarkStart w:id="124"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23">
        <w:r>
          <w:rPr>
            <w:rStyle w:val="Hyperlink"/>
          </w:rPr>
          <w:t xml:space="preserve">https://doi.org/10.1111/cpsp.12216</w:t>
        </w:r>
      </w:hyperlink>
    </w:p>
    <w:bookmarkEnd w:id="124"/>
    <w:bookmarkStart w:id="126"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5">
        <w:r>
          <w:rPr>
            <w:rStyle w:val="Hyperlink"/>
          </w:rPr>
          <w:t xml:space="preserve">https://doi.org/10.1001/archinte.166.10.1092</w:t>
        </w:r>
      </w:hyperlink>
    </w:p>
    <w:bookmarkEnd w:id="126"/>
    <w:bookmarkStart w:id="128"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7">
        <w:r>
          <w:rPr>
            <w:rStyle w:val="Hyperlink"/>
          </w:rPr>
          <w:t xml:space="preserve">https://doi.org/10.1007/s10862-011-9226-9</w:t>
        </w:r>
      </w:hyperlink>
    </w:p>
    <w:bookmarkEnd w:id="128"/>
    <w:bookmarkStart w:id="130"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9">
        <w:r>
          <w:rPr>
            <w:rStyle w:val="Hyperlink"/>
          </w:rPr>
          <w:t xml:space="preserve">https://doi.org/10.1007/s10942-018-0296-4</w:t>
        </w:r>
      </w:hyperlink>
    </w:p>
    <w:bookmarkEnd w:id="130"/>
    <w:bookmarkStart w:id="131"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31"/>
    <w:bookmarkStart w:id="132" w:name="ref-wolpe1990practice"/>
    <w:p>
      <w:pPr>
        <w:pStyle w:val="Bibliography"/>
      </w:pPr>
      <w:r>
        <w:t xml:space="preserve">Wolpe, J. (1990).</w:t>
      </w:r>
      <w:r>
        <w:t xml:space="preserve"> </w:t>
      </w:r>
      <w:r>
        <w:rPr>
          <w:iCs/>
          <w:i/>
        </w:rPr>
        <w:t xml:space="preserve">The practice of behavior therapy</w:t>
      </w:r>
      <w:r>
        <w:t xml:space="preserve">. Pergamon Press.</w:t>
      </w:r>
    </w:p>
    <w:bookmarkEnd w:id="132"/>
    <w:bookmarkStart w:id="133"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33"/>
    <w:bookmarkEnd w:id="134"/>
    <w:bookmarkEnd w:id="135"/>
    <w:bookmarkEnd w:id="13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5"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93" Target="https://doi.org/10.1007/s10608-012-9476-1" TargetMode="External" /><Relationship Type="http://schemas.openxmlformats.org/officeDocument/2006/relationships/hyperlink" Id="rId127" Target="https://doi.org/10.1007/s10862-011-9226-9" TargetMode="External" /><Relationship Type="http://schemas.openxmlformats.org/officeDocument/2006/relationships/hyperlink" Id="rId58" Target="https://doi.org/10.1007/s10879-013-9237-9" TargetMode="External" /><Relationship Type="http://schemas.openxmlformats.org/officeDocument/2006/relationships/hyperlink" Id="rId129"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3"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7"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4"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5" Target="https://doi.org/10.1037/ccp0000023" TargetMode="External" /><Relationship Type="http://schemas.openxmlformats.org/officeDocument/2006/relationships/hyperlink" Id="rId67" Target="https://doi.org/10.1080/16506073.2017.1401115" TargetMode="External" /><Relationship Type="http://schemas.openxmlformats.org/officeDocument/2006/relationships/hyperlink" Id="rId86" Target="https://doi.org/10.1111/acps.12275" TargetMode="External" /><Relationship Type="http://schemas.openxmlformats.org/officeDocument/2006/relationships/hyperlink" Id="rId123" Target="https://doi.org/10.1111/cpsp.12216" TargetMode="External" /><Relationship Type="http://schemas.openxmlformats.org/officeDocument/2006/relationships/hyperlink" Id="rId69" Target="https://doi.org/10.1146/annurev.psych.52.1.685" TargetMode="External" /><Relationship Type="http://schemas.openxmlformats.org/officeDocument/2006/relationships/hyperlink" Id="rId105" Target="https://doi.org/10.21105/joss.00772" TargetMode="External" /><Relationship Type="http://schemas.openxmlformats.org/officeDocument/2006/relationships/hyperlink" Id="rId62"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0"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9"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25"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93" Target="https://doi.org/10.1007/s10608-012-9476-1" TargetMode="External" /><Relationship Type="http://schemas.openxmlformats.org/officeDocument/2006/relationships/hyperlink" Id="rId127" Target="https://doi.org/10.1007/s10862-011-9226-9" TargetMode="External" /><Relationship Type="http://schemas.openxmlformats.org/officeDocument/2006/relationships/hyperlink" Id="rId58" Target="https://doi.org/10.1007/s10879-013-9237-9" TargetMode="External" /><Relationship Type="http://schemas.openxmlformats.org/officeDocument/2006/relationships/hyperlink" Id="rId129"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2" Target="https://doi.org/10.1016/B978-0-12-404480-7.50013-7" TargetMode="External" /><Relationship Type="http://schemas.openxmlformats.org/officeDocument/2006/relationships/hyperlink" Id="rId91" Target="https://doi.org/10.1016/S0005-7894(04)80013-3" TargetMode="External" /><Relationship Type="http://schemas.openxmlformats.org/officeDocument/2006/relationships/hyperlink" Id="rId113"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17"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4" Target="https://doi.org/10.1016/j.invent.2014.08.003" TargetMode="External" /><Relationship Type="http://schemas.openxmlformats.org/officeDocument/2006/relationships/hyperlink" Id="rId60" Target="https://doi.org/10.1016/j.janxdis.2018.01.001" TargetMode="External" /><Relationship Type="http://schemas.openxmlformats.org/officeDocument/2006/relationships/hyperlink" Id="rId84" Target="https://doi.org/10.1017/S0033291701004056" TargetMode="External" /><Relationship Type="http://schemas.openxmlformats.org/officeDocument/2006/relationships/hyperlink" Id="rId115" Target="https://doi.org/10.1037/ccp0000023" TargetMode="External" /><Relationship Type="http://schemas.openxmlformats.org/officeDocument/2006/relationships/hyperlink" Id="rId67" Target="https://doi.org/10.1080/16506073.2017.1401115" TargetMode="External" /><Relationship Type="http://schemas.openxmlformats.org/officeDocument/2006/relationships/hyperlink" Id="rId86" Target="https://doi.org/10.1111/acps.12275" TargetMode="External" /><Relationship Type="http://schemas.openxmlformats.org/officeDocument/2006/relationships/hyperlink" Id="rId123" Target="https://doi.org/10.1111/cpsp.12216" TargetMode="External" /><Relationship Type="http://schemas.openxmlformats.org/officeDocument/2006/relationships/hyperlink" Id="rId69" Target="https://doi.org/10.1146/annurev.psych.52.1.685" TargetMode="External" /><Relationship Type="http://schemas.openxmlformats.org/officeDocument/2006/relationships/hyperlink" Id="rId105" Target="https://doi.org/10.21105/joss.00772" TargetMode="External" /><Relationship Type="http://schemas.openxmlformats.org/officeDocument/2006/relationships/hyperlink" Id="rId62" Target="https://doi.org/10.4018/978-1-4666-5942-1" TargetMode="External" /><Relationship Type="http://schemas.openxmlformats.org/officeDocument/2006/relationships/hyperlink" Id="rId107"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20" Target="https://sealedenvelope.com/simple-randomiser/v1" TargetMode="External" /><Relationship Type="http://schemas.openxmlformats.org/officeDocument/2006/relationships/hyperlink" Id="rId109" Target="https://www.cci.health.wa.gov.au/Resources/Looking-After-Yourself/Assertiveness" TargetMode="External" /><Relationship Type="http://schemas.openxmlformats.org/officeDocument/2006/relationships/hyperlink" Id="rId89"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2022-06-30T15:27:00Z</dcterms:created>
  <dcterms:modified xsi:type="dcterms:W3CDTF">2022-06-30T15:27:00Z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30 June 2022</vt:lpwstr>
  </property>
  <property fmtid="{D5CDD505-2E9C-101B-9397-08002B2CF9AE}" pid="5" name="editor_options">
    <vt:lpwstr/>
  </property>
  <property fmtid="{D5CDD505-2E9C-101B-9397-08002B2CF9AE}" pid="6" name="header-includes">
    <vt:lpwstr/>
  </property>
  <property fmtid="{D5CDD505-2E9C-101B-9397-08002B2CF9AE}" pid="7" name="knit">
    <vt:lpwstr>(function(inputFile, encoding){ rmarkdown::render(inputFile, encoding = encoding, output_format = “all”) })</vt:lpwstr>
  </property>
  <property fmtid="{D5CDD505-2E9C-101B-9397-08002B2CF9AE}" pid="8" name="link-citations">
    <vt:lpwstr>True</vt:lpwstr>
  </property>
  <property fmtid="{D5CDD505-2E9C-101B-9397-08002B2CF9AE}" pid="9" name="output">
    <vt:lpwstr/>
  </property>
  <property fmtid="{D5CDD505-2E9C-101B-9397-08002B2CF9AE}" pid="10" name="tags">
    <vt:lpwstr/>
  </property>
</Properties>
</file>