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2022-08-17</w:t>
      </w:r>
    </w:p>
    <w:p>
      <w:pPr>
        <w:pStyle w:val="Abstract"/>
      </w:pPr>
      <w:r>
        <w:rPr>
          <w:bCs/>
          <w:b/>
        </w:rPr>
        <w:t xml:space="preserve">Background.</w:t>
      </w:r>
      <w:r>
        <w:t xml:space="preserve"> </w:t>
      </w:r>
      <w:r>
        <w:t xml:space="preserve">Assertion</w:t>
      </w:r>
      <w:r>
        <w:t xml:space="preserve"> </w:t>
      </w:r>
      <w:r>
        <w:t xml:space="preserve">training</w:t>
      </w:r>
      <w:r>
        <w:t xml:space="preserve"> </w:t>
      </w:r>
      <w:r>
        <w:t xml:space="preserve">today</w:t>
      </w:r>
      <w:r>
        <w:t xml:space="preserve"> </w:t>
      </w:r>
      <w:r>
        <w:t xml:space="preserve">makes</w:t>
      </w:r>
      <w:r>
        <w:t xml:space="preserve"> </w:t>
      </w:r>
      <w:r>
        <w:t xml:space="preserve">up</w:t>
      </w:r>
      <w:r>
        <w:t xml:space="preserve"> </w:t>
      </w:r>
      <w:r>
        <w:t xml:space="preserve">an</w:t>
      </w:r>
      <w:r>
        <w:t xml:space="preserve"> </w:t>
      </w:r>
      <w:r>
        <w:t xml:space="preserve">important</w:t>
      </w:r>
      <w:r>
        <w:t xml:space="preserve"> </w:t>
      </w:r>
      <w:r>
        <w:t xml:space="preserve">part</w:t>
      </w:r>
      <w:r>
        <w:t xml:space="preserve"> </w:t>
      </w:r>
      <w:r>
        <w:t xml:space="preserve">in</w:t>
      </w:r>
      <w:r>
        <w:t xml:space="preserve"> </w:t>
      </w:r>
      <w:r>
        <w:t xml:space="preserve">several</w:t>
      </w:r>
      <w:r>
        <w:t xml:space="preserve"> </w:t>
      </w:r>
      <w:r>
        <w:t xml:space="preserve">flavors</w:t>
      </w:r>
      <w:r>
        <w:t xml:space="preserve"> </w:t>
      </w:r>
      <w:r>
        <w:t xml:space="preserve">of</w:t>
      </w:r>
      <w:r>
        <w:t xml:space="preserve"> </w:t>
      </w:r>
      <w:r>
        <w:t xml:space="preserve">cognitive-behavioral</w:t>
      </w:r>
      <w:r>
        <w:t xml:space="preserve"> </w:t>
      </w:r>
      <w:r>
        <w:t xml:space="preserve">psychotherapy,</w:t>
      </w:r>
      <w:r>
        <w:t xml:space="preserve"> </w:t>
      </w:r>
      <w:r>
        <w:t xml:space="preserve">such</w:t>
      </w:r>
      <w:r>
        <w:t xml:space="preserve"> </w:t>
      </w:r>
      <w:r>
        <w:t xml:space="preserve">as</w:t>
      </w:r>
      <w:r>
        <w:t xml:space="preserve"> </w:t>
      </w:r>
      <w:r>
        <w:t xml:space="preserve">for</w:t>
      </w:r>
      <w:r>
        <w:t xml:space="preserve"> </w:t>
      </w:r>
      <w:r>
        <w:t xml:space="preserve">social</w:t>
      </w:r>
      <w:r>
        <w:t xml:space="preserve"> </w:t>
      </w:r>
      <w:r>
        <w:t xml:space="preserve">phobia</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(DBT).</w:t>
      </w:r>
      <w:r>
        <w:t xml:space="preserve"> </w:t>
      </w:r>
      <w:r>
        <w:t xml:space="preserve">However,</w:t>
      </w:r>
      <w:r>
        <w:t xml:space="preserve"> </w:t>
      </w:r>
      <w:r>
        <w:t xml:space="preserve">with</w:t>
      </w:r>
      <w:r>
        <w:t xml:space="preserve"> </w:t>
      </w:r>
      <w:r>
        <w:t xml:space="preserve">few</w:t>
      </w:r>
      <w:r>
        <w:t xml:space="preserve"> </w:t>
      </w:r>
      <w:r>
        <w:t xml:space="preserve">exceptions,</w:t>
      </w:r>
      <w:r>
        <w:t xml:space="preserve"> </w:t>
      </w:r>
      <w:r>
        <w:t xml:space="preserve">the</w:t>
      </w:r>
      <w:r>
        <w:t xml:space="preserve"> </w:t>
      </w:r>
      <w:r>
        <w:t xml:space="preserve">construct</w:t>
      </w:r>
      <w:r>
        <w:t xml:space="preserve"> </w:t>
      </w:r>
      <w:r>
        <w:t xml:space="preserve">has</w:t>
      </w:r>
      <w:r>
        <w:t xml:space="preserve"> </w:t>
      </w:r>
      <w:r>
        <w:t xml:space="preserve">been</w:t>
      </w:r>
      <w:r>
        <w:t xml:space="preserve"> </w:t>
      </w:r>
      <w:r>
        <w:t xml:space="preserve">neglected</w:t>
      </w:r>
      <w:r>
        <w:t xml:space="preserve"> </w:t>
      </w:r>
      <w:r>
        <w:t xml:space="preserve">in</w:t>
      </w:r>
      <w:r>
        <w:t xml:space="preserve"> </w:t>
      </w:r>
      <w:r>
        <w:t xml:space="preserve">clinical</w:t>
      </w:r>
      <w:r>
        <w:t xml:space="preserve"> </w:t>
      </w:r>
      <w:r>
        <w:t xml:space="preserve">research</w:t>
      </w:r>
      <w:r>
        <w:t xml:space="preserve"> </w:t>
      </w:r>
      <w:r>
        <w:t xml:space="preserve">in</w:t>
      </w:r>
      <w:r>
        <w:t xml:space="preserve"> </w:t>
      </w:r>
      <w:r>
        <w:t xml:space="preserve">recent</w:t>
      </w:r>
      <w:r>
        <w:t xml:space="preserve"> </w:t>
      </w:r>
      <w:r>
        <w:t xml:space="preserve">decades.</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iCBT-intervention,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rPr>
          <w:bCs/>
          <w:b/>
        </w:rPr>
        <w:t xml:space="preserve">Methods.</w:t>
      </w:r>
      <w:r>
        <w:t xml:space="preserve"> </w:t>
      </w:r>
      <w:r>
        <w:t xml:space="preserve">After</w:t>
      </w:r>
      <w:r>
        <w:t xml:space="preserve"> </w:t>
      </w:r>
      <w:r>
        <w:t xml:space="preserve">ethical</w:t>
      </w:r>
      <w:r>
        <w:t xml:space="preserve"> </w:t>
      </w:r>
      <w:r>
        <w:t xml:space="preserve">approval,</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non-clinical</w:t>
      </w:r>
      <w:r>
        <w:t xml:space="preserve"> </w:t>
      </w:r>
      <w:r>
        <w:t xml:space="preserve">volunteers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(AAA-S),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(RAS),</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and</w:t>
      </w:r>
      <w:r>
        <w:t xml:space="preserve"> </w:t>
      </w:r>
      <w:r>
        <w:t xml:space="preserve">depression.</w:t>
      </w:r>
      <w:r>
        <w:t xml:space="preserve"> </w:t>
      </w:r>
      <w:r>
        <w:t xml:space="preserve">We</w:t>
      </w:r>
      <w:r>
        <w:t xml:space="preserve"> </w:t>
      </w:r>
      <w:r>
        <w:t xml:space="preserve">also</w:t>
      </w:r>
      <w:r>
        <w:t xml:space="preserve"> </w:t>
      </w:r>
      <w:r>
        <w:t xml:space="preserve">assessed</w:t>
      </w:r>
      <w:r>
        <w:t xml:space="preserve"> </w:t>
      </w:r>
      <w:r>
        <w:t xml:space="preserve">and</w:t>
      </w:r>
      <w:r>
        <w:t xml:space="preserve"> </w:t>
      </w:r>
      <w:r>
        <w:t xml:space="preserve">tested</w:t>
      </w:r>
      <w:r>
        <w:t xml:space="preserve"> </w:t>
      </w:r>
      <w:r>
        <w:t xml:space="preserve">reliable</w:t>
      </w:r>
      <w:r>
        <w:t xml:space="preserve"> </w:t>
      </w:r>
      <w:r>
        <w:t xml:space="preserve">clincial</w:t>
      </w:r>
      <w:r>
        <w:t xml:space="preserve"> </w:t>
      </w:r>
      <w:r>
        <w:t xml:space="preserve">change</w:t>
      </w:r>
      <w:r>
        <w:t xml:space="preserve"> </w:t>
      </w:r>
      <w:r>
        <w:t xml:space="preserve">at</w:t>
      </w:r>
      <w:r>
        <w:t xml:space="preserve"> </w:t>
      </w:r>
      <w:r>
        <w:t xml:space="preserve">these</w:t>
      </w:r>
      <w:r>
        <w:t xml:space="preserve"> </w:t>
      </w:r>
      <w:r>
        <w:t xml:space="preserve">time</w:t>
      </w:r>
      <w:r>
        <w:t xml:space="preserve"> </w:t>
      </w:r>
      <w:r>
        <w:t xml:space="preserve">points.</w:t>
      </w:r>
      <w:r>
        <w:rPr>
          <w:bCs/>
          <w:b/>
        </w:rPr>
        <w:t xml:space="preserve">Results.</w:t>
      </w:r>
      <w:r>
        <w:t xml:space="preserve"> </w:t>
      </w:r>
      <w:r>
        <w:t xml:space="preserve">The</w:t>
      </w:r>
      <w:r>
        <w:t xml:space="preserve"> </w:t>
      </w:r>
      <w:r>
        <w:t xml:space="preserve">estimated</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time</w:t>
      </w:r>
      <w:r>
        <w:t xml:space="preserve"> </w:t>
      </w:r>
      <w:r>
        <w:t xml:space="preserve">point</w:t>
      </w:r>
      <w:r>
        <w:t xml:space="preserve"> </w:t>
      </w:r>
      <w:r>
        <w:t xml:space="preserve">and</w:t>
      </w:r>
      <w:r>
        <w:t xml:space="preserve"> </w:t>
      </w:r>
      <w:r>
        <w:t xml:space="preserve">the</w:t>
      </w:r>
      <w:r>
        <w:t xml:space="preserve"> </w:t>
      </w:r>
      <w:r>
        <w:t xml:space="preserve">follow-up,</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1.00</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effects</w:t>
      </w:r>
      <w:r>
        <w:t xml:space="preserve"> </w:t>
      </w:r>
      <w:r>
        <w:t xml:space="preserve">for</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0.40</w:t>
      </w:r>
      <w:r>
        <w:t xml:space="preserve"> </w:t>
      </w:r>
      <w:r>
        <w:t xml:space="preserve">to</w:t>
      </w:r>
      <w:r>
        <w:t xml:space="preserve"> </w:t>
      </w:r>
      <m:oMath>
        <m:r>
          <m:t>E</m:t>
        </m:r>
        <m:r>
          <m:t>S</m:t>
        </m:r>
      </m:oMath>
      <w:r>
        <w:t xml:space="preserve"> </w:t>
      </w:r>
      <w:r>
        <w:t xml:space="preserve">=</w:t>
      </w:r>
      <w:r>
        <w:t xml:space="preserve"> </w:t>
      </w:r>
      <w:r>
        <w:t xml:space="preserve">0.72,</w:t>
      </w:r>
      <w:r>
        <w:t xml:space="preserve"> </w:t>
      </w:r>
      <w:r>
        <w:t xml:space="preserve">with</w:t>
      </w:r>
      <w:r>
        <w:t xml:space="preserve"> </w:t>
      </w:r>
      <w:r>
        <w:t xml:space="preserve">no</w:t>
      </w:r>
      <w:r>
        <w:t xml:space="preserve"> </w:t>
      </w:r>
      <w:r>
        <w:t xml:space="preserve">observed</w:t>
      </w:r>
      <w:r>
        <w:t xml:space="preserve"> </w:t>
      </w:r>
      <w:r>
        <w:t xml:space="preserve">reliable</w:t>
      </w:r>
      <w:r>
        <w:t xml:space="preserve"> </w:t>
      </w:r>
      <w:r>
        <w:t xml:space="preserve">clinical</w:t>
      </w:r>
      <w:r>
        <w:t xml:space="preserve"> </w:t>
      </w:r>
      <w:r>
        <w:t xml:space="preserve">change.</w:t>
      </w:r>
      <w:r>
        <w:t xml:space="preserve"> </w:t>
      </w:r>
      <w:r>
        <w:t xml:space="preserve">For</w:t>
      </w:r>
      <w:r>
        <w:t xml:space="preserve"> </w:t>
      </w:r>
      <w:r>
        <w:t xml:space="preserve">social</w:t>
      </w:r>
      <w:r>
        <w:t xml:space="preserve"> </w:t>
      </w:r>
      <w:r>
        <w:t xml:space="preserve">anxiety,</w:t>
      </w:r>
      <w:r>
        <w:t xml:space="preserve"> </w:t>
      </w:r>
      <w:r>
        <w:t xml:space="preserve">the</w:t>
      </w:r>
      <w:r>
        <w:t xml:space="preserve"> </w:t>
      </w:r>
      <w:r>
        <w:t xml:space="preserve">effects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0.90</w:t>
      </w:r>
      <w:r>
        <w:t xml:space="preserve"> </w:t>
      </w:r>
      <w:r>
        <w:t xml:space="preserve">to</w:t>
      </w:r>
      <w:r>
        <w:t xml:space="preserve"> </w:t>
      </w:r>
      <m:oMath>
        <m:r>
          <m:t>E</m:t>
        </m:r>
        <m:r>
          <m:t>S</m:t>
        </m:r>
      </m:oMath>
      <w:r>
        <w:t xml:space="preserve"> </w:t>
      </w:r>
      <w:r>
        <w:t xml:space="preserve">=</w:t>
      </w:r>
      <w:r>
        <w:t xml:space="preserve"> </w:t>
      </w:r>
      <w:r>
        <w:t xml:space="preserve">0.95,</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but</w:t>
      </w:r>
      <w:r>
        <w:t xml:space="preserve"> </w:t>
      </w:r>
      <w:r>
        <w:t xml:space="preserve">in</w:t>
      </w:r>
      <w:r>
        <w:t xml:space="preserve"> </w:t>
      </w:r>
      <w:r>
        <w:t xml:space="preserve">the</w:t>
      </w:r>
      <w:r>
        <w:t xml:space="preserve"> </w:t>
      </w:r>
      <w:r>
        <w:t xml:space="preserve">guided</w:t>
      </w:r>
      <w:r>
        <w:t xml:space="preserve"> </w:t>
      </w:r>
      <w:r>
        <w:t xml:space="preserve">treatment</w:t>
      </w:r>
      <w:r>
        <w:t xml:space="preserve"> </w:t>
      </w:r>
      <w:r>
        <w:t xml:space="preserve">condition,</w:t>
      </w:r>
      <w:r>
        <w:t xml:space="preserve"> </w:t>
      </w:r>
      <w:r>
        <w:t xml:space="preserve">at</w:t>
      </w:r>
      <w:r>
        <w:t xml:space="preserve"> </w:t>
      </w:r>
      <w:r>
        <w:t xml:space="preserve">follow-up,</w:t>
      </w:r>
      <w:r>
        <w:t xml:space="preserve"> </w:t>
      </w:r>
      <w:r>
        <w:t xml:space="preserve">large</w:t>
      </w:r>
      <w:r>
        <w:t xml:space="preserve"> </w:t>
      </w:r>
      <w:r>
        <w:t xml:space="preserve">effects</w:t>
      </w:r>
      <w:r>
        <w:t xml:space="preserve"> </w:t>
      </w:r>
      <w:r>
        <w:t xml:space="preserve">were</w:t>
      </w:r>
      <w:r>
        <w:t xml:space="preserve"> </w:t>
      </w:r>
      <w:r>
        <w:t xml:space="preserve">found</w:t>
      </w:r>
      <w:r>
        <w:t xml:space="preserve"> </w:t>
      </w:r>
      <w:r>
        <w:t xml:space="preserve">also</w:t>
      </w:r>
      <w:r>
        <w:t xml:space="preserve"> </w:t>
      </w:r>
      <w:r>
        <w:t xml:space="preserve">for</w:t>
      </w:r>
      <w:r>
        <w:t xml:space="preserve"> </w:t>
      </w:r>
      <w:r>
        <w:t xml:space="preserve">depression.</w:t>
      </w:r>
      <w:r>
        <w:rPr>
          <w:bCs/>
          <w:b/>
        </w:rPr>
        <w:t xml:space="preserve">Conclusions.</w:t>
      </w:r>
      <w:r>
        <w:t xml:space="preserve"> </w:t>
      </w:r>
      <w:r>
        <w:t xml:space="preserve">We</w:t>
      </w:r>
      <w:r>
        <w:t xml:space="preserve"> </w:t>
      </w:r>
      <w:r>
        <w:t xml:space="preserve">found</w:t>
      </w:r>
      <w:r>
        <w:t xml:space="preserve"> </w:t>
      </w:r>
      <w:r>
        <w:t xml:space="preserve">that</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With</w:t>
      </w:r>
      <w:r>
        <w:t xml:space="preserve"> </w:t>
      </w:r>
      <w:r>
        <w:t xml:space="preserve">therapist</w:t>
      </w:r>
      <w:r>
        <w:t xml:space="preserve"> </w:t>
      </w:r>
      <w:r>
        <w:t xml:space="preserve">support,</w:t>
      </w:r>
      <w:r>
        <w:t xml:space="preserve"> </w:t>
      </w:r>
      <w:r>
        <w:t xml:space="preserve">participation</w:t>
      </w:r>
      <w:r>
        <w:t xml:space="preserve"> </w:t>
      </w:r>
      <w:r>
        <w:t xml:space="preserve">also</w:t>
      </w:r>
      <w:r>
        <w:t xml:space="preserve"> </w:t>
      </w:r>
      <w:r>
        <w:t xml:space="preserve">reduced</w:t>
      </w:r>
      <w:r>
        <w:t xml:space="preserve"> </w:t>
      </w:r>
      <w:r>
        <w:t xml:space="preserve">levels</w:t>
      </w:r>
      <w:r>
        <w:t xml:space="preserve"> </w:t>
      </w:r>
      <w:r>
        <w:t xml:space="preserve">of</w:t>
      </w:r>
      <w:r>
        <w:t xml:space="preserve"> </w:t>
      </w:r>
      <w:r>
        <w:t xml:space="preserve">depression</w:t>
      </w:r>
      <w:r>
        <w:t xml:space="preserve"> </w:t>
      </w:r>
      <w:r>
        <w:t xml:space="preserve">over</w:t>
      </w:r>
      <w:r>
        <w:t xml:space="preserve"> </w:t>
      </w:r>
      <w:r>
        <w:t xml:space="preserve">time.</w:t>
      </w:r>
      <w:r>
        <w:t xml:space="preserve"> </w:t>
      </w:r>
      <w:r>
        <w:t xml:space="preserve">The</w:t>
      </w:r>
      <w:r>
        <w:t xml:space="preserve"> </w:t>
      </w:r>
      <w:r>
        <w:t xml:space="preserve">findings</w:t>
      </w:r>
      <w:r>
        <w:t xml:space="preserve"> </w:t>
      </w:r>
      <w:r>
        <w:t xml:space="preserve">demonstrate</w:t>
      </w:r>
      <w:r>
        <w:t xml:space="preserve"> </w:t>
      </w:r>
      <w:r>
        <w:t xml:space="preserve">the</w:t>
      </w:r>
      <w:r>
        <w:t xml:space="preserve"> </w:t>
      </w:r>
      <w:r>
        <w:t xml:space="preserve">viability</w:t>
      </w:r>
      <w:r>
        <w:t xml:space="preserve"> </w:t>
      </w:r>
      <w:r>
        <w:t xml:space="preserve">of</w:t>
      </w:r>
      <w:r>
        <w:t xml:space="preserve"> </w:t>
      </w:r>
      <w:r>
        <w:t xml:space="preserve">stand-alone</w:t>
      </w:r>
      <w:r>
        <w:t xml:space="preserve"> </w:t>
      </w:r>
      <w:r>
        <w:t xml:space="preserve">assertion</w:t>
      </w:r>
      <w:r>
        <w:t xml:space="preserve"> </w:t>
      </w:r>
      <w:r>
        <w:t xml:space="preserve">training</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both</w:t>
      </w:r>
      <w:r>
        <w:t xml:space="preserve"> </w:t>
      </w:r>
      <w:r>
        <w:t xml:space="preserve">psychiatric</w:t>
      </w:r>
      <w:r>
        <w:t xml:space="preserve"> </w:t>
      </w:r>
      <w:r>
        <w:t xml:space="preserve">syndromes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meriting</w:t>
      </w:r>
      <w:r>
        <w:t xml:space="preserve"> </w:t>
      </w:r>
      <w:r>
        <w:t xml:space="preserve">further</w:t>
      </w:r>
      <w:r>
        <w:t xml:space="preserve"> </w:t>
      </w:r>
      <w:r>
        <w:t xml:space="preserve">research.</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p>
      <w:pPr>
        <w:pStyle w:val="FirstParagraph"/>
      </w:pPr>
      <w:r>
        <w:rPr>
          <w:bCs/>
          <w:b/>
        </w:rPr>
        <w:t xml:space="preserve">Highlights.</w:t>
      </w:r>
      <w:r>
        <w:t xml:space="preserve"> </w:t>
      </w:r>
      <w:r>
        <w:t xml:space="preserve">Short-term iCBT assertion training holds promise as a efficacious stand-alone intervention in the treatment of psychological problems and psychiatric syndromes, especially social anxiety.</w:t>
      </w:r>
    </w:p>
    <w:bookmarkStart w:id="20" w:name="introduction"/>
    <w:p>
      <w:pPr>
        <w:pStyle w:val="Heading1"/>
      </w:pPr>
      <w:r>
        <w:t xml:space="preserve">Introduction</w:t>
      </w:r>
    </w:p>
    <w:p>
      <w:pPr>
        <w:pStyle w:val="FirstParagraph"/>
      </w:pPr>
      <w:r>
        <w:t xml:space="preserve">Experiences of stress, anxiety, and depression are often associated with avoidance. A person who is stressed from an ever-increasing workload may want nothing more than to tell their supervisor that there are too many tasks on the table, yet still takes on another assignment when asked. A person with social anxiety may want nothing more than to take part in social gatherings, yet chooses to abstain to avoid the feeling of being judged or scrutinized.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&amp;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dates back to the very first behavioral therapies, for example, as described by</w:t>
      </w:r>
      <w:r>
        <w:t xml:space="preserve"> </w:t>
      </w:r>
      <w:r>
        <w:t xml:space="preserve">Salter (1949)</w:t>
      </w:r>
      <w:r>
        <w:t xml:space="preserve"> </w:t>
      </w:r>
      <w:r>
        <w:t xml:space="preserve">or</w:t>
      </w:r>
      <w:r>
        <w:t xml:space="preserve"> </w:t>
      </w:r>
      <w:r>
        <w:t xml:space="preserve">Wolpe &amp; Lazarus (1966)</w:t>
      </w:r>
      <w:r>
        <w:t xml:space="preserve">. Assertiveness was presented as a behavioristic alternative to psychoanalysis. In the 1970s, the concept was popularized in self-help books by</w:t>
      </w:r>
      <w:r>
        <w:t xml:space="preserve"> </w:t>
      </w:r>
      <w:r>
        <w:t xml:space="preserve">Alberti &amp; Emmons (1974)</w:t>
      </w:r>
      <w:r>
        <w:t xml:space="preserve">,</w:t>
      </w:r>
      <w:r>
        <w:t xml:space="preserve"> </w:t>
      </w:r>
      <w:r>
        <w:t xml:space="preserve">Smith (1975)</w:t>
      </w:r>
      <w:r>
        <w:t xml:space="preserve">, as well as</w:t>
      </w:r>
      <w:r>
        <w:t xml:space="preserve"> </w:t>
      </w:r>
      <w:r>
        <w:t xml:space="preserve">Fensterheim &amp; Baer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The</w:t>
      </w:r>
      <w:r>
        <w:t xml:space="preserve"> </w:t>
      </w:r>
      <w:r>
        <w:t xml:space="preserve">Linehan (1979)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&amp; Hull, 1978)</w:t>
      </w:r>
      <w:r>
        <w:t xml:space="preserve">. Building on the definition by</w:t>
      </w:r>
      <w:r>
        <w:t xml:space="preserve"> </w:t>
      </w:r>
      <w:r>
        <w:t xml:space="preserve">Alberti &amp;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is non-normative and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(2015)</w:t>
      </w:r>
      <w:r>
        <w:t xml:space="preserve">, showing a negative relationship between social anxiety and assertiveness,</w:t>
      </w:r>
      <w:r>
        <w:t xml:space="preserve"> </w:t>
      </w:r>
      <w:r>
        <w:t xml:space="preserve">Vagos &amp; Pereira (2019)</w:t>
      </w:r>
      <w:r>
        <w:t xml:space="preserve"> </w:t>
      </w:r>
      <w:r>
        <w:t xml:space="preserve">showing a negative relationship between mental distress in general and assertiveness, and</w:t>
      </w:r>
      <w:r>
        <w:t xml:space="preserve"> </w:t>
      </w:r>
      <w:r>
        <w:t xml:space="preserve">Antúnez (2020)</w:t>
      </w:r>
      <w:r>
        <w:t xml:space="preserve">, highlighting a link between circadian typology and different constructs related to mental health, among them levels of assertiveness.</w:t>
      </w:r>
      <w:r>
        <w:t xml:space="preserve"> </w:t>
      </w:r>
      <w:r>
        <w:t xml:space="preserve">Speed et al. (2018)</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current evidence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&amp; Fursland (2008)</w:t>
      </w:r>
      <w:r>
        <w:t xml:space="preserve">, a series of 10 modules with concepts and strategies primarily based on cognitive behavioral therapy (CBT), with a focus on assertiveness.</w:t>
      </w:r>
    </w:p>
    <w:p>
      <w:pPr>
        <w:pStyle w:val="BodyText"/>
      </w:pPr>
      <w:r>
        <w:t xml:space="preserve">This study aimed to evaluate the effects of a randomized controlled trial (RCT) of an eight-week iCBT intervention for healthy assertiveness, Respekt</w:t>
      </w:r>
      <w:r>
        <w:rPr>
          <w:vertAlign w:val="superscript"/>
        </w:rPr>
        <w:t xml:space="preserve">2</w:t>
      </w:r>
      <w:r>
        <w:t xml:space="preserve"> </w:t>
      </w:r>
      <w:r>
        <w:t xml:space="preserve">(Respect Squared), based on the</w:t>
      </w:r>
      <w:r>
        <w:t xml:space="preserve"> </w:t>
      </w:r>
      <w:r>
        <w:t xml:space="preserve">Michel &amp; Fursland (2008)</w:t>
      </w:r>
      <w:r>
        <w:t xml:space="preserve"> </w:t>
      </w:r>
      <w:r>
        <w:t xml:space="preserve">modules. The research questions are as follows:</w:t>
      </w:r>
    </w:p>
    <w:p>
      <w:pPr>
        <w:numPr>
          <w:ilvl w:val="0"/>
          <w:numId w:val="1001"/>
        </w:numPr>
      </w:pPr>
      <w:r>
        <w:t xml:space="preserve">What are the effects on assertiveness of guided and unguided participation in Respekt</w:t>
      </w:r>
      <w:r>
        <w:rPr>
          <w:vertAlign w:val="superscript"/>
        </w:rPr>
        <w:t xml:space="preserve">2</w:t>
      </w:r>
      <w:r>
        <w:t xml:space="preserve"> </w:t>
      </w:r>
      <w:r>
        <w:t xml:space="preserve">compared to a waitlist control group?</w:t>
      </w:r>
    </w:p>
    <w:p>
      <w:pPr>
        <w:numPr>
          <w:ilvl w:val="0"/>
          <w:numId w:val="1001"/>
        </w:numPr>
      </w:pPr>
      <w:r>
        <w:t xml:space="preserve">What are the effects of guided and unguided participation on measures of anxiety and depression compared to the control group?</w:t>
      </w:r>
    </w:p>
    <w:bookmarkEnd w:id="20"/>
    <w:bookmarkStart w:id="35" w:name="method"/>
    <w:p>
      <w:pPr>
        <w:pStyle w:val="Heading1"/>
      </w:pPr>
      <w:r>
        <w:t xml:space="preserve">Method</w:t>
      </w:r>
    </w:p>
    <w:bookmarkStart w:id="21"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(2001)</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&amp; Berenbaum, 2011)</w:t>
      </w:r>
      <w:r>
        <w:t xml:space="preserve">, power</w:t>
      </w:r>
      <w:r>
        <w:t xml:space="preserve"> </w:t>
      </w:r>
      <m:oMath>
        <m:r>
          <m:t>0.90</m:t>
        </m:r>
      </m:oMath>
      <w:r>
        <w:t xml:space="preserve">, alpha</w:t>
      </w:r>
      <w:r>
        <w:t xml:space="preserve"> </w:t>
      </w:r>
      <m:oMath>
        <m:r>
          <m:t>0.05</m:t>
        </m:r>
      </m:oMath>
      <w:r>
        <w:t xml:space="preserve">, and a</w:t>
      </w:r>
      <w:r>
        <w:t xml:space="preserve"> </w:t>
      </w:r>
      <m:oMath>
        <m:r>
          <m:t>15</m:t>
        </m:r>
      </m:oMath>
      <w:r>
        <w:t xml:space="preserve">% drop-out rate per week, with the duration of the intervention being eight weeks in total.</w:t>
      </w:r>
    </w:p>
    <w:bookmarkEnd w:id="21"/>
    <w:bookmarkStart w:id="22" w:name="participants"/>
    <w:p>
      <w:pPr>
        <w:pStyle w:val="Heading2"/>
      </w:pPr>
      <w:r>
        <w:t xml:space="preserve">Participants</w:t>
      </w:r>
    </w:p>
    <w:p>
      <w:pPr>
        <w:pStyle w:val="FirstParagraph"/>
      </w:pPr>
      <w:r>
        <w:t xml:space="preserve">Before recruitment started, the study received ethical approval from the Swedish Ethical Review Authority (Diary number: 2019-05165). The study was registered at ClinicalTrials.gov (NCT04240249). The participants were recruited from the public through advertisements on social media and other websites. Interested individuals were referred to a purpose-built website 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&amp;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AAA-S has good and excellent internal consistency for aggressive (</w:t>
      </w:r>
      <m:oMath>
        <m:r>
          <m:t>0.88</m:t>
        </m:r>
      </m:oMath>
      <w:r>
        <w:t xml:space="preserve">) and adaptive (</w:t>
      </w:r>
      <m:oMath>
        <m:r>
          <m:t>0.93</m:t>
        </m:r>
      </m:oMath>
      <w:r>
        <w:t xml:space="preserve">) assertiveness,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w:t>
      </w:r>
    </w:p>
    <w:bookmarkEnd w:id="24"/>
    <w:bookmarkStart w:id="25" w:name="secondary-measures"/>
    <w:p>
      <w:pPr>
        <w:pStyle w:val="Heading3"/>
      </w:pPr>
      <w:r>
        <w:t xml:space="preserve">Secondary measures</w:t>
      </w:r>
    </w:p>
    <w:p>
      <w:pPr>
        <w:pStyle w:val="FirstParagraph"/>
      </w:pPr>
      <w:r>
        <w:t xml:space="preserve">Depression was measured using the PHQ-9</w:t>
      </w:r>
      <w:r>
        <w:t xml:space="preserve"> </w:t>
      </w:r>
      <w:r>
        <w:t xml:space="preserve">(Kroenke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t>
      </w:r>
      <w:r>
        <w:t xml:space="preserve">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t>
      </w:r>
      <w:r>
        <w:t xml:space="preserve">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These self-report measures have reported either good or excellent internal consistency (</w:t>
      </w:r>
      <m:oMath>
        <m:r>
          <m:t>0.87</m:t>
        </m:r>
      </m:oMath>
      <w:r>
        <w:t xml:space="preserve">,</w:t>
      </w:r>
      <w:r>
        <w:t xml:space="preserve"> </w:t>
      </w:r>
      <m:oMath>
        <m:r>
          <m:t>0.89</m:t>
        </m:r>
      </m:oMath>
      <w:r>
        <w:t xml:space="preserve">,</w:t>
      </w:r>
      <w:r>
        <w:t xml:space="preserve"> </w:t>
      </w:r>
      <m:oMath>
        <m:r>
          <m:t>0.92</m:t>
        </m:r>
      </m:oMath>
      <w:r>
        <w:t xml:space="preserve">, and</w:t>
      </w:r>
      <w:r>
        <w:t xml:space="preserve"> </w:t>
      </w:r>
      <m:oMath>
        <m:r>
          <m:t>0.96</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&amp; Emmons (1974)</w:t>
      </w:r>
      <w:r>
        <w:t xml:space="preserve">,</w:t>
      </w:r>
      <w:r>
        <w:t xml:space="preserve"> </w:t>
      </w:r>
      <w:r>
        <w:t xml:space="preserve">Gambrill &amp; Richey (1975)</w:t>
      </w:r>
      <w:r>
        <w:t xml:space="preserve">, and</w:t>
      </w:r>
      <w:r>
        <w:t xml:space="preserve"> </w:t>
      </w:r>
      <w:r>
        <w:t xml:space="preserve">Smith (1975)</w:t>
      </w:r>
      <w:r>
        <w:t xml:space="preserve">, among others. In the material, assertiveness is described and operationalized based on</w:t>
      </w:r>
      <w:r>
        <w:t xml:space="preserve"> </w:t>
      </w:r>
      <w:r>
        <w:t xml:space="preserve">Wolpe (1990)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&amp;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&amp;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2"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30" name="Picture"/>
            <a:graphic>
              <a:graphicData uri="http://schemas.openxmlformats.org/drawingml/2006/picture">
                <pic:pic>
                  <pic:nvPicPr>
                    <pic:cNvPr descr="flowchart.png" id="31"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2"/>
    <w:bookmarkStart w:id="34" w:name="analysis"/>
    <w:p>
      <w:pPr>
        <w:pStyle w:val="Heading2"/>
      </w:pPr>
      <w:r>
        <w:t xml:space="preserve">Analysis</w:t>
      </w:r>
    </w:p>
    <w:p>
      <w:pPr>
        <w:pStyle w:val="FirstParagraph"/>
      </w:pPr>
      <w:r>
        <w:t xml:space="preserve">All the data were analyzed using R 4.2.1,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3">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&amp;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bookmarkEnd w:id="34"/>
    <w:bookmarkEnd w:id="35"/>
    <w:bookmarkStart w:id="50" w:name="results"/>
    <w:p>
      <w:pPr>
        <w:pStyle w:val="Heading1"/>
      </w:pPr>
      <w:r>
        <w:t xml:space="preserve">Results</w:t>
      </w:r>
    </w:p>
    <w:p>
      <w:pPr>
        <w:pStyle w:val="CaptionedFigure"/>
      </w:pPr>
      <w:r>
        <w:drawing>
          <wp:inline>
            <wp:extent cx="5334000" cy="4267200"/>
            <wp:effectExtent b="0" l="0" r="0" t="0"/>
            <wp:docPr descr="Plots of the estimated fixed effects for the primary transdiagnostic scales used to measure skillful, assertive behavior. The participants’ estimated means for all three measures exhibited increasing levels of assertiveness during treatment in the unguided self-help and guided self-help groups, with negligible differences between the two treatment conditions." title="" id="37" name="Picture"/>
            <a:graphic>
              <a:graphicData uri="http://schemas.openxmlformats.org/drawingml/2006/picture">
                <pic:pic>
                  <pic:nvPicPr>
                    <pic:cNvPr descr="r2fu-article_files/figure-docx/emm.primary.plots-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40" name="Picture"/>
            <a:graphic>
              <a:graphicData uri="http://schemas.openxmlformats.org/drawingml/2006/picture">
                <pic:pic>
                  <pic:nvPicPr>
                    <pic:cNvPr descr="r2fu-article_files/figure-docx/emm.secondary.plots-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Start w:id="49"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0.001</m:t>
        </m:r>
      </m:oMath>
      <w:r>
        <w:t xml:space="preserve">. These interactions show that the random assignment to group conditions had an effect over time on assertive behavior. Similarly, mixed models for the syndromal symptoms revealed time–group interaction effects for all three measures of anxiety and depression: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0.026</m:t>
        </m:r>
      </m:oMath>
      <w:r>
        <w:t xml:space="preserve">, and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 points.</w:t>
      </w:r>
    </w:p>
    <w:bookmarkStart w:id="42"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42"/>
    <w:bookmarkStart w:id="43" w:name="X32f89f68c5936d30db2416b5e7d82b70ea5932b"/>
    <w:p>
      <w:pPr>
        <w:pStyle w:val="Heading3"/>
      </w:pPr>
      <w:r>
        <w:t xml:space="preserve">Between-group effects on syndromal symptoms of anxiety and depression</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See Table 2 for a summary of the significant effects, including 95% CIs.</w:t>
      </w:r>
    </w:p>
    <w:bookmarkEnd w:id="43"/>
    <w:bookmarkStart w:id="44" w:name="notable-within-group-effects"/>
    <w:p>
      <w:pPr>
        <w:pStyle w:val="Heading3"/>
      </w:pPr>
      <w:r>
        <w:t xml:space="preserve">Notable 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0.731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44"/>
    <w:bookmarkStart w:id="48" w:name="clinical-significant-change"/>
    <w:p>
      <w:pPr>
        <w:pStyle w:val="Heading3"/>
      </w:pPr>
      <w:r>
        <w:t xml:space="preserve">Clinical significant change</w:t>
      </w:r>
    </w:p>
    <w:bookmarkStart w:id="45"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45"/>
    <w:bookmarkStart w:id="46"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0.023</m:t>
        </m:r>
      </m:oMath>
      <w:r>
        <w:t xml:space="preserve">. However, no difference between the groups was found at the post time point with regards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Table 3 provides a summary of the numbers and proportions of clinical recovery in the different groups and the significance, if any, of the pairwise tests of those proportions against those of the wait-list group.</w:t>
      </w:r>
    </w:p>
    <w:bookmarkEnd w:id="46"/>
    <w:bookmarkStart w:id="47"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a significant difference between the groups in clinically significant change was found for the AAA-S Aggressive subscale, as</w:t>
      </w:r>
      <w:r>
        <w:t xml:space="preserve"> </w:t>
      </w:r>
      <m:oMath>
        <m:r>
          <m:t>3</m:t>
        </m:r>
      </m:oMath>
      <w:r>
        <w:t xml:space="preserve"> </w:t>
      </w:r>
      <w:r>
        <w:t xml:space="preserve">participants (</w:t>
      </w:r>
      <m:oMath>
        <m:r>
          <m:t>4</m:t>
        </m:r>
      </m:oMath>
      <w:r>
        <w:t xml:space="preserve">%) fell below the threshold for</w:t>
      </w:r>
      <w:r>
        <w:t xml:space="preserve"> </w:t>
      </w:r>
      <w:r>
        <w:t xml:space="preserve">“</w:t>
      </w:r>
      <w:r>
        <w:t xml:space="preserve">harmed</w:t>
      </w:r>
      <w:r>
        <w:t xml:space="preserve">”</w:t>
      </w:r>
      <w:r>
        <w:t xml:space="preserve"> </w:t>
      </w:r>
      <w:r>
        <w:t xml:space="preserve">while waiting to begin treatment. However, the post-hoc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0.100</m:t>
        </m:r>
      </m:oMath>
      <w:r>
        <w:t xml:space="preserve">. No other instances of suspected reliable harm between the pre and the post time points or the pre to the follow-up time points were identified for either measure. 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 These findings reveal that the non-active wait-list condition brought about adverse clinical change for</w:t>
      </w:r>
      <w:r>
        <w:t xml:space="preserve"> </w:t>
      </w:r>
      <m:oMath>
        <m:r>
          <m:t>10</m:t>
        </m:r>
      </m:oMath>
      <w:r>
        <w:t xml:space="preserve">% of the participants with regard to social anxiety and</w:t>
      </w:r>
      <w:r>
        <w:t xml:space="preserve"> </w:t>
      </w:r>
      <m:oMath>
        <m:r>
          <m:t>18</m:t>
        </m:r>
      </m:oMath>
      <w:r>
        <w:t xml:space="preserve">% with regard to depression.</w:t>
      </w:r>
    </w:p>
    <w:bookmarkEnd w:id="47"/>
    <w:bookmarkEnd w:id="48"/>
    <w:bookmarkEnd w:id="49"/>
    <w:bookmarkEnd w:id="50"/>
    <w:bookmarkStart w:id="144" w:name="discussion"/>
    <w:p>
      <w:pPr>
        <w:pStyle w:val="Heading1"/>
      </w:pPr>
      <w:r>
        <w:t xml:space="preserve">Discussion</w:t>
      </w:r>
    </w:p>
    <w:p>
      <w:pPr>
        <w:pStyle w:val="FirstParagraph"/>
      </w:pPr>
      <w:r>
        <w:t xml:space="preserve">This randomized controlled trial provides up-to-date empirical data on a transdiagnostic intervention targeting assertiveness, Respekt</w:t>
      </w:r>
      <w:r>
        <w:rPr>
          <w:vertAlign w:val="superscript"/>
        </w:rPr>
        <w:t xml:space="preserve">2</w:t>
      </w:r>
      <w:r>
        <w:t xml:space="preserve">, which is evidence of its effects on assertive behavior and psychiatric disorder symptoms. Having mostly been ignored as a construct in clinical research since the 1990s, despite its rich history as the target in the very first behavioral therapies of the 1950s and its current status as an important goal for exposure in third-wave CBT variants, such as DBT and ACT</w:t>
      </w:r>
      <w:r>
        <w:t xml:space="preserve"> </w:t>
      </w:r>
      <w:r>
        <w:t xml:space="preserve">(Speed et al., 2018)</w:t>
      </w:r>
      <w:r>
        <w:t xml:space="preserve">, this study brings much-needed data on assertiveness as a viable transdiagnostic stand-alone goal in psychological treatment.</w:t>
      </w:r>
    </w:p>
    <w:p>
      <w:pPr>
        <w:pStyle w:val="BodyText"/>
      </w:pPr>
      <w:r>
        <w:t xml:space="preserve">The large effects on assertiveness measured with the AAA-S Adaptive subscale, comparing the wait-list and the unguided self-help conditions at the follow-up,</w:t>
      </w:r>
      <w:r>
        <w:t xml:space="preserve"> </w:t>
      </w:r>
      <m:oMath>
        <m:r>
          <m:t>E</m:t>
        </m:r>
        <m:r>
          <m:t>S</m:t>
        </m:r>
      </m:oMath>
      <w:r>
        <w:t xml:space="preserve"> </w:t>
      </w:r>
      <w:r>
        <w:t xml:space="preserve">=</w:t>
      </w:r>
      <w:r>
        <w:t xml:space="preserve"> </w:t>
      </w:r>
      <m:oMath>
        <m:r>
          <m:t>1.30</m:t>
        </m:r>
      </m:oMath>
      <w:r>
        <w:t xml:space="preserve">, with</w:t>
      </w:r>
      <w:r>
        <w:t xml:space="preserve"> </w:t>
      </w:r>
      <m:oMath>
        <m:r>
          <m:t>22</m:t>
        </m:r>
      </m:oMath>
      <w:r>
        <w:t xml:space="preserve">% clinically improved, are comparable to those found in clinical trials of iCBT interventions for other transdiagnostic behavioral targets. Measurement with the RAS at the follow-up,</w:t>
      </w:r>
      <w:r>
        <w:t xml:space="preserve"> </w:t>
      </w:r>
      <m:oMath>
        <m:r>
          <m:t>E</m:t>
        </m:r>
        <m:r>
          <m:t>S</m:t>
        </m:r>
      </m:oMath>
      <w:r>
        <w:t xml:space="preserve"> </w:t>
      </w:r>
      <w:r>
        <w:t xml:space="preserve">=</w:t>
      </w:r>
      <w:r>
        <w:t xml:space="preserve"> </w:t>
      </w:r>
      <m:oMath>
        <m:r>
          <m:t>1.35</m:t>
        </m:r>
      </m:oMath>
      <w:r>
        <w:t xml:space="preserve">, with</w:t>
      </w:r>
      <w:r>
        <w:t xml:space="preserve"> </w:t>
      </w:r>
      <m:oMath>
        <m:r>
          <m:t>31</m:t>
        </m:r>
      </m:oMath>
      <w:r>
        <w:t xml:space="preserve">% clinically improved, confirms these effects, as does the insignificantly larger effects found for assertiveness measured with the AAA-S Adaptive subscale and the RAS in the guided self-help group, with clinical improvement proportions of</w:t>
      </w:r>
      <w:r>
        <w:t xml:space="preserve"> </w:t>
      </w:r>
      <m:oMath>
        <m:r>
          <m:t>26</m:t>
        </m:r>
      </m:oMath>
      <w:r>
        <w:t xml:space="preserve">% and</w:t>
      </w:r>
      <w:r>
        <w:t xml:space="preserve"> </w:t>
      </w:r>
      <m:oMath>
        <m:r>
          <m:t>36</m:t>
        </m:r>
      </m:oMath>
      <w:r>
        <w:t xml:space="preserve">%, respectively. Benchmarking against procrastination</w:t>
      </w:r>
      <w:r>
        <w:t xml:space="preserve"> </w:t>
      </w:r>
      <w:r>
        <w:t xml:space="preserve">(</w:t>
      </w:r>
      <m:oMath>
        <m:r>
          <m:t>d</m:t>
        </m:r>
      </m:oMath>
      <w:r>
        <w:t xml:space="preserve"> </w:t>
      </w:r>
      <w:r>
        <w:t xml:space="preserve">=</w:t>
      </w:r>
      <w:r>
        <w:t xml:space="preserve"> </w:t>
      </w:r>
      <m:oMath>
        <m:r>
          <m:t>0.50</m:t>
        </m:r>
      </m:oMath>
      <w:r>
        <w:t xml:space="preserve">–</w:t>
      </w:r>
      <m:oMath>
        <m:r>
          <m:t>0.69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0.70</m:t>
        </m:r>
      </m:oMath>
      <w:r>
        <w:t xml:space="preserve">–</w:t>
      </w:r>
      <m:oMath>
        <m:r>
          <m:t>0.81</m:t>
        </m:r>
      </m:oMath>
      <w:r>
        <w:t xml:space="preserve"> </w:t>
      </w:r>
      <w:r>
        <w:t xml:space="preserve">and</w:t>
      </w:r>
      <w:r>
        <w:t xml:space="preserve"> </w:t>
      </w:r>
      <m:oMath>
        <m:r>
          <m:t>31</m:t>
        </m:r>
      </m:oMath>
      <w:r>
        <w:t xml:space="preserve">–</w:t>
      </w:r>
      <m:oMath>
        <m:r>
          <m:t>40</m:t>
        </m:r>
      </m:oMath>
      <w:r>
        <w:t xml:space="preserve">% clinically improved in a guided group; Rozental et al., 2015)</w:t>
      </w:r>
      <w:r>
        <w:t xml:space="preserve"> </w:t>
      </w:r>
      <w:r>
        <w:t xml:space="preserve">and perfectionism</w:t>
      </w:r>
      <w:r>
        <w:t xml:space="preserve"> </w:t>
      </w:r>
      <w:r>
        <w:t xml:space="preserve">(</w:t>
      </w:r>
      <m:oMath>
        <m:r>
          <m:t>d</m:t>
        </m:r>
      </m:oMath>
      <w:r>
        <w:t xml:space="preserve"> </w:t>
      </w:r>
      <w:r>
        <w:t xml:space="preserve">=</w:t>
      </w:r>
      <w:r>
        <w:t xml:space="preserve"> </w:t>
      </w:r>
      <m:oMath>
        <m:r>
          <m:t>0.68</m:t>
        </m:r>
      </m:oMath>
      <w:r>
        <w:t xml:space="preserve">–</w:t>
      </w:r>
      <m:oMath>
        <m:r>
          <m:t>1.00</m:t>
        </m:r>
      </m:oMath>
      <w:r>
        <w:t xml:space="preserve">, with</w:t>
      </w:r>
      <w:r>
        <w:t xml:space="preserve"> </w:t>
      </w:r>
      <m:oMath>
        <m:r>
          <m:t>45</m:t>
        </m:r>
      </m:oMath>
      <w:r>
        <w:t xml:space="preserve">% of participants clinically improved in a guided group; 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no statistically significant number of clinically changed participants was found at either the post or the follow-up time points for the AAA-S Aggressive subscale. This should not be surprising, however, since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w:t>
      </w:r>
      <w:r>
        <w:t xml:space="preserve"> </w:t>
      </w:r>
      <m:oMath>
        <m:r>
          <m:t>E</m:t>
        </m:r>
        <m:r>
          <m:t>S</m:t>
        </m:r>
      </m:oMath>
      <w:r>
        <w:t xml:space="preserve"> </w:t>
      </w:r>
      <w:r>
        <w:t xml:space="preserve">=</w:t>
      </w:r>
      <w:r>
        <w:t xml:space="preserve"> </w:t>
      </w:r>
      <m:oMath>
        <m:r>
          <m:t>0.90</m:t>
        </m:r>
      </m:oMath>
      <w:r>
        <w:t xml:space="preserve"> </w:t>
      </w:r>
      <w:r>
        <w:t xml:space="preserve">and</w:t>
      </w:r>
      <w:r>
        <w:t xml:space="preserve"> </w:t>
      </w:r>
      <m:oMath>
        <m:r>
          <m:t>E</m:t>
        </m:r>
        <m:r>
          <m:t>S</m:t>
        </m:r>
      </m:oMath>
      <w:r>
        <w:t xml:space="preserve"> </w:t>
      </w:r>
      <w:r>
        <w:t xml:space="preserve">=</w:t>
      </w:r>
      <w:r>
        <w:t xml:space="preserve"> </w:t>
      </w:r>
      <m:oMath>
        <m:r>
          <m:t>0.93</m:t>
        </m:r>
      </m:oMath>
      <w:r>
        <w:t xml:space="preserve">, and depression,</w:t>
      </w:r>
      <w:r>
        <w:t xml:space="preserve"> </w:t>
      </w:r>
      <m:oMath>
        <m:r>
          <m:t>E</m:t>
        </m:r>
        <m:r>
          <m:t>S</m:t>
        </m:r>
      </m:oMath>
      <w:r>
        <w:t xml:space="preserve"> </w:t>
      </w:r>
      <w:r>
        <w:t xml:space="preserve">=</w:t>
      </w:r>
      <w:r>
        <w:t xml:space="preserve"> </w:t>
      </w:r>
      <m:oMath>
        <m:r>
          <m:t>0.75</m:t>
        </m:r>
      </m:oMath>
      <w:r>
        <w:t xml:space="preserve"> </w:t>
      </w:r>
      <w:r>
        <w:t xml:space="preserve">and</w:t>
      </w:r>
      <w:r>
        <w:t xml:space="preserve"> </w:t>
      </w:r>
      <m:oMath>
        <m:r>
          <m:t>E</m:t>
        </m:r>
        <m:r>
          <m:t>S</m:t>
        </m:r>
      </m:oMath>
      <w:r>
        <w:t xml:space="preserve"> </w:t>
      </w:r>
      <w:r>
        <w:t xml:space="preserve">=</w:t>
      </w:r>
      <w:r>
        <w:t xml:space="preserve"> </w:t>
      </w:r>
      <m:oMath>
        <m:r>
          <m:t>0.84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0.80</m:t>
        </m:r>
      </m:oMath>
      <w:r>
        <w:t xml:space="preserve"> </w:t>
      </w:r>
      <w:r>
        <w:t xml:space="preserve">compared to controls</w:t>
      </w:r>
      <w:r>
        <w:t xml:space="preserve"> </w:t>
      </w:r>
      <w:r>
        <w:t xml:space="preserve">(Andrews et al., 2018)</w:t>
      </w:r>
      <w:r>
        <w:t xml:space="preserve">, which in turn is about the same as for face-to-face treatment</w:t>
      </w:r>
      <w:r>
        <w:t xml:space="preserve"> </w:t>
      </w:r>
      <w:r>
        <w:t xml:space="preserve">(Carlbring et al., 2018)</w:t>
      </w:r>
      <w:r>
        <w:t xml:space="preserve">.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51" w:name="limitations-and-future-directions"/>
    <w:p>
      <w:pPr>
        <w:pStyle w:val="Heading2"/>
      </w:pPr>
      <w:r>
        <w:t xml:space="preserve">Limitations and future directions</w:t>
      </w:r>
    </w:p>
    <w:p>
      <w:pPr>
        <w:pStyle w:val="FirstParagraph"/>
      </w:pPr>
      <w:r>
        <w:t xml:space="preserve">The study design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&amp;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or depression,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51"/>
    <w:bookmarkStart w:id="143" w:name="references"/>
    <w:p>
      <w:pPr>
        <w:pStyle w:val="Heading2"/>
      </w:pPr>
      <w:r>
        <w:t xml:space="preserve">References</w:t>
      </w:r>
    </w:p>
    <w:bookmarkStart w:id="142" w:name="refs"/>
    <w:bookmarkStart w:id="52"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2"/>
    <w:bookmarkStart w:id="53"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3"/>
    <w:bookmarkStart w:id="55"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4">
        <w:r>
          <w:rPr>
            <w:rStyle w:val="Hyperlink"/>
          </w:rPr>
          <w:t xml:space="preserve">https://doi.org/10.1016/j.janxdis.2018.01.001</w:t>
        </w:r>
      </w:hyperlink>
    </w:p>
    <w:bookmarkEnd w:id="55"/>
    <w:bookmarkStart w:id="57"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56">
        <w:r>
          <w:rPr>
            <w:rStyle w:val="Hyperlink"/>
          </w:rPr>
          <w:t xml:space="preserve">https://doi.org/10.1371/journal.pone.0230169</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iarrochi2022"/>
    <w:p>
      <w:pPr>
        <w:pStyle w:val="Bibliography"/>
      </w:pPr>
      <w:r>
        <w:t xml:space="preserve">Ciarrochi, J., Sahdra, B., Hofmann, S. G., &amp; Hayes, S. C. (2022). Developing an item pool to assess processes of change in psychological interventions: The process-based assessment tool (PBAT).</w:t>
      </w:r>
      <w:r>
        <w:t xml:space="preserve"> </w:t>
      </w:r>
      <w:r>
        <w:rPr>
          <w:iCs/>
          <w:i/>
        </w:rPr>
        <w:t xml:space="preserve">Journal of Contextual Behavioral Science</w:t>
      </w:r>
      <w:r>
        <w:t xml:space="preserve">,</w:t>
      </w:r>
      <w:r>
        <w:t xml:space="preserve"> </w:t>
      </w:r>
      <w:r>
        <w:rPr>
          <w:iCs/>
          <w:i/>
        </w:rPr>
        <w:t xml:space="preserve">23</w:t>
      </w:r>
      <w:r>
        <w:t xml:space="preserve">, 200–213.</w:t>
      </w:r>
      <w:r>
        <w:t xml:space="preserve"> </w:t>
      </w:r>
      <w:hyperlink r:id="rId67">
        <w:r>
          <w:rPr>
            <w:rStyle w:val="Hyperlink"/>
          </w:rPr>
          <w:t xml:space="preserve">https://doi.org/10.1016/j.jcbs.2022.02.001</w:t>
        </w:r>
      </w:hyperlink>
    </w:p>
    <w:bookmarkEnd w:id="68"/>
    <w:bookmarkStart w:id="70"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9">
        <w:r>
          <w:rPr>
            <w:rStyle w:val="Hyperlink"/>
          </w:rPr>
          <w:t xml:space="preserve">https://doi.org/10.1016/0005-7967(86)90011-2</w:t>
        </w:r>
      </w:hyperlink>
    </w:p>
    <w:bookmarkEnd w:id="70"/>
    <w:bookmarkStart w:id="71"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1"/>
    <w:bookmarkStart w:id="73"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2">
        <w:r>
          <w:rPr>
            <w:rStyle w:val="Hyperlink"/>
          </w:rPr>
          <w:t xml:space="preserve">https://CRAN.R-project.org/package=clinicalsignificance</w:t>
        </w:r>
      </w:hyperlink>
    </w:p>
    <w:bookmarkEnd w:id="73"/>
    <w:bookmarkStart w:id="74"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4"/>
    <w:bookmarkStart w:id="76"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5">
        <w:r>
          <w:rPr>
            <w:rStyle w:val="Hyperlink"/>
          </w:rPr>
          <w:t xml:space="preserve">https://doi.org/10.1016/j.brat.2007.10.003</w:t>
        </w:r>
      </w:hyperlink>
    </w:p>
    <w:bookmarkEnd w:id="76"/>
    <w:bookmarkStart w:id="78"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7">
        <w:r>
          <w:rPr>
            <w:rStyle w:val="Hyperlink"/>
          </w:rPr>
          <w:t xml:space="preserve">https://doi.org/10.1002/wps.20346</w:t>
        </w:r>
      </w:hyperlink>
    </w:p>
    <w:bookmarkEnd w:id="78"/>
    <w:bookmarkStart w:id="80"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9">
        <w:r>
          <w:rPr>
            <w:rStyle w:val="Hyperlink"/>
          </w:rPr>
          <w:t xml:space="preserve">https://doi.org/10.1016/j.brat.2013.03.003</w:t>
        </w:r>
      </w:hyperlink>
    </w:p>
    <w:bookmarkEnd w:id="80"/>
    <w:bookmarkStart w:id="81"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1"/>
    <w:bookmarkStart w:id="83" w:name="ref-Fledderus2012"/>
    <w:p>
      <w:pPr>
        <w:pStyle w:val="Bibliography"/>
      </w:pPr>
      <w:r>
        <w:t xml:space="preserve">Fledderus, M., Voshaar, M. A. H. O., Klooster, P. M. ten, &amp; Bohlmeijer, E. T. (2012). Further evaluation of the psychometric properties of the acceptance and action questionnaire–II.</w:t>
      </w:r>
      <w:r>
        <w:t xml:space="preserve"> </w:t>
      </w:r>
      <w:r>
        <w:rPr>
          <w:iCs/>
          <w:i/>
        </w:rPr>
        <w:t xml:space="preserve">Psychological Assessment</w:t>
      </w:r>
      <w:r>
        <w:t xml:space="preserve">,</w:t>
      </w:r>
      <w:r>
        <w:t xml:space="preserve"> </w:t>
      </w:r>
      <w:r>
        <w:rPr>
          <w:iCs/>
          <w:i/>
        </w:rPr>
        <w:t xml:space="preserve">24</w:t>
      </w:r>
      <w:r>
        <w:t xml:space="preserve">, 925–936.</w:t>
      </w:r>
      <w:r>
        <w:t xml:space="preserve"> </w:t>
      </w:r>
      <w:hyperlink r:id="rId82">
        <w:r>
          <w:rPr>
            <w:rStyle w:val="Hyperlink"/>
          </w:rPr>
          <w:t xml:space="preserve">https://doi.org/10.1037/a0028200</w:t>
        </w:r>
      </w:hyperlink>
    </w:p>
    <w:bookmarkEnd w:id="83"/>
    <w:bookmarkStart w:id="85"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4">
        <w:r>
          <w:rPr>
            <w:rStyle w:val="Hyperlink"/>
          </w:rPr>
          <w:t xml:space="preserve">https://doi.org/10.1017/S0033291701004056</w:t>
        </w:r>
      </w:hyperlink>
    </w:p>
    <w:bookmarkEnd w:id="85"/>
    <w:bookmarkStart w:id="87"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6">
        <w:r>
          <w:rPr>
            <w:rStyle w:val="Hyperlink"/>
          </w:rPr>
          <w:t xml:space="preserve">https://doi.org/10.1111/acps.12275</w:t>
        </w:r>
      </w:hyperlink>
    </w:p>
    <w:bookmarkEnd w:id="87"/>
    <w:bookmarkStart w:id="88"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8"/>
    <w:bookmarkStart w:id="90"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9">
        <w:r>
          <w:rPr>
            <w:rStyle w:val="Hyperlink"/>
          </w:rPr>
          <w:t xml:space="preserve">https://www.random.org</w:t>
        </w:r>
      </w:hyperlink>
      <w:r>
        <w:t xml:space="preserve">.</w:t>
      </w:r>
    </w:p>
    <w:bookmarkEnd w:id="90"/>
    <w:bookmarkStart w:id="92"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1">
        <w:r>
          <w:rPr>
            <w:rStyle w:val="Hyperlink"/>
          </w:rPr>
          <w:t xml:space="preserve">https://doi.org/10.1016/S0005-7894(04)80013-3</w:t>
        </w:r>
      </w:hyperlink>
    </w:p>
    <w:bookmarkEnd w:id="92"/>
    <w:bookmarkStart w:id="93" w:name="ref-Hull1978"/>
    <w:p>
      <w:pPr>
        <w:pStyle w:val="Bibliography"/>
      </w:pPr>
      <w:r>
        <w:t xml:space="preserve">Hull, D. B., &amp; Hull, J. H. (1978). Rathus assertiveness schedule: Normative and factor-analytic data. In</w:t>
      </w:r>
      <w:r>
        <w:t xml:space="preserve"> </w:t>
      </w:r>
      <w:r>
        <w:rPr>
          <w:iCs/>
          <w:i/>
        </w:rPr>
        <w:t xml:space="preserve">BEHAVIOR THERAPY</w:t>
      </w:r>
      <w:r>
        <w:t xml:space="preserve"> </w:t>
      </w:r>
      <w:r>
        <w:t xml:space="preserve">(Vol. 9, p. 673).</w:t>
      </w:r>
    </w:p>
    <w:bookmarkEnd w:id="93"/>
    <w:bookmarkStart w:id="94"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4"/>
    <w:bookmarkStart w:id="96"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5">
        <w:r>
          <w:rPr>
            <w:rStyle w:val="Hyperlink"/>
          </w:rPr>
          <w:t xml:space="preserve">https://doi.org/10.1016/j.genhosppsych.2010.03.006</w:t>
        </w:r>
      </w:hyperlink>
    </w:p>
    <w:bookmarkEnd w:id="96"/>
    <w:bookmarkStart w:id="98"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7">
        <w:r>
          <w:rPr>
            <w:rStyle w:val="Hyperlink"/>
          </w:rPr>
          <w:t xml:space="preserve">https://github.com/runehaubo/lmerTestR</w:t>
        </w:r>
      </w:hyperlink>
    </w:p>
    <w:bookmarkEnd w:id="98"/>
    <w:bookmarkStart w:id="100"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9">
        <w:r>
          <w:rPr>
            <w:rStyle w:val="Hyperlink"/>
          </w:rPr>
          <w:t xml:space="preserve">https://cran.r-project.org/package=emmeans</w:t>
        </w:r>
      </w:hyperlink>
    </w:p>
    <w:bookmarkEnd w:id="100"/>
    <w:bookmarkStart w:id="102" w:name="ref-Lindner2015"/>
    <w:p>
      <w:pPr>
        <w:pStyle w:val="Bibliography"/>
      </w:pPr>
      <w:r>
        <w:t xml:space="preserve">Lindner, P., Nyström, M. B. T., Hassmén, P., Andersson, G., &amp; Carlbring, P. (2015). Who seeks ICBT for depression and how do they get there? Effects of recruitment source on patient demographics and clinical characteristics.</w:t>
      </w:r>
      <w:r>
        <w:t xml:space="preserve"> </w:t>
      </w:r>
      <w:r>
        <w:rPr>
          <w:iCs/>
          <w:i/>
        </w:rPr>
        <w:t xml:space="preserve">Internet Interventions</w:t>
      </w:r>
      <w:r>
        <w:t xml:space="preserve">,</w:t>
      </w:r>
      <w:r>
        <w:t xml:space="preserve"> </w:t>
      </w:r>
      <w:r>
        <w:rPr>
          <w:iCs/>
          <w:i/>
        </w:rPr>
        <w:t xml:space="preserve">2</w:t>
      </w:r>
      <w:r>
        <w:t xml:space="preserve">, 221–225.</w:t>
      </w:r>
      <w:r>
        <w:t xml:space="preserve"> </w:t>
      </w:r>
      <w:hyperlink r:id="rId101">
        <w:r>
          <w:rPr>
            <w:rStyle w:val="Hyperlink"/>
          </w:rPr>
          <w:t xml:space="preserve">https://doi.org/10.1016/j.invent.2015.04.002</w:t>
        </w:r>
      </w:hyperlink>
    </w:p>
    <w:bookmarkEnd w:id="102"/>
    <w:bookmarkStart w:id="104"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3">
        <w:r>
          <w:rPr>
            <w:rStyle w:val="Hyperlink"/>
          </w:rPr>
          <w:t xml:space="preserve">https://doi.org/10.1016/B978-0-12-404480-7.50013-7</w:t>
        </w:r>
      </w:hyperlink>
    </w:p>
    <w:bookmarkEnd w:id="104"/>
    <w:bookmarkStart w:id="105"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5"/>
    <w:bookmarkStart w:id="107"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6">
        <w:r>
          <w:rPr>
            <w:rStyle w:val="Hyperlink"/>
          </w:rPr>
          <w:t xml:space="preserve">https://doi.org/10.21105/joss.00772</w:t>
        </w:r>
      </w:hyperlink>
    </w:p>
    <w:bookmarkEnd w:id="107"/>
    <w:bookmarkStart w:id="109"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8">
        <w:r>
          <w:rPr>
            <w:rStyle w:val="Hyperlink"/>
          </w:rPr>
          <w:t xml:space="preserve">https://easystats.github.io/performance/</w:t>
        </w:r>
      </w:hyperlink>
    </w:p>
    <w:bookmarkEnd w:id="109"/>
    <w:bookmarkStart w:id="111" w:name="ref-Lundgren2016"/>
    <w:p>
      <w:pPr>
        <w:pStyle w:val="Bibliography"/>
      </w:pPr>
      <w:r>
        <w:t xml:space="preserve">Lundgren, T., &amp; Parling, T. (2017). Swedish acceptance and action questionnaire (SAAQ): A psychometric evaluation.</w:t>
      </w:r>
      <w:r>
        <w:t xml:space="preserve"> </w:t>
      </w:r>
      <w:r>
        <w:rPr>
          <w:iCs/>
          <w:i/>
        </w:rPr>
        <w:t xml:space="preserve">Cognitive Behaviour Therapy</w:t>
      </w:r>
      <w:r>
        <w:t xml:space="preserve">,</w:t>
      </w:r>
      <w:r>
        <w:t xml:space="preserve"> </w:t>
      </w:r>
      <w:r>
        <w:rPr>
          <w:iCs/>
          <w:i/>
        </w:rPr>
        <w:t xml:space="preserve">46</w:t>
      </w:r>
      <w:r>
        <w:t xml:space="preserve">, 315–326.</w:t>
      </w:r>
      <w:r>
        <w:t xml:space="preserve"> </w:t>
      </w:r>
      <w:hyperlink r:id="rId110">
        <w:r>
          <w:rPr>
            <w:rStyle w:val="Hyperlink"/>
          </w:rPr>
          <w:t xml:space="preserve">https://doi.org/10.1080/16506073.2016.1250228</w:t>
        </w:r>
      </w:hyperlink>
    </w:p>
    <w:bookmarkEnd w:id="111"/>
    <w:bookmarkStart w:id="113"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12">
        <w:r>
          <w:rPr>
            <w:rStyle w:val="Hyperlink"/>
          </w:rPr>
          <w:t xml:space="preserve">www.cci.health.wa.gov.au/Resources/Looking-After-Yourself/Assertiveness</w:t>
        </w:r>
      </w:hyperlink>
    </w:p>
    <w:bookmarkEnd w:id="113"/>
    <w:bookmarkStart w:id="115"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14">
        <w:r>
          <w:rPr>
            <w:rStyle w:val="Hyperlink"/>
          </w:rPr>
          <w:t xml:space="preserve">https://doi.org/10.1111/jpr.12185</w:t>
        </w:r>
      </w:hyperlink>
    </w:p>
    <w:bookmarkEnd w:id="115"/>
    <w:bookmarkStart w:id="116"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6"/>
    <w:bookmarkStart w:id="117"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7"/>
    <w:bookmarkStart w:id="119"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8">
        <w:r>
          <w:rPr>
            <w:rStyle w:val="Hyperlink"/>
          </w:rPr>
          <w:t xml:space="preserve">https://doi.org/10.1016/S0005-7894(73)80120-0</w:t>
        </w:r>
      </w:hyperlink>
    </w:p>
    <w:bookmarkEnd w:id="119"/>
    <w:bookmarkStart w:id="121"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20">
        <w:r>
          <w:rPr>
            <w:rStyle w:val="Hyperlink"/>
          </w:rPr>
          <w:t xml:space="preserve">https://doi.org/10.1037/ccp0000023</w:t>
        </w:r>
      </w:hyperlink>
    </w:p>
    <w:bookmarkEnd w:id="121"/>
    <w:bookmarkStart w:id="123"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22">
        <w:r>
          <w:rPr>
            <w:rStyle w:val="Hyperlink"/>
          </w:rPr>
          <w:t xml:space="preserve">https://doi.org/10.1016/j.brat.2017.05.015</w:t>
        </w:r>
      </w:hyperlink>
    </w:p>
    <w:bookmarkEnd w:id="123"/>
    <w:bookmarkStart w:id="124"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4"/>
    <w:bookmarkStart w:id="126"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5">
        <w:r>
          <w:rPr>
            <w:rStyle w:val="Hyperlink"/>
          </w:rPr>
          <w:t xml:space="preserve">https://sealedenvelope.com/simple-randomiser/v1</w:t>
        </w:r>
      </w:hyperlink>
      <w:r>
        <w:t xml:space="preserve">.</w:t>
      </w:r>
    </w:p>
    <w:bookmarkEnd w:id="126"/>
    <w:bookmarkStart w:id="128" w:name="ref-Sigler2008"/>
    <w:p>
      <w:pPr>
        <w:pStyle w:val="Bibliography"/>
      </w:pPr>
      <w:r>
        <w:t xml:space="preserve">Sigler, K., Burnett, A., &amp; Child, J. T. (2008). A regional analysis of assertiveness.</w:t>
      </w:r>
      <w:r>
        <w:t xml:space="preserve"> </w:t>
      </w:r>
      <w:r>
        <w:rPr>
          <w:iCs/>
          <w:i/>
        </w:rPr>
        <w:t xml:space="preserve">Journal of Intercultural Communication Research</w:t>
      </w:r>
      <w:r>
        <w:t xml:space="preserve">,</w:t>
      </w:r>
      <w:r>
        <w:t xml:space="preserve"> </w:t>
      </w:r>
      <w:r>
        <w:rPr>
          <w:iCs/>
          <w:i/>
        </w:rPr>
        <w:t xml:space="preserve">37</w:t>
      </w:r>
      <w:r>
        <w:t xml:space="preserve">, 89–104.</w:t>
      </w:r>
      <w:r>
        <w:t xml:space="preserve"> </w:t>
      </w:r>
      <w:hyperlink r:id="rId127">
        <w:r>
          <w:rPr>
            <w:rStyle w:val="Hyperlink"/>
          </w:rPr>
          <w:t xml:space="preserve">https://doi.org/10.1080/17475750802533364</w:t>
        </w:r>
      </w:hyperlink>
    </w:p>
    <w:bookmarkEnd w:id="128"/>
    <w:bookmarkStart w:id="129"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9"/>
    <w:bookmarkStart w:id="131"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30">
        <w:r>
          <w:rPr>
            <w:rStyle w:val="Hyperlink"/>
          </w:rPr>
          <w:t xml:space="preserve">https://doi.org/10.1111/cpsp.12216</w:t>
        </w:r>
      </w:hyperlink>
    </w:p>
    <w:bookmarkEnd w:id="131"/>
    <w:bookmarkStart w:id="133"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32">
        <w:r>
          <w:rPr>
            <w:rStyle w:val="Hyperlink"/>
          </w:rPr>
          <w:t xml:space="preserve">https://doi.org/10.1001/archinte.166.10.1092</w:t>
        </w:r>
      </w:hyperlink>
    </w:p>
    <w:bookmarkEnd w:id="133"/>
    <w:bookmarkStart w:id="135"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34">
        <w:r>
          <w:rPr>
            <w:rStyle w:val="Hyperlink"/>
          </w:rPr>
          <w:t xml:space="preserve">https://doi.org/10.1007/s10862-011-9226-9</w:t>
        </w:r>
      </w:hyperlink>
    </w:p>
    <w:bookmarkEnd w:id="135"/>
    <w:bookmarkStart w:id="137"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6">
        <w:r>
          <w:rPr>
            <w:rStyle w:val="Hyperlink"/>
          </w:rPr>
          <w:t xml:space="preserve">https://doi.org/10.1007/s10942-018-0296-4</w:t>
        </w:r>
      </w:hyperlink>
    </w:p>
    <w:bookmarkEnd w:id="137"/>
    <w:bookmarkStart w:id="138" w:name="ref-Wilson2010"/>
    <w:p>
      <w:pPr>
        <w:pStyle w:val="Bibliography"/>
      </w:pPr>
      <w:r>
        <w:t xml:space="preserve">Wilson, K. G., Sandoz, E. K., Kitchens, J., &amp; Roberts, M. (2010). The valued living questionnaire: Defining and measuring valued action within a behavioral framework. In</w:t>
      </w:r>
      <w:r>
        <w:t xml:space="preserve"> </w:t>
      </w:r>
      <w:r>
        <w:rPr>
          <w:iCs/>
          <w:i/>
        </w:rPr>
        <w:t xml:space="preserve">The Psychological Record</w:t>
      </w:r>
      <w:r>
        <w:t xml:space="preserve"> </w:t>
      </w:r>
      <w:r>
        <w:t xml:space="preserve">(Vol. 60, pp. 249–272).</w:t>
      </w:r>
    </w:p>
    <w:bookmarkEnd w:id="138"/>
    <w:bookmarkStart w:id="139"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9"/>
    <w:bookmarkStart w:id="140" w:name="ref-wolpe1990practice"/>
    <w:p>
      <w:pPr>
        <w:pStyle w:val="Bibliography"/>
      </w:pPr>
      <w:r>
        <w:t xml:space="preserve">Wolpe, J. (1990).</w:t>
      </w:r>
      <w:r>
        <w:t xml:space="preserve"> </w:t>
      </w:r>
      <w:r>
        <w:rPr>
          <w:iCs/>
          <w:i/>
        </w:rPr>
        <w:t xml:space="preserve">The practice of behavior therapy</w:t>
      </w:r>
      <w:r>
        <w:t xml:space="preserve">. Pergamon Press.</w:t>
      </w:r>
    </w:p>
    <w:bookmarkEnd w:id="140"/>
    <w:bookmarkStart w:id="141"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41"/>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72"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77" Target="https://doi.org/10.1002/wps.20346"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69" Target="https://doi.org/10.1016/0005-7967(86)90011-2" TargetMode="External" /><Relationship Type="http://schemas.openxmlformats.org/officeDocument/2006/relationships/hyperlink" Id="rId103" Target="https://doi.org/10.1016/B978-0-12-404480-7.50013-7" TargetMode="External" /><Relationship Type="http://schemas.openxmlformats.org/officeDocument/2006/relationships/hyperlink" Id="rId91" Target="https://doi.org/10.1016/S0005-7894(04)80013-3" TargetMode="External" /><Relationship Type="http://schemas.openxmlformats.org/officeDocument/2006/relationships/hyperlink" Id="rId118" Target="https://doi.org/10.1016/S0005-7894(73)80120-0" TargetMode="External" /><Relationship Type="http://schemas.openxmlformats.org/officeDocument/2006/relationships/hyperlink" Id="rId75" Target="https://doi.org/10.1016/j.brat.2007.10.003" TargetMode="External" /><Relationship Type="http://schemas.openxmlformats.org/officeDocument/2006/relationships/hyperlink" Id="rId79" Target="https://doi.org/10.1016/j.brat.2013.03.003" TargetMode="External" /><Relationship Type="http://schemas.openxmlformats.org/officeDocument/2006/relationships/hyperlink" Id="rId122"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101" Target="https://doi.org/10.1016/j.invent.2015.04.002" TargetMode="External" /><Relationship Type="http://schemas.openxmlformats.org/officeDocument/2006/relationships/hyperlink" Id="rId54" Target="https://doi.org/10.1016/j.janxdis.2018.01.001" TargetMode="External" /><Relationship Type="http://schemas.openxmlformats.org/officeDocument/2006/relationships/hyperlink" Id="rId67" Target="https://doi.org/10.1016/j.jcbs.2022.02.001" TargetMode="External" /><Relationship Type="http://schemas.openxmlformats.org/officeDocument/2006/relationships/hyperlink" Id="rId84" Target="https://doi.org/10.1017/S0033291701004056" TargetMode="External" /><Relationship Type="http://schemas.openxmlformats.org/officeDocument/2006/relationships/hyperlink" Id="rId82" Target="https://doi.org/10.1037/a0028200" TargetMode="External" /><Relationship Type="http://schemas.openxmlformats.org/officeDocument/2006/relationships/hyperlink" Id="rId120" Target="https://doi.org/10.1037/ccp0000023" TargetMode="External" /><Relationship Type="http://schemas.openxmlformats.org/officeDocument/2006/relationships/hyperlink" Id="rId110" Target="https://doi.org/10.1080/16506073.2016.1250228" TargetMode="External" /><Relationship Type="http://schemas.openxmlformats.org/officeDocument/2006/relationships/hyperlink" Id="rId63" Target="https://doi.org/10.1080/16506073.2017.1401115" TargetMode="External" /><Relationship Type="http://schemas.openxmlformats.org/officeDocument/2006/relationships/hyperlink" Id="rId127" Target="https://doi.org/10.1080/17475750802533364" TargetMode="External" /><Relationship Type="http://schemas.openxmlformats.org/officeDocument/2006/relationships/hyperlink" Id="rId86"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4" Target="https://doi.org/10.1111/jpr.12185" TargetMode="External" /><Relationship Type="http://schemas.openxmlformats.org/officeDocument/2006/relationships/hyperlink" Id="rId65" Target="https://doi.org/10.1146/annurev.psych.52.1.685" TargetMode="External" /><Relationship Type="http://schemas.openxmlformats.org/officeDocument/2006/relationships/hyperlink" Id="rId56" Target="https://doi.org/10.1371/journal.pone.0230169" TargetMode="External" /><Relationship Type="http://schemas.openxmlformats.org/officeDocument/2006/relationships/hyperlink" Id="rId106"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8"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5" Target="https://sealedenvelope.com/simple-randomiser/v1" TargetMode="External" /><Relationship Type="http://schemas.openxmlformats.org/officeDocument/2006/relationships/hyperlink" Id="rId112" Target="https://www.cci.health.wa.gov.au/Resources/Looking-After-Yourself/Assertiveness" TargetMode="External" /><Relationship Type="http://schemas.openxmlformats.org/officeDocument/2006/relationships/hyperlink" Id="rId89"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2"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77" Target="https://doi.org/10.1002/wps.20346"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69" Target="https://doi.org/10.1016/0005-7967(86)90011-2" TargetMode="External" /><Relationship Type="http://schemas.openxmlformats.org/officeDocument/2006/relationships/hyperlink" Id="rId103" Target="https://doi.org/10.1016/B978-0-12-404480-7.50013-7" TargetMode="External" /><Relationship Type="http://schemas.openxmlformats.org/officeDocument/2006/relationships/hyperlink" Id="rId91" Target="https://doi.org/10.1016/S0005-7894(04)80013-3" TargetMode="External" /><Relationship Type="http://schemas.openxmlformats.org/officeDocument/2006/relationships/hyperlink" Id="rId118" Target="https://doi.org/10.1016/S0005-7894(73)80120-0" TargetMode="External" /><Relationship Type="http://schemas.openxmlformats.org/officeDocument/2006/relationships/hyperlink" Id="rId75" Target="https://doi.org/10.1016/j.brat.2007.10.003" TargetMode="External" /><Relationship Type="http://schemas.openxmlformats.org/officeDocument/2006/relationships/hyperlink" Id="rId79" Target="https://doi.org/10.1016/j.brat.2013.03.003" TargetMode="External" /><Relationship Type="http://schemas.openxmlformats.org/officeDocument/2006/relationships/hyperlink" Id="rId122"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101" Target="https://doi.org/10.1016/j.invent.2015.04.002" TargetMode="External" /><Relationship Type="http://schemas.openxmlformats.org/officeDocument/2006/relationships/hyperlink" Id="rId54" Target="https://doi.org/10.1016/j.janxdis.2018.01.001" TargetMode="External" /><Relationship Type="http://schemas.openxmlformats.org/officeDocument/2006/relationships/hyperlink" Id="rId67" Target="https://doi.org/10.1016/j.jcbs.2022.02.001" TargetMode="External" /><Relationship Type="http://schemas.openxmlformats.org/officeDocument/2006/relationships/hyperlink" Id="rId84" Target="https://doi.org/10.1017/S0033291701004056" TargetMode="External" /><Relationship Type="http://schemas.openxmlformats.org/officeDocument/2006/relationships/hyperlink" Id="rId82" Target="https://doi.org/10.1037/a0028200" TargetMode="External" /><Relationship Type="http://schemas.openxmlformats.org/officeDocument/2006/relationships/hyperlink" Id="rId120" Target="https://doi.org/10.1037/ccp0000023" TargetMode="External" /><Relationship Type="http://schemas.openxmlformats.org/officeDocument/2006/relationships/hyperlink" Id="rId110" Target="https://doi.org/10.1080/16506073.2016.1250228" TargetMode="External" /><Relationship Type="http://schemas.openxmlformats.org/officeDocument/2006/relationships/hyperlink" Id="rId63" Target="https://doi.org/10.1080/16506073.2017.1401115" TargetMode="External" /><Relationship Type="http://schemas.openxmlformats.org/officeDocument/2006/relationships/hyperlink" Id="rId127" Target="https://doi.org/10.1080/17475750802533364" TargetMode="External" /><Relationship Type="http://schemas.openxmlformats.org/officeDocument/2006/relationships/hyperlink" Id="rId86"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4" Target="https://doi.org/10.1111/jpr.12185" TargetMode="External" /><Relationship Type="http://schemas.openxmlformats.org/officeDocument/2006/relationships/hyperlink" Id="rId65" Target="https://doi.org/10.1146/annurev.psych.52.1.685" TargetMode="External" /><Relationship Type="http://schemas.openxmlformats.org/officeDocument/2006/relationships/hyperlink" Id="rId56" Target="https://doi.org/10.1371/journal.pone.0230169" TargetMode="External" /><Relationship Type="http://schemas.openxmlformats.org/officeDocument/2006/relationships/hyperlink" Id="rId106"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8"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5" Target="https://sealedenvelope.com/simple-randomiser/v1" TargetMode="External" /><Relationship Type="http://schemas.openxmlformats.org/officeDocument/2006/relationships/hyperlink" Id="rId112" Target="https://www.cci.health.wa.gov.au/Resources/Looking-After-Yourself/Assertiveness" TargetMode="External" /><Relationship Type="http://schemas.openxmlformats.org/officeDocument/2006/relationships/hyperlink" Id="rId89"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2022-08-17T08:40:34Z</dcterms:created>
  <dcterms:modified xsi:type="dcterms:W3CDTF">2022-08-17T08:40:34Z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Assertion training today makes up an important part in several flavors of cognitive-behavioral psychotherapy, such as for social phobia and in dialectical behavioral therapy (DBT). However, with few exceptions, the construct has been neglected in clinical research in recent decades.Objective. To investigate the efficacy of an eight-week transdiagnostic stand-alone iCBT-intervention, specifically aimed at increasing levels of assertive behavior.Methods. After ethical approval, we randomized n = 210 non-clinical volunteers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(AAA-S), and the Rathus Assertiveness Schedule (RAS), and secondary outcome measures of anxiety and depression. We also assessed and tested reliable clincial change at these time points.Results. The estimated effect sizes on self-rated adaptive assertivness were statistically equivalent for the two treatment groups both at the post time point and the follow-up, ranging from ES = 1.00 to ES = 1.73, with reliable clinical recovery proportions from 19% to 36%. The effects for aggressive assertiveness ranged from ES = 0.40 to ES = 0.72, with no observed reliable clinical change. For social anxiety, the effects ranged from ES = 0.90 to ES = 0.95, with reliable clinical recovery from 16% to 26%. No effects were observed for generalized anxiety, but in the guided treatment condition, at follow-up, large effects were found also for depression.Conclusions. We found that participation increased healthy assertive expressions, thereby reducing self-assessed social anxiety. With therapist support, participation also reduced levels of depression over time. The findings demonstrate the viability of stand-alone assertion training in the treatment of both psychiatric syndromes and non-syndromal problems in daily life, meriting further research.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preprint, 3p, authoryear</vt:lpwstr>
  </property>
  <property fmtid="{D5CDD505-2E9C-101B-9397-08002B2CF9AE}" pid="6" name="csl">
    <vt:lpwstr>./apa.csl</vt:lpwstr>
  </property>
  <property fmtid="{D5CDD505-2E9C-101B-9397-08002B2CF9AE}" pid="7" name="date">
    <vt:lpwstr>2022-08-17</vt:lpwstr>
  </property>
  <property fmtid="{D5CDD505-2E9C-101B-9397-08002B2CF9AE}" pid="8" name="header-includes">
    <vt:lpwstr/>
  </property>
  <property fmtid="{D5CDD505-2E9C-101B-9397-08002B2CF9AE}" pid="9" name="journal">
    <vt:lpwstr>??</vt:lpwstr>
  </property>
  <property fmtid="{D5CDD505-2E9C-101B-9397-08002B2CF9AE}" pid="10" name="knit">
    <vt:lpwstr>(function(inputFile, encoding){ 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