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07</w:t>
      </w:r>
      <w:r>
        <w:t xml:space="preserve"> </w:t>
      </w:r>
      <w:r>
        <w:t xml:space="preserve">July</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w:t>
      </w:r>
      <w:hyperlink w:anchor="ref-LINEHAN1979">
        <w:r>
          <w:rPr>
            <w:rStyle w:val="Hyperlink"/>
          </w:rPr>
          <w:t xml:space="preserve">Linehan, 1979</w:t>
        </w:r>
      </w:hyperlink>
      <w:r>
        <w:t xml:space="preserve">)</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personal rights without infringing on the rights of others. A constructive assertion takes into account both the desired result of the interaction (e.g. having said no to someone else’s demand, or having made a request) and the intensity of the interaction, where the latter is calibrated with regards to both the importance of the relationship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Assertive behavior, using this definition, can be thought of as the product of respect for the rights of others, and respect for the rights of oneself.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 and</w:t>
      </w:r>
      <w:r>
        <w:t xml:space="preserve"> </w:t>
      </w:r>
      <w:r>
        <w:t xml:space="preserve">Antúnez (</w:t>
      </w:r>
      <w:hyperlink w:anchor="ref-Antunez2020">
        <w:r>
          <w:rPr>
            <w:rStyle w:val="Hyperlink"/>
          </w:rPr>
          <w:t xml:space="preserve">2020</w:t>
        </w:r>
      </w:hyperlink>
      <w:r>
        <w:t xml:space="preserve">)</w:t>
      </w:r>
      <w:r>
        <w:t xml:space="preserve">, highlighting a link between circadian typology and different constructs related to mental health, among them levels of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w:t>
      </w:r>
      <w:r>
        <w:t xml:space="preserve"> </w:t>
      </w:r>
      <m:oMath>
        <m:r>
          <m:t>g</m:t>
        </m:r>
      </m:oMath>
      <w:r>
        <w:t xml:space="preserve"> </w:t>
      </w:r>
      <w:r>
        <w:t xml:space="preserve">=</w:t>
      </w:r>
      <w:r>
        <w:t xml:space="preserve"> </w:t>
      </w:r>
      <m:oMath>
        <m:r>
          <m:t>0.8</m:t>
        </m:r>
      </m:oMath>
      <w:r>
        <w:t xml:space="preserve">,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iCBT has been proven effective both in guided and unguided applications (i.e., with or without therapist support),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also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(2) Unguided self-help, and (3) a ten-week Waitlist control. A sample size of 210 participants (70 per group) was decided on through an a priori power calculation according to guidelines for linear models outlined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0.80 on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power 0.90,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an online screening. The online screening included self-report measures of anxiety, depression, and assertiveness, as well as questions regarding socio-demographics, experiences of psychological treatment, any current medication, and motivation for participation. See Table 1 for a summary of socio-demographic characteristics collected Pre-treatment.</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Data were collected using the below measures at four time-points: week 0 (pre-treatment), week 4 (midway through the intervention), week 8 (post-treatment), and at a one-year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w:t>
      </w:r>
      <w:r>
        <w:t xml:space="preserve"> </w:t>
      </w:r>
      <w:hyperlink w:anchor="ref-Thompson2011">
        <w:r>
          <w:rPr>
            <w:rStyle w:val="Hyperlink"/>
          </w:rPr>
          <w:t xml:space="preserve">Thompson &amp; Berenbaum, 2011</w:t>
        </w:r>
      </w:hyperlink>
      <w:r>
        <w:t xml:space="preserve">)</w:t>
      </w:r>
      <w:r>
        <w:t xml:space="preserve"> </w:t>
      </w:r>
      <w:r>
        <w:t xml:space="preserve">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w:t>
      </w:r>
      <w:r>
        <w:t xml:space="preserve"> </w:t>
      </w:r>
      <w:r>
        <w:t xml:space="preserve">(RAS;</w:t>
      </w:r>
      <w:r>
        <w:t xml:space="preserve"> </w:t>
      </w:r>
      <w:hyperlink w:anchor="ref-Rathus1973">
        <w:r>
          <w:rPr>
            <w:rStyle w:val="Hyperlink"/>
          </w:rPr>
          <w:t xml:space="preserve">Rathus, 1973</w:t>
        </w:r>
      </w:hyperlink>
      <w:r>
        <w:t xml:space="preserve">)</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w:t>
      </w:r>
      <w:r>
        <w:t xml:space="preserve"> </w:t>
      </w:r>
      <w:r>
        <w:t xml:space="preserve">(PHQ-9;</w:t>
      </w:r>
      <w:r>
        <w:t xml:space="preserve"> </w:t>
      </w:r>
      <w:hyperlink w:anchor="ref-Kroenke2010">
        <w:r>
          <w:rPr>
            <w:rStyle w:val="Hyperlink"/>
          </w:rPr>
          <w:t xml:space="preserve">Kroenke et al., 2010</w:t>
        </w:r>
      </w:hyperlink>
      <w:r>
        <w:t xml:space="preserve">)</w:t>
      </w:r>
      <w:r>
        <w:t xml:space="preserve"> </w:t>
      </w:r>
      <w:r>
        <w:t xml:space="preserve">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w:t>
      </w:r>
      <w:r>
        <w:t xml:space="preserve"> </w:t>
      </w:r>
      <w:r>
        <w:t xml:space="preserve">(GAD-7;</w:t>
      </w:r>
      <w:r>
        <w:t xml:space="preserve"> </w:t>
      </w:r>
      <w:hyperlink w:anchor="ref-Kroenke2006">
        <w:r>
          <w:rPr>
            <w:rStyle w:val="Hyperlink"/>
          </w:rPr>
          <w:t xml:space="preserve">Spitzer et al., 2006</w:t>
        </w:r>
      </w:hyperlink>
      <w:r>
        <w:t xml:space="preserve">)</w:t>
      </w:r>
      <w:r>
        <w:t xml:space="preserve"> </w:t>
      </w:r>
      <w:r>
        <w:t xml:space="preserve">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w:t>
      </w:r>
      <w:r>
        <w:t xml:space="preserve"> </w:t>
      </w:r>
      <w:r>
        <w:t xml:space="preserve">(LSAS-SR;</w:t>
      </w:r>
      <w:r>
        <w:t xml:space="preserve"> </w:t>
      </w:r>
      <w:hyperlink w:anchor="ref-Fresco2001">
        <w:r>
          <w:rPr>
            <w:rStyle w:val="Hyperlink"/>
          </w:rPr>
          <w:t xml:space="preserve">Fresco et al., 2001</w:t>
        </w:r>
      </w:hyperlink>
      <w:r>
        <w:t xml:space="preserve">)</w:t>
      </w:r>
      <w:r>
        <w:t xml:space="preserve"> </w:t>
      </w:r>
      <w:r>
        <w:t xml:space="preserve">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to achieve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w:t>
      </w:r>
      <w:r>
        <w:t xml:space="preserve"> </w:t>
      </w:r>
      <w:r>
        <w:t xml:space="preserve">(e.g.,</w:t>
      </w:r>
      <w:r>
        <w:t xml:space="preserve"> </w:t>
      </w:r>
      <w:hyperlink w:anchor="ref-Craske2008">
        <w:r>
          <w:rPr>
            <w:rStyle w:val="Hyperlink"/>
          </w:rPr>
          <w:t xml:space="preserve">Craske et al., 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involving homework feedback, encouragement, validation, psychoeducation, and answers to any questions. Therapists were allocated 15 minutes of work, per participant and week.</w:t>
      </w:r>
    </w:p>
    <w:bookmarkStart w:id="34"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they were further randomized into groups Unguided self-help, Guided self-help,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Unguided self-help, Guided self-help,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Significance of all post-hoc tests were decided with Bonferroni-corrected p-values. The proportions of participants showing reliable change and reaching clinical significance were determined following</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values were filled in with the value from the previous time point.</w:t>
      </w:r>
    </w:p>
    <w:bookmarkEnd w:id="41"/>
    <w:bookmarkEnd w:id="42"/>
    <w:bookmarkStart w:id="57" w:name="results"/>
    <w:p>
      <w:pPr>
        <w:pStyle w:val="Heading1"/>
      </w:pPr>
      <w:r>
        <w:t xml:space="preserve">Results</w:t>
      </w:r>
    </w:p>
    <w:p>
      <w:pPr>
        <w:pStyle w:val="CaptionedFigure"/>
      </w:pPr>
      <w:r>
        <w:drawing>
          <wp:inline>
            <wp:extent cx="5334000" cy="42672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Unguided self-help and Guided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4267200"/>
            <wp:effectExtent b="0" l="0" r="0" t="0"/>
            <wp:docPr descr="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Unguided self-help and Guided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6" w:name="Xb25c33030a3c3a25653d944f8a887d465e89095"/>
    <w:p>
      <w:pPr>
        <w:pStyle w:val="Heading2"/>
      </w:pPr>
      <w:r>
        <w:t xml:space="preserve">Treatment efficacy, primary and secondary measures</w:t>
      </w:r>
    </w:p>
    <w:p>
      <w:pPr>
        <w:pStyle w:val="FirstParagraph"/>
      </w:pPr>
      <w:r>
        <w:t xml:space="preserve">Mixed models including groups Unguided self-help, Guided self-help, and Waitlist at time-points Pre, During and Post revealed time</w:t>
      </w:r>
      <w:r>
        <w:t xml:space="preserve"> </w:t>
      </w:r>
      <w:r>
        <w:t xml:space="preserve"> </w:t>
      </w:r>
      <w:r>
        <w:t xml:space="preserve">group interaction effects for all three measures of assertiveness: The Adaptive subscale of AAA-S,</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.001</m:t>
        </m:r>
      </m:oMath>
      <w:r>
        <w:t xml:space="preserve">, the Aggressive subscale of AAA-S,</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.001</m:t>
        </m:r>
      </m:oMath>
      <w:r>
        <w:t xml:space="preserve">. These interactions show that the random assignment to group conditions did have an effect over time on assertive behaviors. Similarily, mixed models for the syndromal symptoms revealed time</w:t>
      </w:r>
      <w:r>
        <w:t xml:space="preserve"> </w:t>
      </w:r>
      <w:r>
        <w:t xml:space="preserve"> </w:t>
      </w:r>
      <w:r>
        <w:t xml:space="preserve">group interaction effects for all three measures of anxiety and depression: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.001</m:t>
        </m:r>
      </m:oMath>
      <w:r>
        <w:t xml:space="preserv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.026</m:t>
        </m:r>
      </m:oMath>
      <w:r>
        <w:t xml:space="preserve">, and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.001</m:t>
        </m:r>
      </m:oMath>
      <w:r>
        <w:t xml:space="preserve">. Estimated mean levels of depressive mood and generalized and social anxiety symptoms were significantly affected by participation in the intervention.</w:t>
      </w:r>
    </w:p>
    <w:bookmarkStart w:id="49" w:name="X259a991c260b889c05c789cd47bdeff41252dda"/>
    <w:p>
      <w:pPr>
        <w:pStyle w:val="Heading3"/>
      </w:pPr>
      <w:r>
        <w:t xml:space="preserve">Between-group effects on assertive behaviors</w:t>
      </w:r>
    </w:p>
    <w:p>
      <w:pPr>
        <w:pStyle w:val="FirstParagraph"/>
      </w:pPr>
      <w:r>
        <w:t xml:space="preserve">Post-hoc testing of marginal mean differences in pairwise comparisons between all groups and time-points revealed significant effects between both treatment groups and the Waitlist group for all three primary measures of assertiveness at Post, that is at the end of the 8-week Respekt</w:t>
      </w:r>
      <w:r>
        <w:rPr>
          <w:vertAlign w:val="superscript"/>
        </w:rPr>
        <w:t xml:space="preserve">2</w:t>
      </w:r>
      <w:r>
        <w:t xml:space="preserve"> </w:t>
      </w:r>
      <w:r>
        <w:t xml:space="preserve">treatment program. It also revealed signigificant effects at Follow-up, that is 1 year after end of treatment, comparing against the Post time-point for the Waitlist condition. Table 2 summarizes significance tests of estimated marginal mean differences and effect sizes, including 95% confidence intervals (CI).</w:t>
      </w:r>
    </w:p>
    <w:p>
      <w:pPr>
        <w:pStyle w:val="BodyText"/>
      </w:pPr>
      <w:r>
        <w:t xml:space="preserve">Comparing against Waitlist, the effect of the Unguided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Large effects at Post were found also for aggressive assertiveness as measured with AAA-S Aggressive,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.008</m:t>
        </m:r>
      </m:oMath>
      <w:r>
        <w:t xml:space="preserve">,</w:t>
      </w:r>
      <w:r>
        <w:t xml:space="preserve"> </w:t>
      </w:r>
      <m:oMath>
        <m:r>
          <m:t>E</m:t>
        </m:r>
        <m:r>
          <m:t>S</m:t>
        </m:r>
      </m:oMath>
      <w:r>
        <w:t xml:space="preserve"> </w:t>
      </w:r>
      <w:r>
        <w:t xml:space="preserve">=</w:t>
      </w:r>
      <w:r>
        <w:t xml:space="preserve"> </w:t>
      </w:r>
      <m:oMath>
        <m:r>
          <m:t>.72</m:t>
        </m:r>
      </m:oMath>
      <w:r>
        <w:t xml:space="preserve">, and at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as well as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Similarily, the effect of the Guided self-help condition on AAA-S Adaptive was large at Post-treatment,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at 1-year Follow-up having grown to</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Large effects at Post were identified for AAA-S Aggressive,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.032</m:t>
        </m:r>
      </m:oMath>
      <w:r>
        <w:t xml:space="preserve">,</w:t>
      </w:r>
      <w:r>
        <w:t xml:space="preserve"> </w:t>
      </w:r>
      <m:oMath>
        <m:r>
          <m:t>E</m:t>
        </m:r>
        <m:r>
          <m:t>S</m:t>
        </m:r>
      </m:oMath>
      <w:r>
        <w:t xml:space="preserve"> </w:t>
      </w:r>
      <w:r>
        <w:t xml:space="preserve">=</w:t>
      </w:r>
      <w:r>
        <w:t xml:space="preserve"> </w:t>
      </w:r>
      <m:oMath>
        <m:r>
          <m:t>.62</m:t>
        </m:r>
      </m:oMath>
      <w:r>
        <w:t xml:space="preserve">, and at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.84</m:t>
        </m:r>
      </m:oMath>
      <w:r>
        <w:t xml:space="preserve">, as well as for the RAS measure</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w:t>
      </w:r>
      <w:r>
        <w:t xml:space="preserve">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w:t>
      </w:r>
      <w:r>
        <w:t xml:space="preserve">at Follow-up.</w:t>
      </w:r>
    </w:p>
    <w:p>
      <w:pPr>
        <w:pStyle w:val="BodyText"/>
      </w:pPr>
      <w:r>
        <w:t xml:space="preserve">Comparing the Unguided self-help and the Guided self-help treatment conditions, there was no significant difference neither at Post nor at Follow-up, revealing that participants working through the intervention on their own fared just as well as those who were supported by a therapist.</w:t>
      </w:r>
    </w:p>
    <w:bookmarkEnd w:id="49"/>
    <w:bookmarkStart w:id="50" w:name="X32f89f68c5936d30db2416b5e7d82b70ea5932b"/>
    <w:p>
      <w:pPr>
        <w:pStyle w:val="Heading3"/>
      </w:pPr>
      <w:r>
        <w:t xml:space="preserve">Between-group effects on syndromal symptoms of anxiety and depression</w:t>
      </w:r>
    </w:p>
    <w:p>
      <w:pPr>
        <w:pStyle w:val="FirstParagraph"/>
      </w:pPr>
      <w:r>
        <w:t xml:space="preserve">In post-hoc testing, no effect on alleviation of depressive symptoms measured with PHQ-9 at the Post time-point was found comparing the Waitlist and the Unguided self-help groups. Tentative evidence was found for support by therapists benefiting depressed participants, in that the Waitlist versus Guided self-help comparison for PHQ-9 revealed a moderate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However, this effect dissipated when the Follow-up comparison was instead made against the most conservative value collected in the Waitlist group, in this case from the Pre time-point; see Figure 3 for a visual exploration of a possible nocebo effect, that is symptomatic worsening over time due to self-fulfilling expectations of low mood among participants waiting in line for treatment.</w:t>
      </w:r>
    </w:p>
    <w:p>
      <w:pPr>
        <w:pStyle w:val="BodyText"/>
      </w:pPr>
      <w:r>
        <w:t xml:space="preserve">No between-group effects were found for GAD-7, comparing treatment groups against Waitlist. Also, there was no significant effect of the Unguided self-help condition on reduction of social anxiety symptoms measured with LSAS-SR at Post-treatment.</w:t>
      </w:r>
      <w:r>
        <w:t xml:space="preserve"> </w:t>
      </w:r>
      <w:r>
        <w:t xml:space="preserve"> </w:t>
      </w:r>
      <w:r>
        <w:t xml:space="preserve">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w:t>
      </w:r>
      <w:r>
        <w:t xml:space="preserve">for the Unguided self-help group, comparing against the lowest value collected, that is at During, half-way through the intervention; see Figure 3 for identification of time point. For the Guided self-help group, a moderate effect was found at Post,</w:t>
      </w:r>
      <w:r>
        <w:t xml:space="preserve"> </w:t>
      </w:r>
      <m:oMath>
        <m:r>
          <m:t>Δ</m:t>
        </m:r>
        <m:r>
          <m:t>M</m:t>
        </m:r>
      </m:oMath>
      <w:r>
        <w:t xml:space="preserve"> </w:t>
      </w:r>
      <w:r>
        <w:t xml:space="preserve">=</w:t>
      </w:r>
      <w:r>
        <w:t xml:space="preserve"> </w:t>
      </w:r>
      <m:oMath>
        <m:r>
          <m:t>15.6</m:t>
        </m:r>
      </m:oMath>
      <w:r>
        <w:t xml:space="preserve">,</w:t>
      </w:r>
      <w:r>
        <w:t xml:space="preserve"> </w:t>
      </w:r>
      <m:oMath>
        <m:r>
          <m:t>t</m:t>
        </m:r>
      </m:oMath>
      <w:r>
        <w:t xml:space="preserve">(</w:t>
      </w:r>
      <m:oMath>
        <m:r>
          <m:t>278</m:t>
        </m:r>
      </m:oMath>
      <w:r>
        <w:t xml:space="preserve">) =</w:t>
      </w:r>
      <w:r>
        <w:t xml:space="preserve"> </w:t>
      </w:r>
      <m:oMath>
        <m:r>
          <m:t>4.29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w:t>
      </w:r>
      <w:r>
        <w:t xml:space="preserve"> </w:t>
      </w:r>
      <m:oMath>
        <m:r>
          <m:t>E</m:t>
        </m:r>
        <m:r>
          <m:t>S</m:t>
        </m:r>
      </m:oMath>
      <w:r>
        <w:t xml:space="preserve"> </w:t>
      </w:r>
      <w:r>
        <w:t xml:space="preserve">=</w:t>
      </w:r>
      <w:r>
        <w:t xml:space="preserve"> </w:t>
      </w:r>
      <m:oMath>
        <m:r>
          <m:t>.75</m:t>
        </m:r>
      </m:oMath>
      <w:r>
        <w:t xml:space="preserve">, as well as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.93</m:t>
        </m:r>
      </m:oMath>
      <w:r>
        <w:t xml:space="preserve">, comparing against the most conservative time-point, at During, for the Waitlist.</w:t>
      </w:r>
    </w:p>
    <w:p>
      <w:pPr>
        <w:pStyle w:val="BodyText"/>
      </w:pPr>
      <w:r>
        <w:t xml:space="preserve">Thus, the 8-week Respekt</w:t>
      </w:r>
      <w:r>
        <w:rPr>
          <w:vertAlign w:val="superscript"/>
        </w:rPr>
        <w:t xml:space="preserve">2</w:t>
      </w:r>
      <w:r>
        <w:t xml:space="preserve"> </w:t>
      </w:r>
      <w:r>
        <w:t xml:space="preserve">intervention had no effect on either depression or generalized anxiety. However, it did have a pronounced effect on social anxiety. See table 2 for a summary of significant effects, including 95% CIs.</w:t>
      </w:r>
    </w:p>
    <w:bookmarkEnd w:id="50"/>
    <w:bookmarkStart w:id="51" w:name="notable-within-group-effects"/>
    <w:p>
      <w:pPr>
        <w:pStyle w:val="Heading3"/>
      </w:pPr>
      <w:r>
        <w:t xml:space="preserve">Notable within-group effects</w:t>
      </w:r>
    </w:p>
    <w:p>
      <w:pPr>
        <w:pStyle w:val="FirstParagraph"/>
      </w:pPr>
      <w:r>
        <w:t xml:space="preserve">As shown in table 2, participants in both treatment groups enjoyed sustained within-group effects on assertiveness at 1 year Follow-up when compared to the Pre-treatment measurement time point, measured with AAA-S Adaptive, AAA-S Aggressive and the RAS, revealing that assertive behaviors were still manifest well beyond the end of participation in the intervention. However, significant effects between the Post to Follow-up time-points were found only for two measures in the Guided self-help group, where AAA-S Adaptive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w:t>
      </w:r>
      <w:r>
        <w:t xml:space="preserve">respectively. In the Unguided self-help group, there was no difference between Post and Follow-up time points for either measure,</w:t>
      </w:r>
      <w:r>
        <w:t xml:space="preserve"> </w:t>
      </w:r>
      <m:oMath>
        <m:sSub>
          <m:e>
            <m:r>
              <m:t>p</m:t>
            </m:r>
          </m:e>
          <m:sub>
            <m:r>
              <m:t>​</m:t>
            </m:r>
          </m:sub>
        </m:sSub>
      </m:oMath>
      <w:r>
        <w:t xml:space="preserve"> </w:t>
      </w:r>
      <w:r>
        <w:t xml:space="preserve">=</w:t>
      </w:r>
      <w:r>
        <w:t xml:space="preserve"> </w:t>
      </w:r>
      <m:oMath>
        <m:r>
          <m:t>1.000</m:t>
        </m:r>
      </m:oMath>
      <w:r>
        <w:t xml:space="preserve"> </w:t>
      </w:r>
      <w:r>
        <w:t xml:space="preserve">and</w:t>
      </w:r>
      <w:r>
        <w:t xml:space="preserve"> </w:t>
      </w:r>
      <m:oMath>
        <m:sSub>
          <m:e>
            <m:r>
              <m:t>p</m:t>
            </m:r>
          </m:e>
          <m:sub>
            <m:r>
              <m:t>​</m:t>
            </m:r>
          </m:sub>
        </m:sSub>
      </m:oMath>
      <w:r>
        <w:t xml:space="preserve"> </w:t>
      </w:r>
      <w:r>
        <w:t xml:space="preserve">=</w:t>
      </w:r>
      <w:r>
        <w:t xml:space="preserve"> </w:t>
      </w:r>
      <m:oMath>
        <m:r>
          <m:t>.731</m:t>
        </m:r>
      </m:oMath>
      <w:r>
        <w:t xml:space="preserve">, evidencing that therapist support provided some benefit to participants’ ability to generalize adaptive assertive behaviors beyond the duration of the intervention.</w:t>
      </w:r>
    </w:p>
    <w:p>
      <w:pPr>
        <w:pStyle w:val="BodyText"/>
      </w:pPr>
      <w:r>
        <w:t xml:space="preserve">Among the secondary measures of syndromal symptoms, depression as captured with PHQ-9 had decreased significantly from Pre only in the Guided self-help group, and only at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implying that therapist support benefited depressed participants on a longer rather than shorter time scale.</w:t>
      </w:r>
    </w:p>
    <w:bookmarkEnd w:id="51"/>
    <w:bookmarkStart w:id="55" w:name="clinical-significant-change"/>
    <w:p>
      <w:pPr>
        <w:pStyle w:val="Heading3"/>
      </w:pPr>
      <w:r>
        <w:t xml:space="preserve">Clinical significant change</w:t>
      </w:r>
    </w:p>
    <w:bookmarkStart w:id="52" w:name="Xa39b37f015a18bad044b28713fcb26b136ecfc9"/>
    <w:p>
      <w:pPr>
        <w:pStyle w:val="Heading4"/>
      </w:pPr>
      <w:r>
        <w:t xml:space="preserve">Reliable recovery with regards to assertive behaviors</w:t>
      </w:r>
    </w:p>
    <w:p>
      <w:pPr>
        <w:pStyle w:val="FirstParagraph"/>
      </w:pPr>
      <w:r>
        <w:t xml:space="preserve">Adding to the picture that assertive behaviors increased as a consequence of participation in the intervention, there was a significant difference between the groups at Post in the proportion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.019</m:t>
        </m:r>
      </m:oMath>
      <w:r>
        <w:t xml:space="preserve"> </w:t>
      </w:r>
      <w:r>
        <w:t xml:space="preserve">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.001</m:t>
        </m:r>
      </m:oMath>
      <w:r>
        <w:t xml:space="preserve">. At Follow-up, the proportions of the</w:t>
      </w:r>
      <w:r>
        <w:t xml:space="preserve"> </w:t>
      </w:r>
      <w:r>
        <w:t xml:space="preserve">‘</w:t>
      </w:r>
      <w:r>
        <w:t xml:space="preserve">Recovered</w:t>
      </w:r>
      <w:r>
        <w:t xml:space="preserve">’</w:t>
      </w:r>
      <w:r>
        <w:t xml:space="preserve"> </w:t>
      </w:r>
      <w:r>
        <w:t xml:space="preserve">category were also significantly different for AAA-S Adaptive,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.002</m:t>
        </m:r>
      </m:oMath>
      <w:r>
        <w:t xml:space="preserve">, 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.001</m:t>
        </m:r>
      </m:oMath>
      <w:r>
        <w:t xml:space="preserve">. However, there was not difference in the proportions of recovered participants with regards to AAA-S Aggressive at either time-point.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w:t>
      </w:r>
      <w:r>
        <w:t xml:space="preserve">in the Unguided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sSub>
          <m:e>
            <m:r>
              <m:t>p</m:t>
            </m:r>
          </m:e>
          <m:sub>
            <m:r>
              <m:t>B</m:t>
            </m:r>
            <m:r>
              <m:t>o</m:t>
            </m:r>
            <m:r>
              <m:t>n</m:t>
            </m:r>
            <m:r>
              <m:t>f</m:t>
            </m:r>
          </m:sub>
        </m:sSub>
      </m:oMath>
      <w:r>
        <w:t xml:space="preserve"> </w:t>
      </w:r>
      <w:r>
        <w:t xml:space="preserve">=</w:t>
      </w:r>
      <w:r>
        <w:t xml:space="preserve"> </w:t>
      </w:r>
      <m:oMath>
        <m:r>
          <m:t>.019</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sSub>
          <m:e>
            <m:r>
              <m:t>p</m:t>
            </m:r>
          </m:e>
          <m:sub>
            <m:r>
              <m:t>B</m:t>
            </m:r>
            <m:r>
              <m:t>o</m:t>
            </m:r>
            <m:r>
              <m:t>n</m:t>
            </m:r>
            <m:r>
              <m:t>f</m:t>
            </m:r>
          </m:sub>
        </m:sSub>
      </m:oMath>
      <w:r>
        <w:t xml:space="preserve"> </w:t>
      </w:r>
      <w:r>
        <w:t xml:space="preserve">=</w:t>
      </w:r>
      <w:r>
        <w:t xml:space="preserve"> </w:t>
      </w:r>
      <m:oMath>
        <m:r>
          <m:t>.003</m:t>
        </m:r>
      </m:oMath>
      <w:r>
        <w:t xml:space="preserve">. For assertiveness assessed with the RAS, the corresponding numbers (and percentages)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sSub>
          <m:e>
            <m:r>
              <m:t>p</m:t>
            </m:r>
          </m:e>
          <m:sub>
            <m:r>
              <m:t>B</m:t>
            </m:r>
            <m:r>
              <m:t>o</m:t>
            </m:r>
            <m:r>
              <m:t>n</m:t>
            </m:r>
            <m:r>
              <m:t>f</m:t>
            </m:r>
          </m:sub>
        </m:sSub>
      </m:oMath>
      <w:r>
        <w:t xml:space="preserve"> </w:t>
      </w:r>
      <w:r>
        <w:t xml:space="preserve">=</w:t>
      </w:r>
      <w:r>
        <w:t xml:space="preserve"> </w:t>
      </w:r>
      <m:oMath>
        <m:r>
          <m:t>.007</m:t>
        </m:r>
      </m:oMath>
      <w:r>
        <w:t xml:space="preserve"> </w:t>
      </w:r>
      <w:r>
        <w:t xml:space="preserve">for the Unguided self-help condition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for the Guided self-help condition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sSub>
          <m:e>
            <m:r>
              <m:t>p</m:t>
            </m:r>
          </m:e>
          <m:sub>
            <m:r>
              <m:t>B</m:t>
            </m:r>
            <m:r>
              <m:t>o</m:t>
            </m:r>
            <m:r>
              <m:t>n</m:t>
            </m:r>
            <m:r>
              <m:t>f</m:t>
            </m:r>
          </m:sub>
        </m:sSub>
      </m:oMath>
      <w:r>
        <w:t xml:space="preserve"> </w:t>
      </w:r>
      <w:r>
        <w:t xml:space="preserve">&lt;</w:t>
      </w:r>
      <w:r>
        <w:t xml:space="preserve"> </w:t>
      </w:r>
      <m:oMath>
        <m:r>
          <m:t>.001</m:t>
        </m:r>
      </m:oMath>
      <w:r>
        <w:t xml:space="preserve"> </w:t>
      </w:r>
      <w:r>
        <w:t xml:space="preserve">respectively at Follow-up.</w:t>
      </w:r>
    </w:p>
    <w:p>
      <w:pPr>
        <w:pStyle w:val="BodyText"/>
      </w:pPr>
      <w:r>
        <w:t xml:space="preserve">Thus, the clinical significance findings are mostly in agreement with the statistical analysis of change, confirming that adaptive expressions of assertiveness in both treatment groups increased Pre to Post, and beyond, while deviating with regards to aggressive expressions.</w:t>
      </w:r>
    </w:p>
    <w:bookmarkEnd w:id="52"/>
    <w:bookmarkStart w:id="53" w:name="Xc31864b920d4665e0645bf5e1f2a5242419c5f5"/>
    <w:p>
      <w:pPr>
        <w:pStyle w:val="Heading4"/>
      </w:pPr>
      <w:r>
        <w:t xml:space="preserve">Reliable recovery with regards to syndromal symptoms</w:t>
      </w:r>
    </w:p>
    <w:p>
      <w:pPr>
        <w:pStyle w:val="FirstParagraph"/>
      </w:pPr>
      <w:r>
        <w:t xml:space="preserve">As for the syndromal symptoms, the proportions of those of social phobia as captured with LSAS-SR was significantly different between groups at Post,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.023</m:t>
        </m:r>
      </m:oMath>
      <w:r>
        <w:t xml:space="preserve">. However, there was no difference between groups at Post with regards to PHQ-9 or GAD-7. At Follow-up, the difference in proportions of recovery between conditions was significant for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.001</m:t>
        </m:r>
      </m:oMath>
      <w:r>
        <w:t xml:space="preserve">, but not for GAD-7.</w:t>
      </w:r>
    </w:p>
    <w:p>
      <w:pPr>
        <w:pStyle w:val="BodyText"/>
      </w:pPr>
      <w:r>
        <w:t xml:space="preserve">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sSub>
          <m:e>
            <m:r>
              <m:t>p</m:t>
            </m:r>
          </m:e>
          <m:sub>
            <m:r>
              <m:t>B</m:t>
            </m:r>
            <m:r>
              <m:t>o</m:t>
            </m:r>
            <m:r>
              <m:t>n</m:t>
            </m:r>
            <m:r>
              <m:t>f</m:t>
            </m:r>
          </m:sub>
        </m:sSub>
      </m:oMath>
      <w:r>
        <w:t xml:space="preserve"> </w:t>
      </w:r>
      <w:r>
        <w:t xml:space="preserve">=</w:t>
      </w:r>
      <w:r>
        <w:t xml:space="preserve"> </w:t>
      </w:r>
      <m:oMath>
        <m:r>
          <m:t>.006</m:t>
        </m:r>
      </m:oMath>
      <w:r>
        <w:t xml:space="preserve">, but not so in Unguided self-help group, pointing to that interaction with therapists contributes to faster recovery for depressed participants. In addition, a significant number of participants in the Unguided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sSub>
          <m:e>
            <m:r>
              <m:t>p</m:t>
            </m:r>
          </m:e>
          <m:sub>
            <m:r>
              <m:t>B</m:t>
            </m:r>
            <m:r>
              <m:t>o</m:t>
            </m:r>
            <m:r>
              <m:t>n</m:t>
            </m:r>
            <m:r>
              <m:t>f</m:t>
            </m:r>
          </m:sub>
        </m:sSub>
      </m:oMath>
      <w:r>
        <w:t xml:space="preserve"> </w:t>
      </w:r>
      <w:r>
        <w:t xml:space="preserve">=</w:t>
      </w:r>
      <w:r>
        <w:t xml:space="preserve"> </w:t>
      </w:r>
      <m:oMath>
        <m:r>
          <m:t>.045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sSub>
          <m:e>
            <m:r>
              <m:t>p</m:t>
            </m:r>
          </m:e>
          <m:sub>
            <m:r>
              <m:t>B</m:t>
            </m:r>
            <m:r>
              <m:t>o</m:t>
            </m:r>
            <m:r>
              <m:t>n</m:t>
            </m:r>
            <m:r>
              <m:t>f</m:t>
            </m:r>
          </m:sub>
        </m:sSub>
      </m:oMath>
      <w:r>
        <w:t xml:space="preserve"> </w:t>
      </w:r>
      <w:r>
        <w:t xml:space="preserve">=</w:t>
      </w:r>
      <w:r>
        <w:t xml:space="preserve"> </w:t>
      </w:r>
      <m:oMath>
        <m:r>
          <m:t>.001</m:t>
        </m:r>
      </m:oMath>
      <w:r>
        <w:t xml:space="preserve"> </w:t>
      </w:r>
      <w:r>
        <w:t xml:space="preserve">at Follow-up. These clinical findings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autonomous anxiety responses and/or reducing avoidance and escape behaviors from them.</w:t>
      </w:r>
    </w:p>
    <w:p>
      <w:pPr>
        <w:pStyle w:val="BodyText"/>
      </w:pPr>
      <w:r>
        <w:t xml:space="preserve">Table 3 gives a summary of numbers and proportions of clinical recovery in the different groups, and the significance, if any, of pairwise tests of those proportions against those of the Waitlist.</w:t>
      </w:r>
    </w:p>
    <w:bookmarkEnd w:id="53"/>
    <w:bookmarkStart w:id="54" w:name="reliable-deterioration-and-harm"/>
    <w:p>
      <w:pPr>
        <w:pStyle w:val="Heading4"/>
      </w:pPr>
      <w:r>
        <w:t xml:space="preserve">Reliable deterioration and harm</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sSub>
          <m:e>
            <m:r>
              <m:t>p</m:t>
            </m:r>
          </m:e>
          <m:sub>
            <m:r>
              <m:t>​</m:t>
            </m:r>
          </m:sub>
        </m:sSub>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3). However, post 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sSub>
          <m:e>
            <m:r>
              <m:t>p</m:t>
            </m:r>
          </m:e>
          <m:sub>
            <m:r>
              <m:t>​</m:t>
            </m:r>
          </m:sub>
        </m:sSub>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sSub>
          <m:e>
            <m:r>
              <m:t>p</m:t>
            </m:r>
          </m:e>
          <m:sub>
            <m:r>
              <m:t>B</m:t>
            </m:r>
            <m:r>
              <m:t>o</m:t>
            </m:r>
            <m:r>
              <m:t>n</m:t>
            </m:r>
            <m:r>
              <m:t>f</m:t>
            </m:r>
          </m:sub>
        </m:sSub>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sSub>
          <m:e>
            <m:r>
              <m:t>p</m:t>
            </m:r>
          </m:e>
          <m:sub>
            <m:r>
              <m:t>​</m:t>
            </m:r>
          </m:sub>
        </m:sSub>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Unguided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sSub>
          <m:e>
            <m:r>
              <m:t>p</m:t>
            </m:r>
          </m:e>
          <m:sub>
            <m:r>
              <m:t>B</m:t>
            </m:r>
            <m:r>
              <m:t>o</m:t>
            </m:r>
            <m:r>
              <m:t>n</m:t>
            </m:r>
            <m:r>
              <m:t>f</m:t>
            </m:r>
          </m:sub>
        </m:sSub>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sSub>
          <m:e>
            <m:r>
              <m:t>p</m:t>
            </m:r>
          </m:e>
          <m:sub>
            <m:r>
              <m:t>B</m:t>
            </m:r>
            <m:r>
              <m:t>o</m:t>
            </m:r>
            <m:r>
              <m:t>n</m:t>
            </m:r>
            <m:r>
              <m:t>f</m:t>
            </m:r>
          </m:sub>
        </m:sSub>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sSub>
          <m:e>
            <m:r>
              <m:t>p</m:t>
            </m:r>
          </m:e>
          <m:sub>
            <m:r>
              <m:t>​</m:t>
            </m:r>
          </m:sub>
        </m:sSub>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sSub>
          <m:e>
            <m:r>
              <m:t>p</m:t>
            </m:r>
          </m:e>
          <m:sub>
            <m:r>
              <m:t>B</m:t>
            </m:r>
            <m:r>
              <m:t>o</m:t>
            </m:r>
            <m:r>
              <m:t>n</m:t>
            </m:r>
            <m:r>
              <m:t>f</m:t>
            </m:r>
          </m:sub>
        </m:sSub>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4"/>
    <w:bookmarkEnd w:id="55"/>
    <w:bookmarkEnd w:id="56"/>
    <w:bookmarkEnd w:id="57"/>
    <w:bookmarkStart w:id="134" w:name="discussion"/>
    <w:p>
      <w:pPr>
        <w:pStyle w:val="Heading1"/>
      </w:pPr>
      <w:r>
        <w:t xml:space="preserve">Discussion</w:t>
      </w:r>
    </w:p>
    <w:bookmarkStart w:id="133" w:name="references"/>
    <w:p>
      <w:pPr>
        <w:pStyle w:val="Heading2"/>
      </w:pPr>
      <w:r>
        <w:t xml:space="preserve">References</w:t>
      </w:r>
    </w:p>
    <w:bookmarkStart w:id="132" w:name="refs"/>
    <w:bookmarkStart w:id="58"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8"/>
    <w:bookmarkStart w:id="59"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9"/>
    <w:bookmarkStart w:id="61"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0">
        <w:r>
          <w:rPr>
            <w:rStyle w:val="Hyperlink"/>
          </w:rPr>
          <w:t xml:space="preserve">https://doi.org/10.1016/j.janxdis.2018.01.001</w:t>
        </w:r>
      </w:hyperlink>
    </w:p>
    <w:bookmarkEnd w:id="61"/>
    <w:bookmarkStart w:id="63" w:name="ref-Antunez2020"/>
    <w:p>
      <w:pPr>
        <w:pStyle w:val="Bibliography"/>
      </w:pPr>
      <w:r>
        <w:t xml:space="preserve">Antúnez, J. M. (2020). Circadian typology is related to emotion regulation, metacognitive beliefs and assertiveness in healthy adults.</w:t>
      </w:r>
      <w:r>
        <w:t xml:space="preserve"> </w:t>
      </w:r>
      <w:r>
        <w:rPr>
          <w:iCs/>
          <w:i/>
        </w:rPr>
        <w:t xml:space="preserve">PLOS ONE</w:t>
      </w:r>
      <w:r>
        <w:t xml:space="preserve">,</w:t>
      </w:r>
      <w:r>
        <w:t xml:space="preserve"> </w:t>
      </w:r>
      <w:r>
        <w:rPr>
          <w:iCs/>
          <w:i/>
        </w:rPr>
        <w:t xml:space="preserve">15</w:t>
      </w:r>
      <w:r>
        <w:t xml:space="preserve">, e0230169.</w:t>
      </w:r>
      <w:r>
        <w:t xml:space="preserve"> </w:t>
      </w:r>
      <w:hyperlink r:id="rId62">
        <w:r>
          <w:rPr>
            <w:rStyle w:val="Hyperlink"/>
          </w:rPr>
          <w:t xml:space="preserve">https://doi.org/10.1371/journal.pone.0230169</w:t>
        </w:r>
      </w:hyperlink>
    </w:p>
    <w:bookmarkEnd w:id="63"/>
    <w:bookmarkStart w:id="65"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4">
        <w:r>
          <w:rPr>
            <w:rStyle w:val="Hyperlink"/>
          </w:rPr>
          <w:t xml:space="preserve">https://doi.org/10.4018/978-1-4666-5942-1</w:t>
        </w:r>
      </w:hyperlink>
    </w:p>
    <w:bookmarkEnd w:id="65"/>
    <w:bookmarkStart w:id="67"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6">
        <w:r>
          <w:rPr>
            <w:rStyle w:val="Hyperlink"/>
          </w:rPr>
          <w:t xml:space="preserve">https://doi.org/10.1016/j.invent.2014.08.003</w:t>
        </w:r>
      </w:hyperlink>
    </w:p>
    <w:bookmarkEnd w:id="67"/>
    <w:bookmarkStart w:id="68"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8"/>
    <w:bookmarkStart w:id="70"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9">
        <w:r>
          <w:rPr>
            <w:rStyle w:val="Hyperlink"/>
          </w:rPr>
          <w:t xml:space="preserve">https://doi.org/10.1080/16506073.2017.1401115</w:t>
        </w:r>
      </w:hyperlink>
    </w:p>
    <w:bookmarkEnd w:id="70"/>
    <w:bookmarkStart w:id="72"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71">
        <w:r>
          <w:rPr>
            <w:rStyle w:val="Hyperlink"/>
          </w:rPr>
          <w:t xml:space="preserve">https://doi.org/10.1146/annurev.psych.52.1.685</w:t>
        </w:r>
      </w:hyperlink>
    </w:p>
    <w:bookmarkEnd w:id="72"/>
    <w:bookmarkStart w:id="74"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3">
        <w:r>
          <w:rPr>
            <w:rStyle w:val="Hyperlink"/>
          </w:rPr>
          <w:t xml:space="preserve">https://doi.org/10.1016/0005-7967(86)90011-2</w:t>
        </w:r>
      </w:hyperlink>
    </w:p>
    <w:bookmarkEnd w:id="74"/>
    <w:bookmarkStart w:id="75"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5"/>
    <w:bookmarkStart w:id="77"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6">
        <w:r>
          <w:rPr>
            <w:rStyle w:val="Hyperlink"/>
          </w:rPr>
          <w:t xml:space="preserve">https://CRAN.R-project.org/package=clinicalsignificance</w:t>
        </w:r>
      </w:hyperlink>
    </w:p>
    <w:bookmarkEnd w:id="77"/>
    <w:bookmarkStart w:id="78"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8"/>
    <w:bookmarkStart w:id="80"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9">
        <w:r>
          <w:rPr>
            <w:rStyle w:val="Hyperlink"/>
          </w:rPr>
          <w:t xml:space="preserve">https://doi.org/10.1016/j.brat.2007.10.003</w:t>
        </w:r>
      </w:hyperlink>
    </w:p>
    <w:bookmarkEnd w:id="80"/>
    <w:bookmarkStart w:id="82"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6"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6"/>
    <w:bookmarkStart w:id="88"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7">
        <w:r>
          <w:rPr>
            <w:rStyle w:val="Hyperlink"/>
          </w:rPr>
          <w:t xml:space="preserve">https://www.random.org</w:t>
        </w:r>
      </w:hyperlink>
      <w:r>
        <w:t xml:space="preserve">.</w:t>
      </w:r>
    </w:p>
    <w:bookmarkEnd w:id="88"/>
    <w:bookmarkStart w:id="90"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9">
        <w:r>
          <w:rPr>
            <w:rStyle w:val="Hyperlink"/>
          </w:rPr>
          <w:t xml:space="preserve">https://doi.org/10.1016/S0005-7894(04)80013-3</w:t>
        </w:r>
      </w:hyperlink>
    </w:p>
    <w:bookmarkEnd w:id="90"/>
    <w:bookmarkStart w:id="92"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1">
        <w:r>
          <w:rPr>
            <w:rStyle w:val="Hyperlink"/>
          </w:rPr>
          <w:t xml:space="preserve">https://doi.org/10.1007/s10608-012-9476-1</w:t>
        </w:r>
      </w:hyperlink>
    </w:p>
    <w:bookmarkEnd w:id="92"/>
    <w:bookmarkStart w:id="93"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3"/>
    <w:bookmarkStart w:id="95"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4">
        <w:r>
          <w:rPr>
            <w:rStyle w:val="Hyperlink"/>
          </w:rPr>
          <w:t xml:space="preserve">https://doi.org/10.1016/j.genhosppsych.2010.03.006</w:t>
        </w:r>
      </w:hyperlink>
    </w:p>
    <w:bookmarkEnd w:id="95"/>
    <w:bookmarkStart w:id="97"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6">
        <w:r>
          <w:rPr>
            <w:rStyle w:val="Hyperlink"/>
          </w:rPr>
          <w:t xml:space="preserve">https://github.com/runehaubo/lmerTestR</w:t>
        </w:r>
      </w:hyperlink>
    </w:p>
    <w:bookmarkEnd w:id="97"/>
    <w:bookmarkStart w:id="99"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8">
        <w:r>
          <w:rPr>
            <w:rStyle w:val="Hyperlink"/>
          </w:rPr>
          <w:t xml:space="preserve">https://cran.r-project.org/package=emmeans</w:t>
        </w:r>
      </w:hyperlink>
    </w:p>
    <w:bookmarkEnd w:id="99"/>
    <w:bookmarkStart w:id="101"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0">
        <w:r>
          <w:rPr>
            <w:rStyle w:val="Hyperlink"/>
          </w:rPr>
          <w:t xml:space="preserve">https://doi.org/10.1016/B978-0-12-404480-7.50013-7</w:t>
        </w:r>
      </w:hyperlink>
    </w:p>
    <w:bookmarkEnd w:id="101"/>
    <w:bookmarkStart w:id="102"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2"/>
    <w:bookmarkStart w:id="104"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3">
        <w:r>
          <w:rPr>
            <w:rStyle w:val="Hyperlink"/>
          </w:rPr>
          <w:t xml:space="preserve">https://doi.org/10.21105/joss.00772</w:t>
        </w:r>
      </w:hyperlink>
    </w:p>
    <w:bookmarkEnd w:id="104"/>
    <w:bookmarkStart w:id="106"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5">
        <w:r>
          <w:rPr>
            <w:rStyle w:val="Hyperlink"/>
          </w:rPr>
          <w:t xml:space="preserve">https://easystats.github.io/performance/</w:t>
        </w:r>
      </w:hyperlink>
    </w:p>
    <w:bookmarkEnd w:id="106"/>
    <w:bookmarkStart w:id="108"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7">
        <w:r>
          <w:rPr>
            <w:rStyle w:val="Hyperlink"/>
          </w:rPr>
          <w:t xml:space="preserve">www.cci.health.wa.gov.au/Resources/Looking-After-Yourself/Assertiveness</w:t>
        </w:r>
      </w:hyperlink>
    </w:p>
    <w:bookmarkEnd w:id="108"/>
    <w:bookmarkStart w:id="109"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9"/>
    <w:bookmarkStart w:id="110"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0"/>
    <w:bookmarkStart w:id="112"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1">
        <w:r>
          <w:rPr>
            <w:rStyle w:val="Hyperlink"/>
          </w:rPr>
          <w:t xml:space="preserve">https://doi.org/10.1016/S0005-7894(73)80120-0</w:t>
        </w:r>
      </w:hyperlink>
    </w:p>
    <w:bookmarkEnd w:id="112"/>
    <w:bookmarkStart w:id="114"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3">
        <w:r>
          <w:rPr>
            <w:rStyle w:val="Hyperlink"/>
          </w:rPr>
          <w:t xml:space="preserve">https://doi.org/10.1037/ccp0000023</w:t>
        </w:r>
      </w:hyperlink>
    </w:p>
    <w:bookmarkEnd w:id="114"/>
    <w:bookmarkStart w:id="116"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5">
        <w:r>
          <w:rPr>
            <w:rStyle w:val="Hyperlink"/>
          </w:rPr>
          <w:t xml:space="preserve">https://doi.org/10.1016/j.brat.2017.05.015</w:t>
        </w:r>
      </w:hyperlink>
    </w:p>
    <w:bookmarkEnd w:id="116"/>
    <w:bookmarkStart w:id="117"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7"/>
    <w:bookmarkStart w:id="119"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8">
        <w:r>
          <w:rPr>
            <w:rStyle w:val="Hyperlink"/>
          </w:rPr>
          <w:t xml:space="preserve">https://sealedenvelope.com/simple-randomiser/v1</w:t>
        </w:r>
      </w:hyperlink>
      <w:r>
        <w:t xml:space="preserve">.</w:t>
      </w:r>
    </w:p>
    <w:bookmarkEnd w:id="119"/>
    <w:bookmarkStart w:id="120"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0"/>
    <w:bookmarkStart w:id="122"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1">
        <w:r>
          <w:rPr>
            <w:rStyle w:val="Hyperlink"/>
          </w:rPr>
          <w:t xml:space="preserve">https://doi.org/10.1111/cpsp.12216</w:t>
        </w:r>
      </w:hyperlink>
    </w:p>
    <w:bookmarkEnd w:id="122"/>
    <w:bookmarkStart w:id="124"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3">
        <w:r>
          <w:rPr>
            <w:rStyle w:val="Hyperlink"/>
          </w:rPr>
          <w:t xml:space="preserve">https://doi.org/10.1001/archinte.166.10.1092</w:t>
        </w:r>
      </w:hyperlink>
    </w:p>
    <w:bookmarkEnd w:id="124"/>
    <w:bookmarkStart w:id="126"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5">
        <w:r>
          <w:rPr>
            <w:rStyle w:val="Hyperlink"/>
          </w:rPr>
          <w:t xml:space="preserve">https://doi.org/10.1007/s10862-011-9226-9</w:t>
        </w:r>
      </w:hyperlink>
    </w:p>
    <w:bookmarkEnd w:id="126"/>
    <w:bookmarkStart w:id="128"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7">
        <w:r>
          <w:rPr>
            <w:rStyle w:val="Hyperlink"/>
          </w:rPr>
          <w:t xml:space="preserve">https://doi.org/10.1007/s10942-018-0296-4</w:t>
        </w:r>
      </w:hyperlink>
    </w:p>
    <w:bookmarkEnd w:id="128"/>
    <w:bookmarkStart w:id="129"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9"/>
    <w:bookmarkStart w:id="130" w:name="ref-wolpe1990practice"/>
    <w:p>
      <w:pPr>
        <w:pStyle w:val="Bibliography"/>
      </w:pPr>
      <w:r>
        <w:t xml:space="preserve">Wolpe, J. (1990).</w:t>
      </w:r>
      <w:r>
        <w:t xml:space="preserve"> </w:t>
      </w:r>
      <w:r>
        <w:rPr>
          <w:iCs/>
          <w:i/>
        </w:rPr>
        <w:t xml:space="preserve">The practice of behavior therapy</w:t>
      </w:r>
      <w:r>
        <w:t xml:space="preserve">. Pergamon Press.</w:t>
      </w:r>
    </w:p>
    <w:bookmarkEnd w:id="130"/>
    <w:bookmarkStart w:id="131"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1"/>
    <w:bookmarkEnd w:id="132"/>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6" Target="https://CRAN.R-project.org/package=clinicalsignificance" TargetMode="External" /><Relationship Type="http://schemas.openxmlformats.org/officeDocument/2006/relationships/hyperlink" Id="rId98" Target="https://cran.r-project.org/package=emmeans" TargetMode="External" /><Relationship Type="http://schemas.openxmlformats.org/officeDocument/2006/relationships/hyperlink" Id="rId123" Target="https://doi.org/10.1001/archinte.166.10.1092" TargetMode="External" /><Relationship Type="http://schemas.openxmlformats.org/officeDocument/2006/relationships/hyperlink" Id="rId91" Target="https://doi.org/10.1007/s10608-012-9476-1"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73" Target="https://doi.org/10.1016/0005-7967(86)90011-2" TargetMode="External" /><Relationship Type="http://schemas.openxmlformats.org/officeDocument/2006/relationships/hyperlink" Id="rId100"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1" Target="https://doi.org/10.1016/S0005-7894(73)80120-0" TargetMode="External" /><Relationship Type="http://schemas.openxmlformats.org/officeDocument/2006/relationships/hyperlink" Id="rId79"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15" Target="https://doi.org/10.1016/j.brat.2017.05.015" TargetMode="External" /><Relationship Type="http://schemas.openxmlformats.org/officeDocument/2006/relationships/hyperlink" Id="rId94" Target="https://doi.org/10.1016/j.genhosppsych.2010.03.006" TargetMode="External" /><Relationship Type="http://schemas.openxmlformats.org/officeDocument/2006/relationships/hyperlink" Id="rId66" Target="https://doi.org/10.1016/j.invent.2014.08.003" TargetMode="External" /><Relationship Type="http://schemas.openxmlformats.org/officeDocument/2006/relationships/hyperlink" Id="rId60"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3" Target="https://doi.org/10.1037/ccp0000023" TargetMode="External" /><Relationship Type="http://schemas.openxmlformats.org/officeDocument/2006/relationships/hyperlink" Id="rId69" Target="https://doi.org/10.1080/16506073.2017.1401115" TargetMode="External" /><Relationship Type="http://schemas.openxmlformats.org/officeDocument/2006/relationships/hyperlink" Id="rId121" Target="https://doi.org/10.1111/cpsp.12216" TargetMode="External" /><Relationship Type="http://schemas.openxmlformats.org/officeDocument/2006/relationships/hyperlink" Id="rId71" Target="https://doi.org/10.1146/annurev.psych.52.1.685" TargetMode="External" /><Relationship Type="http://schemas.openxmlformats.org/officeDocument/2006/relationships/hyperlink" Id="rId62" Target="https://doi.org/10.1371/journal.pone.0230169" TargetMode="External" /><Relationship Type="http://schemas.openxmlformats.org/officeDocument/2006/relationships/hyperlink" Id="rId103" Target="https://doi.org/10.21105/joss.00772" TargetMode="External" /><Relationship Type="http://schemas.openxmlformats.org/officeDocument/2006/relationships/hyperlink" Id="rId64" Target="https://doi.org/10.4018/978-1-4666-5942-1" TargetMode="External" /><Relationship Type="http://schemas.openxmlformats.org/officeDocument/2006/relationships/hyperlink" Id="rId105"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6" Target="https://github.com/runehaubo/lmerTestR" TargetMode="External" /><Relationship Type="http://schemas.openxmlformats.org/officeDocument/2006/relationships/hyperlink" Id="rId118" Target="https://sealedenvelope.com/simple-randomiser/v1" TargetMode="External" /><Relationship Type="http://schemas.openxmlformats.org/officeDocument/2006/relationships/hyperlink" Id="rId107" Target="https://www.cci.health.wa.gov.au/Resources/Looking-After-Yourself/Assertiveness" TargetMode="External" /><Relationship Type="http://schemas.openxmlformats.org/officeDocument/2006/relationships/hyperlink" Id="rId87"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6" Target="https://CRAN.R-project.org/package=clinicalsignificance" TargetMode="External" /><Relationship Type="http://schemas.openxmlformats.org/officeDocument/2006/relationships/hyperlink" Id="rId98" Target="https://cran.r-project.org/package=emmeans" TargetMode="External" /><Relationship Type="http://schemas.openxmlformats.org/officeDocument/2006/relationships/hyperlink" Id="rId123" Target="https://doi.org/10.1001/archinte.166.10.1092" TargetMode="External" /><Relationship Type="http://schemas.openxmlformats.org/officeDocument/2006/relationships/hyperlink" Id="rId91" Target="https://doi.org/10.1007/s10608-012-9476-1" TargetMode="External" /><Relationship Type="http://schemas.openxmlformats.org/officeDocument/2006/relationships/hyperlink" Id="rId125" Target="https://doi.org/10.1007/s10862-011-9226-9" TargetMode="External" /><Relationship Type="http://schemas.openxmlformats.org/officeDocument/2006/relationships/hyperlink" Id="rId127" Target="https://doi.org/10.1007/s10942-018-0296-4" TargetMode="External" /><Relationship Type="http://schemas.openxmlformats.org/officeDocument/2006/relationships/hyperlink" Id="rId73" Target="https://doi.org/10.1016/0005-7967(86)90011-2" TargetMode="External" /><Relationship Type="http://schemas.openxmlformats.org/officeDocument/2006/relationships/hyperlink" Id="rId100" Target="https://doi.org/10.1016/B978-0-12-404480-7.50013-7" TargetMode="External" /><Relationship Type="http://schemas.openxmlformats.org/officeDocument/2006/relationships/hyperlink" Id="rId89" Target="https://doi.org/10.1016/S0005-7894(04)80013-3" TargetMode="External" /><Relationship Type="http://schemas.openxmlformats.org/officeDocument/2006/relationships/hyperlink" Id="rId111" Target="https://doi.org/10.1016/S0005-7894(73)80120-0" TargetMode="External" /><Relationship Type="http://schemas.openxmlformats.org/officeDocument/2006/relationships/hyperlink" Id="rId79"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15" Target="https://doi.org/10.1016/j.brat.2017.05.015" TargetMode="External" /><Relationship Type="http://schemas.openxmlformats.org/officeDocument/2006/relationships/hyperlink" Id="rId94" Target="https://doi.org/10.1016/j.genhosppsych.2010.03.006" TargetMode="External" /><Relationship Type="http://schemas.openxmlformats.org/officeDocument/2006/relationships/hyperlink" Id="rId66" Target="https://doi.org/10.1016/j.invent.2014.08.003" TargetMode="External" /><Relationship Type="http://schemas.openxmlformats.org/officeDocument/2006/relationships/hyperlink" Id="rId60"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3" Target="https://doi.org/10.1037/ccp0000023" TargetMode="External" /><Relationship Type="http://schemas.openxmlformats.org/officeDocument/2006/relationships/hyperlink" Id="rId69" Target="https://doi.org/10.1080/16506073.2017.1401115" TargetMode="External" /><Relationship Type="http://schemas.openxmlformats.org/officeDocument/2006/relationships/hyperlink" Id="rId121" Target="https://doi.org/10.1111/cpsp.12216" TargetMode="External" /><Relationship Type="http://schemas.openxmlformats.org/officeDocument/2006/relationships/hyperlink" Id="rId71" Target="https://doi.org/10.1146/annurev.psych.52.1.685" TargetMode="External" /><Relationship Type="http://schemas.openxmlformats.org/officeDocument/2006/relationships/hyperlink" Id="rId62" Target="https://doi.org/10.1371/journal.pone.0230169" TargetMode="External" /><Relationship Type="http://schemas.openxmlformats.org/officeDocument/2006/relationships/hyperlink" Id="rId103" Target="https://doi.org/10.21105/joss.00772" TargetMode="External" /><Relationship Type="http://schemas.openxmlformats.org/officeDocument/2006/relationships/hyperlink" Id="rId64" Target="https://doi.org/10.4018/978-1-4666-5942-1" TargetMode="External" /><Relationship Type="http://schemas.openxmlformats.org/officeDocument/2006/relationships/hyperlink" Id="rId105"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6" Target="https://github.com/runehaubo/lmerTestR" TargetMode="External" /><Relationship Type="http://schemas.openxmlformats.org/officeDocument/2006/relationships/hyperlink" Id="rId118" Target="https://sealedenvelope.com/simple-randomiser/v1" TargetMode="External" /><Relationship Type="http://schemas.openxmlformats.org/officeDocument/2006/relationships/hyperlink" Id="rId107" Target="https://www.cci.health.wa.gov.au/Resources/Looking-After-Yourself/Assertiveness" TargetMode="External" /><Relationship Type="http://schemas.openxmlformats.org/officeDocument/2006/relationships/hyperlink" Id="rId87"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2022-07-07T05:38:35Z</dcterms:created>
  <dcterms:modified xsi:type="dcterms:W3CDTF">2022-07-07T05:38:35Z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07 July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