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1.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26</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hyperlink w:anchor="ref-salter1949conditioned">
        <w:r>
          <w:rPr>
            <w:rStyle w:val="Hyperlink"/>
          </w:rPr>
          <w:t xml:space="preserve">Salter</w:t>
        </w:r>
      </w:hyperlink>
      <w:r>
        <w:t xml:space="preserve"> </w:t>
      </w:r>
      <w:r>
        <w:t xml:space="preserve">(</w:t>
      </w:r>
      <w:hyperlink w:anchor="ref-salter1949conditioned">
        <w:r>
          <w:rPr>
            <w:rStyle w:val="Hyperlink"/>
          </w:rPr>
          <w:t xml:space="preserve">1949</w:t>
        </w:r>
      </w:hyperlink>
      <w:r>
        <w:t xml:space="preserve">)</w:t>
      </w:r>
      <w:r>
        <w:t xml:space="preserve"> </w:t>
      </w:r>
      <w:r>
        <w:t xml:space="preserve">or</w:t>
      </w:r>
      <w:r>
        <w:t xml:space="preserve"> </w:t>
      </w:r>
      <w:hyperlink w:anchor="ref-Wolpe1966">
        <w:r>
          <w:rPr>
            <w:rStyle w:val="Hyperlink"/>
          </w:rPr>
          <w:t xml:space="preserve">Wolpe &amp; Lazarus</w:t>
        </w:r>
      </w:hyperlink>
      <w:r>
        <w:t xml:space="preserve"> </w:t>
      </w:r>
      <w:r>
        <w:t xml:space="preserve">(</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hyperlink w:anchor="ref-alberti1974your">
        <w:r>
          <w:rPr>
            <w:rStyle w:val="Hyperlink"/>
          </w:rPr>
          <w:t xml:space="preserve">Alberti &amp; Emmons</w:t>
        </w:r>
      </w:hyperlink>
      <w:r>
        <w:t xml:space="preserve"> </w:t>
      </w:r>
      <w:r>
        <w:t xml:space="preserve">(</w:t>
      </w:r>
      <w:hyperlink w:anchor="ref-alberti1974your">
        <w:r>
          <w:rPr>
            <w:rStyle w:val="Hyperlink"/>
          </w:rPr>
          <w:t xml:space="preserve">1974</w:t>
        </w:r>
      </w:hyperlink>
      <w:r>
        <w:t xml:space="preserve">)</w:t>
      </w:r>
      <w:r>
        <w:t xml:space="preserve">,</w:t>
      </w:r>
      <w:r>
        <w:t xml:space="preserve"> </w:t>
      </w:r>
      <w:hyperlink w:anchor="ref-smith1975say">
        <w:r>
          <w:rPr>
            <w:rStyle w:val="Hyperlink"/>
          </w:rPr>
          <w:t xml:space="preserve">Smith</w:t>
        </w:r>
      </w:hyperlink>
      <w:r>
        <w:t xml:space="preserve"> </w:t>
      </w:r>
      <w:r>
        <w:t xml:space="preserve">(</w:t>
      </w:r>
      <w:hyperlink w:anchor="ref-smith1975say">
        <w:r>
          <w:rPr>
            <w:rStyle w:val="Hyperlink"/>
          </w:rPr>
          <w:t xml:space="preserve">1975</w:t>
        </w:r>
      </w:hyperlink>
      <w:r>
        <w:t xml:space="preserve">)</w:t>
      </w:r>
      <w:r>
        <w:t xml:space="preserve">, as well as</w:t>
      </w:r>
      <w:r>
        <w:t xml:space="preserve"> </w:t>
      </w:r>
      <w:hyperlink w:anchor="ref-fensterheim1975don">
        <w:r>
          <w:rPr>
            <w:rStyle w:val="Hyperlink"/>
          </w:rPr>
          <w:t xml:space="preserve">Fensterheim &amp; Baer</w:t>
        </w:r>
      </w:hyperlink>
      <w:r>
        <w:t xml:space="preserve"> </w:t>
      </w:r>
      <w:r>
        <w:t xml:space="preserve">(</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hyperlink w:anchor="ref-LINEHAN1979">
        <w:r>
          <w:rPr>
            <w:rStyle w:val="Hyperlink"/>
          </w:rPr>
          <w:t xml:space="preserve">Linehan</w:t>
        </w:r>
      </w:hyperlink>
      <w:r>
        <w:t xml:space="preserve"> </w:t>
      </w:r>
      <w:r>
        <w:t xml:space="preserve">(</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hyperlink w:anchor="ref-linehan1993skills">
        <w:r>
          <w:rPr>
            <w:rStyle w:val="Hyperlink"/>
          </w:rPr>
          <w:t xml:space="preserve">Linehan</w:t>
        </w:r>
      </w:hyperlink>
      <w:r>
        <w:t xml:space="preserve"> </w:t>
      </w:r>
      <w:r>
        <w:t xml:space="preserve">(</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hyperlink w:anchor="ref-alberti2017your">
        <w:r>
          <w:rPr>
            <w:rStyle w:val="Hyperlink"/>
          </w:rPr>
          <w:t xml:space="preserve">Alberti &amp; Emmons</w:t>
        </w:r>
      </w:hyperlink>
      <w:r>
        <w:t xml:space="preserve"> </w:t>
      </w:r>
      <w:r>
        <w:t xml:space="preserve">(</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regards to both the importance of the relationship and what</w:t>
      </w:r>
      <w:r>
        <w:t xml:space="preserve"> </w:t>
      </w:r>
      <w:hyperlink w:anchor="ref-linehan1993skills">
        <w:r>
          <w:rPr>
            <w:rStyle w:val="Hyperlink"/>
          </w:rPr>
          <w:t xml:space="preserve">Linehan</w:t>
        </w:r>
      </w:hyperlink>
      <w:r>
        <w:t xml:space="preserve"> </w:t>
      </w:r>
      <w:r>
        <w:t xml:space="preserve">(</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Assertive behavior, using this definition, can be thought of as the product of respect for the rights of others, and respect for the rights of oneself. This definition is non-normative and offers plenty of opportunities for idiographic and contextual descriptions of assertion in therapy, i.e. when designing in vivo behavioral experiments, regardless of cultural influences on what is considered to be acceptable behavior (within a family, community, society, et.c.)</w:t>
      </w:r>
      <w:r>
        <w:t xml:space="preserve"> </w:t>
      </w:r>
      <w:r>
        <w:t xml:space="preserve">(</w:t>
      </w:r>
      <w:hyperlink w:anchor="ref-Mitamura2018">
        <w:r>
          <w:rPr>
            <w:rStyle w:val="Hyperlink"/>
          </w:rPr>
          <w:t xml:space="preserve">Mitamura, 2018</w:t>
        </w:r>
      </w:hyperlink>
      <w:r>
        <w:t xml:space="preserve">)</w:t>
      </w:r>
      <w:r>
        <w:t xml:space="preserve">.</w:t>
      </w:r>
    </w:p>
    <w:p>
      <w:pPr>
        <w:pStyle w:val="BodyText"/>
      </w:pPr>
      <w:hyperlink w:anchor="ref-Speed2018a">
        <w:r>
          <w:rPr>
            <w:rStyle w:val="Hyperlink"/>
          </w:rPr>
          <w:t xml:space="preserve">Speed et al.</w:t>
        </w:r>
      </w:hyperlink>
      <w:r>
        <w:t xml:space="preserve"> </w:t>
      </w:r>
      <w:r>
        <w:t xml:space="preserve">(</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hyperlink w:anchor="ref-Baker2015">
        <w:r>
          <w:rPr>
            <w:rStyle w:val="Hyperlink"/>
          </w:rPr>
          <w:t xml:space="preserve">Baker &amp; Jeske</w:t>
        </w:r>
      </w:hyperlink>
      <w:r>
        <w:t xml:space="preserve"> </w:t>
      </w:r>
      <w:r>
        <w:t xml:space="preserve">(</w:t>
      </w:r>
      <w:hyperlink w:anchor="ref-Baker2015">
        <w:r>
          <w:rPr>
            <w:rStyle w:val="Hyperlink"/>
          </w:rPr>
          <w:t xml:space="preserve">2015</w:t>
        </w:r>
      </w:hyperlink>
      <w:r>
        <w:t xml:space="preserve">)</w:t>
      </w:r>
      <w:r>
        <w:t xml:space="preserve">, showing a negative relationship between social anxiety and assertiveness,</w:t>
      </w:r>
      <w:r>
        <w:t xml:space="preserve"> </w:t>
      </w:r>
      <w:hyperlink w:anchor="ref-Vagos2019">
        <w:r>
          <w:rPr>
            <w:rStyle w:val="Hyperlink"/>
          </w:rPr>
          <w:t xml:space="preserve">Vagos &amp; Pereira</w:t>
        </w:r>
      </w:hyperlink>
      <w:r>
        <w:t xml:space="preserve"> </w:t>
      </w:r>
      <w:r>
        <w:t xml:space="preserve">(</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hyperlink w:anchor="ref-Antunez2020">
        <w:r>
          <w:rPr>
            <w:rStyle w:val="Hyperlink"/>
          </w:rPr>
          <w:t xml:space="preserve">Antúnez</w:t>
        </w:r>
      </w:hyperlink>
      <w:r>
        <w:t xml:space="preserve"> </w:t>
      </w:r>
      <w:r>
        <w:t xml:space="preserve">(</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hyperlink w:anchor="ref-Speed2018a">
        <w:r>
          <w:rPr>
            <w:rStyle w:val="Hyperlink"/>
          </w:rPr>
          <w:t xml:space="preserve">Speed et al.</w:t>
        </w:r>
      </w:hyperlink>
      <w:r>
        <w:t xml:space="preserve"> </w:t>
      </w:r>
      <w:r>
        <w:t xml:space="preserve">(</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hyperlink w:anchor="ref-Hofmann2012">
        <w:r>
          <w:rPr>
            <w:rStyle w:val="Hyperlink"/>
          </w:rPr>
          <w:t xml:space="preserve">Hofmann et al.</w:t>
        </w:r>
      </w:hyperlink>
      <w:r>
        <w:t xml:space="preserve"> </w:t>
      </w:r>
      <w:r>
        <w:t xml:space="preserve">(</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hyperlink w:anchor="ref-Andrews2018">
        <w:r>
          <w:rPr>
            <w:rStyle w:val="Hyperlink"/>
          </w:rPr>
          <w:t xml:space="preserve">Andrews et al.</w:t>
        </w:r>
      </w:hyperlink>
      <w:r>
        <w:t xml:space="preserve"> </w:t>
      </w:r>
      <w:r>
        <w:t xml:space="preserve">(</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hyperlink w:anchor="ref-Carlbring2018">
        <w:r>
          <w:rPr>
            <w:rStyle w:val="Hyperlink"/>
          </w:rPr>
          <w:t xml:space="preserve">Carlbring et al.</w:t>
        </w:r>
      </w:hyperlink>
      <w:r>
        <w:t xml:space="preserve"> </w:t>
      </w:r>
      <w:r>
        <w:t xml:space="preserve">(</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hyperlink w:anchor="ref-michel2008">
        <w:r>
          <w:rPr>
            <w:rStyle w:val="Hyperlink"/>
          </w:rPr>
          <w:t xml:space="preserve">Michel &amp; Fursland</w:t>
        </w:r>
      </w:hyperlink>
      <w:r>
        <w:t xml:space="preserve"> </w:t>
      </w:r>
      <w:r>
        <w:t xml:space="preserve">(</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0"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hyperlink w:anchor="ref-Chambless2001">
        <w:r>
          <w:rPr>
            <w:rStyle w:val="Hyperlink"/>
          </w:rPr>
          <w:t xml:space="preserve">Chambless &amp; Ollendick</w:t>
        </w:r>
      </w:hyperlink>
      <w:r>
        <w:t xml:space="preserve"> </w:t>
      </w:r>
      <w:r>
        <w:t xml:space="preserve">(</w:t>
      </w:r>
      <w:hyperlink w:anchor="ref-Chambless2001">
        <w:r>
          <w:rPr>
            <w:rStyle w:val="Hyperlink"/>
          </w:rPr>
          <w:t xml:space="preserve">2001</w:t>
        </w:r>
      </w:hyperlink>
      <w:r>
        <w:t xml:space="preserve">)</w:t>
      </w:r>
      <w:r>
        <w:t xml:space="preserve">, with a randomized allocation of participants to three groups: (1) Guided self-help, (2) Unguided self-help, and (3) a ten-week Waitlist control. A sample size of 210 participants (70 per group) was decided on through an a priori power calculation according to guidelines for linear models outlined in</w:t>
      </w:r>
      <w:r>
        <w:t xml:space="preserve"> </w:t>
      </w:r>
      <w:hyperlink w:anchor="ref-cohen1988statistical">
        <w:r>
          <w:rPr>
            <w:rStyle w:val="Hyperlink"/>
          </w:rPr>
          <w:t xml:space="preserve">Cohen</w:t>
        </w:r>
      </w:hyperlink>
      <w:r>
        <w:t xml:space="preserve"> </w:t>
      </w:r>
      <w:r>
        <w:t xml:space="preserve">(</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characteristics collected Pre-treatment.</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hyperlink w:anchor="ref-michel2008">
        <w:r>
          <w:rPr>
            <w:rStyle w:val="Hyperlink"/>
          </w:rPr>
          <w:t xml:space="preserve">Michel &amp; Fursland</w:t>
        </w:r>
      </w:hyperlink>
      <w:r>
        <w:t xml:space="preserve"> </w:t>
      </w:r>
      <w:r>
        <w:t xml:space="preserve">(</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hyperlink w:anchor="ref-alberti1974your">
        <w:r>
          <w:rPr>
            <w:rStyle w:val="Hyperlink"/>
          </w:rPr>
          <w:t xml:space="preserve">Alberti &amp; Emmons</w:t>
        </w:r>
      </w:hyperlink>
      <w:r>
        <w:t xml:space="preserve"> </w:t>
      </w:r>
      <w:r>
        <w:t xml:space="preserve">(</w:t>
      </w:r>
      <w:hyperlink w:anchor="ref-alberti1974your">
        <w:r>
          <w:rPr>
            <w:rStyle w:val="Hyperlink"/>
          </w:rPr>
          <w:t xml:space="preserve">1974</w:t>
        </w:r>
      </w:hyperlink>
      <w:r>
        <w:t xml:space="preserve">)</w:t>
      </w:r>
      <w:r>
        <w:t xml:space="preserve">,</w:t>
      </w:r>
      <w:r>
        <w:t xml:space="preserve"> </w:t>
      </w:r>
      <w:hyperlink w:anchor="ref-gambrill1975assertion">
        <w:r>
          <w:rPr>
            <w:rStyle w:val="Hyperlink"/>
          </w:rPr>
          <w:t xml:space="preserve">Gambrill &amp; Richey</w:t>
        </w:r>
      </w:hyperlink>
      <w:r>
        <w:t xml:space="preserve"> </w:t>
      </w:r>
      <w:r>
        <w:t xml:space="preserve">(</w:t>
      </w:r>
      <w:hyperlink w:anchor="ref-gambrill1975assertion">
        <w:r>
          <w:rPr>
            <w:rStyle w:val="Hyperlink"/>
          </w:rPr>
          <w:t xml:space="preserve">1975</w:t>
        </w:r>
      </w:hyperlink>
      <w:r>
        <w:t xml:space="preserve">)</w:t>
      </w:r>
      <w:r>
        <w:t xml:space="preserve">, and</w:t>
      </w:r>
      <w:r>
        <w:t xml:space="preserve"> </w:t>
      </w:r>
      <w:hyperlink w:anchor="ref-smith1975say">
        <w:r>
          <w:rPr>
            <w:rStyle w:val="Hyperlink"/>
          </w:rPr>
          <w:t xml:space="preserve">Smith</w:t>
        </w:r>
      </w:hyperlink>
      <w:r>
        <w:t xml:space="preserve"> </w:t>
      </w:r>
      <w:r>
        <w:t xml:space="preserve">(</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hyperlink w:anchor="ref-wolpe1990practice">
        <w:r>
          <w:rPr>
            <w:rStyle w:val="Hyperlink"/>
          </w:rPr>
          <w:t xml:space="preserve">Wolpe</w:t>
        </w:r>
      </w:hyperlink>
      <w:r>
        <w:t xml:space="preserve"> </w:t>
      </w:r>
      <w:r>
        <w:t xml:space="preserve">(</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hyperlink w:anchor="ref-Wolpe1952">
        <w:r>
          <w:rPr>
            <w:rStyle w:val="Hyperlink"/>
          </w:rPr>
          <w:t xml:space="preserve">Wolpe</w:t>
        </w:r>
      </w:hyperlink>
      <w:r>
        <w:t xml:space="preserve"> </w:t>
      </w:r>
      <w:r>
        <w:t xml:space="preserve">(</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hyperlink w:anchor="ref-beck1979cognitive">
        <w:r>
          <w:rPr>
            <w:rStyle w:val="Hyperlink"/>
          </w:rPr>
          <w:t xml:space="preserve">Beck</w:t>
        </w:r>
      </w:hyperlink>
      <w:r>
        <w:t xml:space="preserve"> </w:t>
      </w:r>
      <w:r>
        <w:t xml:space="preserve">(</w:t>
      </w:r>
      <w:hyperlink w:anchor="ref-beck1979cognitive">
        <w:r>
          <w:rPr>
            <w:rStyle w:val="Hyperlink"/>
          </w:rPr>
          <w:t xml:space="preserve">1979</w:t>
        </w:r>
      </w:hyperlink>
      <w:r>
        <w:t xml:space="preserve">)</w:t>
      </w:r>
      <w:r>
        <w:t xml:space="preserve">,</w:t>
      </w:r>
      <w:r>
        <w:t xml:space="preserve"> </w:t>
      </w:r>
      <w:hyperlink w:anchor="ref-Clark1986">
        <w:r>
          <w:rPr>
            <w:rStyle w:val="Hyperlink"/>
          </w:rPr>
          <w:t xml:space="preserve">Clark</w:t>
        </w:r>
      </w:hyperlink>
      <w:r>
        <w:t xml:space="preserve"> </w:t>
      </w:r>
      <w:r>
        <w:t xml:space="preserve">(</w:t>
      </w:r>
      <w:hyperlink w:anchor="ref-Clark1986">
        <w:r>
          <w:rPr>
            <w:rStyle w:val="Hyperlink"/>
          </w:rPr>
          <w:t xml:space="preserve">1986</w:t>
        </w:r>
      </w:hyperlink>
      <w:r>
        <w:t xml:space="preserve">)</w:t>
      </w:r>
      <w:r>
        <w:t xml:space="preserve">,</w:t>
      </w:r>
      <w:r>
        <w:t xml:space="preserve"> </w:t>
      </w:r>
      <w:hyperlink w:anchor="ref-clark1995cognitive">
        <w:r>
          <w:rPr>
            <w:rStyle w:val="Hyperlink"/>
          </w:rPr>
          <w:t xml:space="preserve">Clark &amp; Wells</w:t>
        </w:r>
      </w:hyperlink>
      <w:r>
        <w:t xml:space="preserve"> </w:t>
      </w:r>
      <w:r>
        <w:t xml:space="preserve">(</w:t>
      </w:r>
      <w:hyperlink w:anchor="ref-clark1995cognitive">
        <w:r>
          <w:rPr>
            <w:rStyle w:val="Hyperlink"/>
          </w:rPr>
          <w:t xml:space="preserve">1995</w:t>
        </w:r>
      </w:hyperlink>
      <w:r>
        <w:t xml:space="preserve">)</w:t>
      </w:r>
      <w:r>
        <w:t xml:space="preserve">, and</w:t>
      </w:r>
      <w:r>
        <w:t xml:space="preserve"> </w:t>
      </w:r>
      <w:hyperlink w:anchor="ref-powell2017mental">
        <w:r>
          <w:rPr>
            <w:rStyle w:val="Hyperlink"/>
          </w:rPr>
          <w:t xml:space="preserve">Powell</w:t>
        </w:r>
      </w:hyperlink>
      <w:r>
        <w:t xml:space="preserve"> </w:t>
      </w:r>
      <w:r>
        <w:t xml:space="preserve">(</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hyperlink w:anchor="ref-michel2008">
        <w:r>
          <w:rPr>
            <w:rStyle w:val="Hyperlink"/>
          </w:rPr>
          <w:t xml:space="preserve">Michel &amp; Fursland</w:t>
        </w:r>
      </w:hyperlink>
      <w:r>
        <w:t xml:space="preserve"> </w:t>
      </w:r>
      <w:r>
        <w:t xml:space="preserve">(</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7"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they were further randomized into groups Unguided self-help, Guided self-help, and Waitlist, with 70 participants each." title="" id="1" name="Picture"/>
            <a:graphic>
              <a:graphicData uri="http://schemas.openxmlformats.org/drawingml/2006/picture">
                <pic:pic>
                  <pic:nvPicPr>
                    <pic:cNvPr descr="flowchart.png" id="0" name="Picture"/>
                    <pic:cNvPicPr>
                      <a:picLocks noChangeArrowheads="1" noChangeAspect="1"/>
                    </pic:cNvPicPr>
                  </pic:nvPicPr>
                  <pic:blipFill>
                    <a:blip r:embed="rId36"/>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7"/>
    <w:bookmarkStart w:id="39" w:name="analysis"/>
    <w:p>
      <w:pPr>
        <w:pStyle w:val="Heading2"/>
      </w:pPr>
      <w:r>
        <w:t xml:space="preserve">Analysis</w:t>
      </w:r>
    </w:p>
    <w:p>
      <w:pPr>
        <w:pStyle w:val="FirstParagraph"/>
      </w:pPr>
      <w:r>
        <w:t xml:space="preserve">All data were organized in one dataset and analyzed using R 4.2.0,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38">
        <w:r>
          <w:rPr>
            <w:rStyle w:val="Hyperlink"/>
          </w:rPr>
          <w:t xml:space="preserve">https://github.com/hmep/r2fu/</w:t>
        </w:r>
      </w:hyperlink>
      <w:r>
        <w:t xml:space="preserve">, together with anonymized data.</w:t>
      </w:r>
    </w:p>
    <w:p>
      <w:pPr>
        <w:pStyle w:val="BodyText"/>
      </w:pPr>
      <w:r>
        <w:t xml:space="preserve">A linear mixed-effects model was fitted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hyperlink w:anchor="ref-Jacobson1991">
        <w:r>
          <w:rPr>
            <w:rStyle w:val="Hyperlink"/>
          </w:rPr>
          <w:t xml:space="preserve">Jacobson &amp; Truax</w:t>
        </w:r>
      </w:hyperlink>
      <w:r>
        <w:t xml:space="preserve"> </w:t>
      </w:r>
      <w:r>
        <w:t xml:space="preserve">(</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values were filled in with the value from the previous time point.</w:t>
      </w:r>
    </w:p>
    <w:bookmarkEnd w:id="39"/>
    <w:bookmarkEnd w:id="40"/>
    <w:bookmarkStart w:id="51" w:name="results"/>
    <w:p>
      <w:pPr>
        <w:pStyle w:val="Heading1"/>
      </w:pPr>
      <w:r>
        <w:t xml:space="preserve">Results</w:t>
      </w:r>
    </w:p>
    <w:p>
      <w:pPr>
        <w:pStyle w:val="CaptionedFigure"/>
      </w:pPr>
      <w:r>
        <w:drawing>
          <wp:inline>
            <wp:extent cx="5334000" cy="4267200"/>
            <wp:effectExtent b="0" l="0" r="0" t="0"/>
            <wp:docPr descr="Plots of estimated fixed effects for two of the primary transdiagnostic scales used to measure skillful, assertive behaviors. Participants&lt;U+2019&gt;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lt;U+2019&gt;s means recovered slightly, although not significantly, between the Pre and Post time points, for all measure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Participants&lt;U+2019&gt;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group&lt;U+2019&gt;s means recovered slightly, although not significantly, between the Pre and Post time points, for all measures.</w:t>
      </w:r>
    </w:p>
    <w:p>
      <w:pPr>
        <w:pStyle w:val="CaptionedFigure"/>
      </w:pPr>
      <w:r>
        <w:drawing>
          <wp:inline>
            <wp:extent cx="5334000" cy="42672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w:t>
      </w:r>
    </w:p>
    <w:bookmarkStart w:id="50"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These interactions show that the random assignment to group conditions did have an effect over time on assertive behaviors.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time-points.</w:t>
      </w:r>
    </w:p>
    <w:bookmarkStart w:id="43" w:name="X259a991c260b889c05c789cd47bdeff41252dda"/>
    <w:p>
      <w:pPr>
        <w:pStyle w:val="Heading3"/>
      </w:pPr>
      <w:r>
        <w:t xml:space="preserve">Between-group effects on assertive behaviors</w:t>
      </w:r>
    </w:p>
    <w:p>
      <w:pPr>
        <w:pStyle w:val="FirstParagraph"/>
      </w:pPr>
      <w:r>
        <w:t xml:space="preserve">Follow-up testing revealed significant effects between both treatment groups and the Waitlist group for all three primary measures of assertiveness at Post, that is at the end of the 8-week Respekt</w:t>
      </w:r>
      <w:r>
        <w:rPr>
          <w:vertAlign w:val="superscript"/>
        </w:rPr>
        <w:t xml:space="preserve">2</w:t>
      </w:r>
      <w:r>
        <w:t xml:space="preserve"> </w:t>
      </w:r>
      <w:r>
        <w:t xml:space="preserve">treatment program. It also revealed signigificant effects at Follow-up, that is 1 year after end of treatment, comparing against the Post time-point for the Waitlist condition. Table 2 summarizes significance tests of estimated marginal mean differences and effect sizes, including 95% confidence intervals (CI).</w:t>
      </w:r>
    </w:p>
    <w:p>
      <w:pPr>
        <w:pStyle w:val="BodyText"/>
      </w:pPr>
      <w:r>
        <w:t xml:space="preserve">Comparing against Waitlist, the effect of the Unguided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aggressive assertiveness as measured with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as well as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Post-treatment,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at 1-year Follow-up having grown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Large effects at Post were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 measure</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w:t>
      </w:r>
    </w:p>
    <w:p>
      <w:pPr>
        <w:pStyle w:val="BodyText"/>
      </w:pPr>
      <w:r>
        <w:t xml:space="preserve">Comparing the Unguided self-help and the Guided self-help treatment conditions, there was no significant difference neither at Post nor at Follow-up, revealing that participants working through the intervention on their own fared just as well as those who were supported by a therapist.</w:t>
      </w:r>
    </w:p>
    <w:bookmarkEnd w:id="43"/>
    <w:bookmarkStart w:id="44" w:name="X32f89f68c5936d30db2416b5e7d82b70ea5932b"/>
    <w:p>
      <w:pPr>
        <w:pStyle w:val="Heading3"/>
      </w:pPr>
      <w:r>
        <w:t xml:space="preserve">Between-group effects on syndromal symptoms of anxiety and depression</w:t>
      </w:r>
    </w:p>
    <w:p>
      <w:pPr>
        <w:pStyle w:val="FirstParagraph"/>
      </w:pPr>
      <w:r>
        <w:t xml:space="preserve">In post-hoc testing, no effect on alleviation of depressive symptoms measured with PHQ-9 at the Post time-point was found comparing the Waitlist and the Unguided self-help groups. Tentative evidence was found for support by therapists benefiting depressed participants,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time-point; see Figure 3 for a visual exploration of a possible nocebo effect, that is symptomatic worsening over time due to self-fulfilling expectations of low mood among participants waiting in line for treatment.</w:t>
      </w:r>
    </w:p>
    <w:p>
      <w:pPr>
        <w:pStyle w:val="BodyText"/>
      </w:pPr>
      <w:r>
        <w:t xml:space="preserve">No between-group effects were found for GAD-7, comparing treatment groups against Waitlist. Also, there was no significant effect of the Unguided self-help condition on reduction of social anxiety symptoms measured with LSAS-SR at Post-treatment.</w:t>
      </w:r>
      <w:r>
        <w:t xml:space="preserve"> </w:t>
      </w:r>
      <w:r>
        <w:t xml:space="preserve"> </w:t>
      </w:r>
      <w:r>
        <w:t xml:space="preserve">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comparing against the lowest value collected, that is at During, half-way through the intervention; see Figure 3 for identification of time point. For the Guided self-help group, a moderate effect was found at Post,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and a large effect at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comparing against the most conservative time-point, During, for the Waitlist.</w:t>
      </w:r>
    </w:p>
    <w:p>
      <w:pPr>
        <w:pStyle w:val="BodyText"/>
      </w:pPr>
      <w:r>
        <w:t xml:space="preserve">Thus, the 8-week Respekt</w:t>
      </w:r>
      <w:r>
        <w:rPr>
          <w:vertAlign w:val="superscript"/>
        </w:rPr>
        <w:t xml:space="preserve">2</w:t>
      </w:r>
      <w:r>
        <w:t xml:space="preserve"> </w:t>
      </w:r>
      <w:r>
        <w:t xml:space="preserve">intervention had no effect on either depression or generalized anxiety. However, it did have a pronounced effect on social anxiety. See table 2 for a summary of significant effects, including 95% CIs.</w:t>
      </w:r>
    </w:p>
    <w:bookmarkEnd w:id="44"/>
    <w:bookmarkStart w:id="45" w:name="notable-within-group-effects"/>
    <w:p>
      <w:pPr>
        <w:pStyle w:val="Heading3"/>
      </w:pPr>
      <w:r>
        <w:t xml:space="preserve">Notable within-group effects</w:t>
      </w:r>
    </w:p>
    <w:p>
      <w:pPr>
        <w:pStyle w:val="FirstParagraph"/>
      </w:pPr>
      <w:r>
        <w:t xml:space="preserve">As shown in table 2, participants in both treatment groups enjoyed sustained within-group effects on assertiveness at 1 year Follow-up when compared to the Pre-treatment measurement time point, measured with AAA-S Adaptive, AAA-S Aggressive and the RAS, revealing that assertive behaviors were still manifest well beyond the end of participation in the intervention. However, significant effects between the Post to Follow-up time-points were found only for two measures in the Guided self-help group,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time points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evidencing that therapist support provided some benefit to participants’ ability to generalize adaptive assertive behaviors beyond the duration of the intervention.</w:t>
      </w:r>
    </w:p>
    <w:p>
      <w:pPr>
        <w:pStyle w:val="BodyText"/>
      </w:pPr>
      <w:r>
        <w:t xml:space="preserve">Among the secondary measures of syndromal symptoms, depression as captured with PHQ-9 had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shorter time scale.</w:t>
      </w:r>
    </w:p>
    <w:bookmarkEnd w:id="45"/>
    <w:bookmarkStart w:id="49" w:name="clinical-significant-change"/>
    <w:p>
      <w:pPr>
        <w:pStyle w:val="Heading3"/>
      </w:pPr>
      <w:r>
        <w:t xml:space="preserve">Clinical significant change</w:t>
      </w:r>
    </w:p>
    <w:bookmarkStart w:id="46" w:name="Xa39b37f015a18bad044b28713fcb26b136ecfc9"/>
    <w:p>
      <w:pPr>
        <w:pStyle w:val="Heading4"/>
      </w:pPr>
      <w:r>
        <w:t xml:space="preserve">Reliable recovery with regards to assertive behaviors</w:t>
      </w:r>
    </w:p>
    <w:p>
      <w:pPr>
        <w:pStyle w:val="FirstParagraph"/>
      </w:pPr>
      <w:r>
        <w:t xml:space="preserve">Adding to the picture that assertive behaviors increased as a consequence of participation in the intervention, there was a significant difference between the groups at Post in the proportion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w:t>
      </w:r>
      <w:r>
        <w:t xml:space="preserve">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Follow-up, the proportions of the</w:t>
      </w:r>
      <w:r>
        <w:t xml:space="preserve"> </w:t>
      </w:r>
      <w:r>
        <w:t xml:space="preserve">‘</w:t>
      </w:r>
      <w:r>
        <w:t xml:space="preserve">Recovered</w:t>
      </w:r>
      <w:r>
        <w:t xml:space="preserve">’</w:t>
      </w:r>
      <w:r>
        <w:t xml:space="preserve"> </w:t>
      </w:r>
      <w:r>
        <w:t xml:space="preserve">category were also significantly different for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there was not difference in the proportions of recovered participants with regards to AAA-S Aggressive at either time-point.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w:t>
      </w:r>
      <w:r>
        <w:t xml:space="preserve">in the Unguided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sSub>
          <m:e>
            <m:r>
              <m:t>p</m:t>
            </m:r>
          </m:e>
          <m:sub>
            <m:r>
              <m:t>B</m:t>
            </m:r>
            <m:r>
              <m:t>o</m:t>
            </m:r>
            <m:r>
              <m:t>n</m:t>
            </m:r>
            <m:r>
              <m:t>f</m:t>
            </m:r>
          </m:sub>
        </m:sSub>
      </m:oMath>
      <w:r>
        <w:t xml:space="preserve"> </w:t>
      </w:r>
      <w:r>
        <w:t xml:space="preserve">=</w:t>
      </w:r>
      <w:r>
        <w:t xml:space="preserve"> </w:t>
      </w:r>
      <m:oMath>
        <m:r>
          <m:t>.019</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sSub>
          <m:e>
            <m:r>
              <m:t>p</m:t>
            </m:r>
          </m:e>
          <m:sub>
            <m:r>
              <m:t>B</m:t>
            </m:r>
            <m:r>
              <m:t>o</m:t>
            </m:r>
            <m:r>
              <m:t>n</m:t>
            </m:r>
            <m:r>
              <m:t>f</m:t>
            </m:r>
          </m:sub>
        </m:sSub>
      </m:oMath>
      <w:r>
        <w:t xml:space="preserve"> </w:t>
      </w:r>
      <w:r>
        <w:t xml:space="preserve">=</w:t>
      </w:r>
      <w:r>
        <w:t xml:space="preserve"> </w:t>
      </w:r>
      <m:oMath>
        <m:r>
          <m:t>.003</m:t>
        </m:r>
      </m:oMath>
      <w:r>
        <w:t xml:space="preserve">. For assertiveness assessed with the RAS, the corresponding numbers (and percentages)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sSub>
          <m:e>
            <m:r>
              <m:t>p</m:t>
            </m:r>
          </m:e>
          <m:sub>
            <m:r>
              <m:t>B</m:t>
            </m:r>
            <m:r>
              <m:t>o</m:t>
            </m:r>
            <m:r>
              <m:t>n</m:t>
            </m:r>
            <m:r>
              <m:t>f</m:t>
            </m:r>
          </m:sub>
        </m:sSub>
      </m:oMath>
      <w:r>
        <w:t xml:space="preserve"> </w:t>
      </w:r>
      <w:r>
        <w:t xml:space="preserve">=</w:t>
      </w:r>
      <w:r>
        <w:t xml:space="preserve"> </w:t>
      </w:r>
      <m:oMath>
        <m:r>
          <m:t>.007</m:t>
        </m:r>
      </m:oMath>
      <w:r>
        <w:t xml:space="preserve"> </w:t>
      </w:r>
      <w:r>
        <w:t xml:space="preserve">for the Unguided self-help condition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for the Guided self-help condition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at Follow-up.</w:t>
      </w:r>
    </w:p>
    <w:p>
      <w:pPr>
        <w:pStyle w:val="BodyText"/>
      </w:pPr>
      <w:r>
        <w:t xml:space="preserve">Thus, the clinical significance findings are mostly in agreement with the statistical analysis of change, confirming that adaptive expressions of assertiveness in both treatment groups increased Pre to Post, and beyond, while deviating with regards to aggressive expressions.</w:t>
      </w:r>
    </w:p>
    <w:bookmarkEnd w:id="46"/>
    <w:bookmarkStart w:id="47" w:name="Xc31864b920d4665e0645bf5e1f2a5242419c5f5"/>
    <w:p>
      <w:pPr>
        <w:pStyle w:val="Heading4"/>
      </w:pPr>
      <w:r>
        <w:t xml:space="preserve">Reliable recovery with regards to syndromal symptoms</w:t>
      </w:r>
    </w:p>
    <w:p>
      <w:pPr>
        <w:pStyle w:val="FirstParagraph"/>
      </w:pPr>
      <w:r>
        <w:t xml:space="preserve">As for the syndromal symptoms, the proportions of those of social phobia as captured with LSAS-SR was significantly different between groups at Post,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PHQ-9 or GAD-7. At Follow-up, the difference in proportions of recovery between conditions was significant for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GAD-7.</w:t>
      </w:r>
    </w:p>
    <w:p>
      <w:pPr>
        <w:pStyle w:val="BodyText"/>
      </w:pPr>
      <w:r>
        <w:t xml:space="preserve">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sSub>
          <m:e>
            <m:r>
              <m:t>p</m:t>
            </m:r>
          </m:e>
          <m:sub>
            <m:r>
              <m:t>B</m:t>
            </m:r>
            <m:r>
              <m:t>o</m:t>
            </m:r>
            <m:r>
              <m:t>n</m:t>
            </m:r>
            <m:r>
              <m:t>f</m:t>
            </m:r>
          </m:sub>
        </m:sSub>
      </m:oMath>
      <w:r>
        <w:t xml:space="preserve"> </w:t>
      </w:r>
      <w:r>
        <w:t xml:space="preserve">=</w:t>
      </w:r>
      <w:r>
        <w:t xml:space="preserve"> </w:t>
      </w:r>
      <m:oMath>
        <m:r>
          <m:t>.006</m:t>
        </m:r>
      </m:oMath>
      <w:r>
        <w:t xml:space="preserve">, but not so in Unguided self-help group, pointing to that interaction with therapists contributes to faster recovery for depressed participants. In addition, a significant number of participants in the Unguided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sSub>
          <m:e>
            <m:r>
              <m:t>p</m:t>
            </m:r>
          </m:e>
          <m:sub>
            <m:r>
              <m:t>B</m:t>
            </m:r>
            <m:r>
              <m:t>o</m:t>
            </m:r>
            <m:r>
              <m:t>n</m:t>
            </m:r>
            <m:r>
              <m:t>f</m:t>
            </m:r>
          </m:sub>
        </m:sSub>
      </m:oMath>
      <w:r>
        <w:t xml:space="preserve"> </w:t>
      </w:r>
      <w:r>
        <w:t xml:space="preserve">=</w:t>
      </w:r>
      <w:r>
        <w:t xml:space="preserve"> </w:t>
      </w:r>
      <m:oMath>
        <m:r>
          <m:t>.045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at Follow-up. These clinical findings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autonomous anxiety responses and/or reducing avoidance and escape behaviors from them.</w:t>
      </w:r>
    </w:p>
    <w:p>
      <w:pPr>
        <w:pStyle w:val="BodyText"/>
      </w:pPr>
      <w:r>
        <w:t xml:space="preserve">Table 3 gives a summary of numbers and proportions of clinical recovery in the different groups, and the significance, if any, of pairwise tests of those proportions against those of the Waitlist.</w:t>
      </w:r>
    </w:p>
    <w:bookmarkEnd w:id="47"/>
    <w:bookmarkStart w:id="48" w:name="reliable-deterioration-and-harm"/>
    <w:p>
      <w:pPr>
        <w:pStyle w:val="Heading4"/>
      </w:pPr>
      <w:r>
        <w:t xml:space="preserve">Reliable deterioration and harm</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sSub>
          <m:e>
            <m:r>
              <m:t>p</m:t>
            </m:r>
          </m:e>
          <m:sub>
            <m:r>
              <m:t>​</m:t>
            </m:r>
          </m:sub>
        </m:sSub>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3).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sSub>
          <m:e>
            <m:r>
              <m:t>p</m:t>
            </m:r>
          </m:e>
          <m:sub>
            <m:r>
              <m:t>​</m:t>
            </m:r>
          </m:sub>
        </m:sSub>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going from Pre to Post treatment, was significant compared to the Guided self-help group,</w:t>
      </w:r>
      <w:r>
        <w:t xml:space="preserve"> </w:t>
      </w:r>
      <m:oMath>
        <m:r>
          <m:t>n</m:t>
        </m:r>
      </m:oMath>
      <w:r>
        <w:t xml:space="preserve"> </w:t>
      </w:r>
      <w:r>
        <w:t xml:space="preserve">= 7 (</w:t>
      </w:r>
      <m:oMath>
        <m:r>
          <m:t>10</m:t>
        </m:r>
      </m:oMath>
      <w:r>
        <w:t xml:space="preserve">space%),</w:t>
      </w:r>
      <w:r>
        <w:t xml:space="preserve"> </w:t>
      </w:r>
      <m:oMath>
        <m:r>
          <m:t>Z</m:t>
        </m:r>
      </m:oMath>
      <w:r>
        <w:t xml:space="preserve">(</w:t>
      </w:r>
      <m:oMath>
        <m:r>
          <m:t>2</m:t>
        </m:r>
      </m:oMath>
      <w:r>
        <w:t xml:space="preserve">) =</w:t>
      </w:r>
      <w:r>
        <w:t xml:space="preserve"> </w:t>
      </w:r>
      <m:oMath>
        <m:r>
          <m:t>2.94</m:t>
        </m:r>
      </m:oMath>
      <w:r>
        <w:t xml:space="preserve">,</w:t>
      </w:r>
      <w:r>
        <w:t xml:space="preserve"> </w:t>
      </w:r>
      <m:oMath>
        <m:sSub>
          <m:e>
            <m:r>
              <m:t>p</m:t>
            </m:r>
          </m:e>
          <m:sub>
            <m:r>
              <m:t>B</m:t>
            </m:r>
            <m:r>
              <m:t>o</m:t>
            </m:r>
            <m:r>
              <m:t>n</m:t>
            </m:r>
            <m:r>
              <m:t>f</m:t>
            </m:r>
          </m:sub>
        </m:sSub>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sSub>
          <m:e>
            <m:r>
              <m:t>p</m:t>
            </m:r>
          </m:e>
          <m:sub>
            <m:r>
              <m:t>​</m:t>
            </m:r>
          </m:sub>
        </m:sSub>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Unguided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sSub>
          <m:e>
            <m:r>
              <m:t>p</m:t>
            </m:r>
          </m:e>
          <m:sub>
            <m:r>
              <m:t>B</m:t>
            </m:r>
            <m:r>
              <m:t>o</m:t>
            </m:r>
            <m:r>
              <m:t>n</m:t>
            </m:r>
            <m:r>
              <m:t>f</m:t>
            </m:r>
          </m:sub>
        </m:sSub>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sSub>
          <m:e>
            <m:r>
              <m:t>p</m:t>
            </m:r>
          </m:e>
          <m:sub>
            <m:r>
              <m:t>​</m:t>
            </m:r>
          </m:sub>
        </m:sSub>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space%),</w:t>
      </w:r>
      <w:r>
        <w:t xml:space="preserve"> </w:t>
      </w:r>
      <m:oMath>
        <m:r>
          <m:t>Z</m:t>
        </m:r>
      </m:oMath>
      <w:r>
        <w:t xml:space="preserve">(</w:t>
      </w:r>
      <m:oMath>
        <m:r>
          <m:t>2</m:t>
        </m:r>
      </m:oMath>
      <w:r>
        <w:t xml:space="preserve">) =</w:t>
      </w:r>
      <w:r>
        <w:t xml:space="preserve"> </w:t>
      </w:r>
      <m:oMath>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48"/>
    <w:bookmarkEnd w:id="49"/>
    <w:bookmarkEnd w:id="50"/>
    <w:bookmarkEnd w:id="51"/>
    <w:bookmarkStart w:id="142" w:name="discussion"/>
    <w:p>
      <w:pPr>
        <w:pStyle w:val="Heading1"/>
      </w:pPr>
      <w:r>
        <w:t xml:space="preserve">Discussion</w:t>
      </w:r>
    </w:p>
    <w:bookmarkStart w:id="58" w:name="results-discussion"/>
    <w:p>
      <w:pPr>
        <w:pStyle w:val="Heading2"/>
      </w:pPr>
      <w:r>
        <w:t xml:space="preserve">Results discussion</w:t>
      </w:r>
    </w:p>
    <w:bookmarkStart w:id="56" w:name="main-results"/>
    <w:p>
      <w:pPr>
        <w:pStyle w:val="Heading3"/>
      </w:pPr>
      <w:r>
        <w:t xml:space="preserve">Main results</w:t>
      </w:r>
    </w:p>
    <w:p>
      <w:pPr>
        <w:pStyle w:val="FirstParagraph"/>
      </w:pPr>
      <w:r>
        <w:t xml:space="preserve">This randomized control trial brings up-to-date empirical data about a trans-diagnostic intervention targeting assertiveness, Respekt</w:t>
      </w:r>
      <w:r>
        <w:rPr>
          <w:vertAlign w:val="superscript"/>
        </w:rPr>
        <w:t xml:space="preserve">2</w:t>
      </w:r>
      <w:r>
        <w:t xml:space="preserve">, providing evidence for its effects on assertive behaviors and on symptoms of psychiatric disorders. Having been mostly ignored as a construct in clincical research since the 1990’ies, despite its rich history as the target in the very first behavioral therapies of the 1950’ies, and its current status as an important goal for exposure in third wave CBT variants such as DBT and ACT</w:t>
      </w:r>
      <w:r>
        <w:t xml:space="preserve"> </w:t>
      </w:r>
      <w:r>
        <w:t xml:space="preserve">(</w:t>
      </w:r>
      <w:hyperlink w:anchor="ref-Speed2018a">
        <w:r>
          <w:rPr>
            <w:rStyle w:val="Hyperlink"/>
          </w:rPr>
          <w:t xml:space="preserve">Speed et al., 2018</w:t>
        </w:r>
      </w:hyperlink>
      <w:r>
        <w:t xml:space="preserve">)</w:t>
      </w:r>
      <w:r>
        <w:t xml:space="preserve">, this study brings much-needed data on assertiveness as a viable transdiagnostic stand-alone goal in psychological treatment.</w:t>
      </w:r>
    </w:p>
    <w:bookmarkStart w:id="52" w:name="effects-on-assertiveness"/>
    <w:p>
      <w:pPr>
        <w:pStyle w:val="Heading4"/>
      </w:pPr>
      <w:r>
        <w:t xml:space="preserve">Effects on assertiveness</w:t>
      </w:r>
    </w:p>
    <w:p>
      <w:pPr>
        <w:pStyle w:val="FirstParagraph"/>
      </w:pPr>
      <w:r>
        <w:t xml:space="preserve">In the current study, we found large between-group effects on assertiveness for both unguided and guided participation in Respekt</w:t>
      </w:r>
      <w:r>
        <w:rPr>
          <w:vertAlign w:val="superscript"/>
        </w:rPr>
        <w:t xml:space="preserve">2</w:t>
      </w:r>
      <w:r>
        <w:t xml:space="preserve">, compared to a waitlist control. For AAA-S Adaptive and RAS at Post in the Unguided self-help condition,</w:t>
      </w:r>
      <w:r>
        <w:t xml:space="preserve"> </w:t>
      </w:r>
      <m:oMath>
        <m:r>
          <m:t>E</m:t>
        </m:r>
        <m:r>
          <m:t>S</m:t>
        </m:r>
      </m:oMath>
      <w:r>
        <w:t xml:space="preserve"> </w:t>
      </w:r>
      <w:r>
        <w:t xml:space="preserve">=</w:t>
      </w:r>
      <w:r>
        <w:t xml:space="preserve"> </w:t>
      </w:r>
      <m:oMath>
        <m:r>
          <m:t>1.00</m:t>
        </m:r>
      </m:oMath>
      <w:r>
        <w:t xml:space="preserve">, 95% CI [</w:t>
      </w:r>
      <m:oMath>
        <m:r>
          <m:t>.62</m:t>
        </m:r>
      </m:oMath>
      <w:r>
        <w:t xml:space="preserve">,</w:t>
      </w:r>
      <w:r>
        <w:t xml:space="preserve"> </w:t>
      </w:r>
      <m:oMath>
        <m:r>
          <m:t>1.38</m:t>
        </m:r>
      </m:oMath>
      <w:r>
        <w:t xml:space="preserve">] and</w:t>
      </w:r>
      <w:r>
        <w:t xml:space="preserve"> </w:t>
      </w:r>
      <m:oMath>
        <m:r>
          <m:t>E</m:t>
        </m:r>
        <m:r>
          <m:t>S</m:t>
        </m:r>
      </m:oMath>
      <w:r>
        <w:t xml:space="preserve"> </w:t>
      </w:r>
      <w:r>
        <w:t xml:space="preserve">=</w:t>
      </w:r>
      <w:r>
        <w:t xml:space="preserve"> </w:t>
      </w:r>
      <m:oMath>
        <m:r>
          <m:t>1.02</m:t>
        </m:r>
      </m:oMath>
      <w:r>
        <w:t xml:space="preserve">, 95% CI [</w:t>
      </w:r>
      <m:oMath>
        <m:r>
          <m:t>.65</m:t>
        </m:r>
      </m:oMath>
      <w:r>
        <w:t xml:space="preserve">,</w:t>
      </w:r>
      <w:r>
        <w:t xml:space="preserve"> </w:t>
      </w:r>
      <m:oMath>
        <m:r>
          <m:t>1.39</m:t>
        </m:r>
      </m:oMath>
      <w:r>
        <w:t xml:space="preserve">] respectively. The corresponding effect sizes in the Guided self-help group was</w:t>
      </w:r>
      <w:r>
        <w:t xml:space="preserve"> </w:t>
      </w:r>
      <m:oMath>
        <m:r>
          <m:t>E</m:t>
        </m:r>
        <m:r>
          <m:t>S</m:t>
        </m:r>
      </m:oMath>
      <w:r>
        <w:t xml:space="preserve"> </w:t>
      </w:r>
      <w:r>
        <w:t xml:space="preserve">=</w:t>
      </w:r>
      <w:r>
        <w:t xml:space="preserve"> </w:t>
      </w:r>
      <m:oMath>
        <m:r>
          <m:t>.95</m:t>
        </m:r>
      </m:oMath>
      <w:r>
        <w:t xml:space="preserve">, 95% CI [</w:t>
      </w:r>
      <m:oMath>
        <m:r>
          <m:t>.59</m:t>
        </m:r>
      </m:oMath>
      <w:r>
        <w:t xml:space="preserve">,</w:t>
      </w:r>
      <w:r>
        <w:t xml:space="preserve"> </w:t>
      </w:r>
      <m:oMath>
        <m:r>
          <m:t>1.30</m:t>
        </m:r>
      </m:oMath>
      <w:r>
        <w:t xml:space="preserve">] and</w:t>
      </w:r>
      <w:r>
        <w:t xml:space="preserve"> </w:t>
      </w:r>
      <m:oMath>
        <m:r>
          <m:t>E</m:t>
        </m:r>
        <m:r>
          <m:t>S</m:t>
        </m:r>
      </m:oMath>
      <w:r>
        <w:t xml:space="preserve"> </w:t>
      </w:r>
      <w:r>
        <w:t xml:space="preserve">=</w:t>
      </w:r>
      <w:r>
        <w:t xml:space="preserve"> </w:t>
      </w:r>
      <m:oMath>
        <m:r>
          <m:t>1.24</m:t>
        </m:r>
      </m:oMath>
      <w:r>
        <w:t xml:space="preserve">, 95% CI [</w:t>
      </w:r>
      <m:oMath>
        <m:r>
          <m:t>.88</m:t>
        </m:r>
      </m:oMath>
      <w:r>
        <w:t xml:space="preserve">,</w:t>
      </w:r>
      <w:r>
        <w:t xml:space="preserve"> </w:t>
      </w:r>
      <m:oMath>
        <m:r>
          <m:t>1.60</m:t>
        </m:r>
      </m:oMath>
      <w:r>
        <w:t xml:space="preserve">] respectively. These effects are comparable to those found in clinical trails of iCBT interventions for other trans-diagnostic behavioral targets such as procrastination (</w:t>
      </w:r>
      <m:oMath>
        <m:r>
          <m:t>d</m:t>
        </m:r>
      </m:oMath>
      <w:r>
        <w:t xml:space="preserve"> </w:t>
      </w:r>
      <w:r>
        <w:t xml:space="preserve">= ??)</w:t>
      </w:r>
      <w:r>
        <w:t xml:space="preserve"> </w:t>
      </w:r>
      <w:r>
        <w:t xml:space="preserve">(</w:t>
      </w:r>
      <w:hyperlink w:anchor="ref-Rozental2015">
        <w:r>
          <w:rPr>
            <w:rStyle w:val="Hyperlink"/>
          </w:rPr>
          <w:t xml:space="preserve">Rozental et al., 2015</w:t>
        </w:r>
      </w:hyperlink>
      <w:r>
        <w:t xml:space="preserve">)</w:t>
      </w:r>
      <w:r>
        <w:t xml:space="preserve">, and perfectionism (</w:t>
      </w:r>
      <m:oMath>
        <m:r>
          <m:t>d</m:t>
        </m:r>
      </m:oMath>
      <w:r>
        <w:t xml:space="preserve"> </w:t>
      </w:r>
      <w:r>
        <w:t xml:space="preserve">= ??)</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(Also, compare w/ frequencies or reliable change, e.g.</w:t>
      </w:r>
      <w:r>
        <w:t xml:space="preserve"> </w:t>
      </w:r>
      <w:hyperlink w:anchor="ref-Rozental2015">
        <w:r>
          <w:rPr>
            <w:rStyle w:val="Hyperlink"/>
          </w:rPr>
          <w:t xml:space="preserve">Rozental et al., 2015</w:t>
        </w:r>
      </w:hyperlink>
      <w:r>
        <w:t xml:space="preserve">.)</w:t>
      </w:r>
    </w:p>
    <w:bookmarkEnd w:id="52"/>
    <w:bookmarkStart w:id="53" w:name="effects-on-psychiatric-symptoms"/>
    <w:p>
      <w:pPr>
        <w:pStyle w:val="Heading4"/>
      </w:pPr>
      <w:r>
        <w:t xml:space="preserve">Effects on psychiatric symptoms</w:t>
      </w:r>
    </w:p>
    <w:p>
      <w:pPr>
        <w:pStyle w:val="FirstParagraph"/>
      </w:pPr>
      <w:r>
        <w:t xml:space="preserve">Assessing the effect of the Respekt</w:t>
      </w:r>
      <w:r>
        <w:rPr>
          <w:vertAlign w:val="superscript"/>
        </w:rPr>
        <w:t xml:space="preserve">2</w:t>
      </w:r>
      <w:r>
        <w:t xml:space="preserve"> </w:t>
      </w:r>
      <w:r>
        <w:t xml:space="preserve">intervention on symptom burden with respect to depression and common anxiety disorders, we found no effects for GAD-7. Nor did we find significant effects at Post for PHQ-9 or LSAS-SR in the Unguided self-help group, compared with Waitlist. However, at Follow-up, we found a large between-group effect on LSAS-SR,</w:t>
      </w:r>
      <w:r>
        <w:t xml:space="preserve"> </w:t>
      </w:r>
      <m:oMath>
        <m:r>
          <m:t>E</m:t>
        </m:r>
        <m:r>
          <m:t>S</m:t>
        </m:r>
      </m:oMath>
      <w:r>
        <w:t xml:space="preserve"> </w:t>
      </w:r>
      <w:r>
        <w:t xml:space="preserve">=</w:t>
      </w:r>
      <w:r>
        <w:t xml:space="preserve"> </w:t>
      </w:r>
      <m:oMath>
        <m:r>
          <m:t>.90</m:t>
        </m:r>
      </m:oMath>
      <w:r>
        <w:t xml:space="preserve">, 95% CI [</w:t>
      </w:r>
      <m:oMath>
        <m:r>
          <m:t>.52</m:t>
        </m:r>
      </m:oMath>
      <w:r>
        <w:t xml:space="preserve">,</w:t>
      </w:r>
      <w:r>
        <w:t xml:space="preserve"> </w:t>
      </w:r>
      <m:oMath>
        <m:r>
          <m:t>1.29</m:t>
        </m:r>
      </m:oMath>
      <w:r>
        <w:t xml:space="preserve">]. Effects were also found in the Guided self-help group, where participants were supported by therapists: Comparing with the Waitlist group, participants exhibited moderate effects at Post for PHQ-9,</w:t>
      </w:r>
      <w:r>
        <w:t xml:space="preserve"> </w:t>
      </w:r>
      <m:oMath>
        <m:r>
          <m:t>E</m:t>
        </m:r>
        <m:r>
          <m:t>S</m:t>
        </m:r>
      </m:oMath>
      <w:r>
        <w:t xml:space="preserve"> </w:t>
      </w:r>
      <w:r>
        <w:t xml:space="preserve">=</w:t>
      </w:r>
      <w:r>
        <w:t xml:space="preserve"> </w:t>
      </w:r>
      <m:oMath>
        <m:r>
          <m:t>.77</m:t>
        </m:r>
      </m:oMath>
      <w:r>
        <w:t xml:space="preserve">, 95% CI [</w:t>
      </w:r>
      <m:oMath>
        <m:r>
          <m:t>.40</m:t>
        </m:r>
      </m:oMath>
      <w:r>
        <w:t xml:space="preserve">,</w:t>
      </w:r>
      <w:r>
        <w:t xml:space="preserve"> </w:t>
      </w:r>
      <m:oMath>
        <m:r>
          <m:t>1.14</m:t>
        </m:r>
      </m:oMath>
      <w:r>
        <w:t xml:space="preserve">], and LSAS-SR,</w:t>
      </w:r>
      <w:r>
        <w:t xml:space="preserve"> </w:t>
      </w:r>
      <m:oMath>
        <m:r>
          <m:t>E</m:t>
        </m:r>
        <m:r>
          <m:t>S</m:t>
        </m:r>
      </m:oMath>
      <w:r>
        <w:t xml:space="preserve"> </w:t>
      </w:r>
      <w:r>
        <w:t xml:space="preserve">=</w:t>
      </w:r>
      <w:r>
        <w:t xml:space="preserve"> </w:t>
      </w:r>
      <m:oMath>
        <m:r>
          <m:t>.67</m:t>
        </m:r>
      </m:oMath>
      <w:r>
        <w:t xml:space="preserve">, 95% CI [</w:t>
      </w:r>
      <m:oMath>
        <m:r>
          <m:t>.32</m:t>
        </m:r>
      </m:oMath>
      <w:r>
        <w:t xml:space="preserve">,</w:t>
      </w:r>
      <w:r>
        <w:t xml:space="preserve"> </w:t>
      </w:r>
      <m:oMath>
        <m:r>
          <m:t>1.02</m:t>
        </m:r>
      </m:oMath>
      <w:r>
        <w:t xml:space="preserve">] respectively, as well as a large effect only for LSAS-SR at Follow-up,</w:t>
      </w:r>
      <w:r>
        <w:t xml:space="preserve"> </w:t>
      </w:r>
      <m:oMath>
        <m:r>
          <m:t>E</m:t>
        </m:r>
        <m:r>
          <m:t>S</m:t>
        </m:r>
      </m:oMath>
      <w:r>
        <w:t xml:space="preserve"> </w:t>
      </w:r>
      <w:r>
        <w:t xml:space="preserve">=</w:t>
      </w:r>
      <w:r>
        <w:t xml:space="preserve"> </w:t>
      </w:r>
      <m:oMath>
        <m:r>
          <m:t>.93</m:t>
        </m:r>
      </m:oMath>
      <w:r>
        <w:t xml:space="preserve">, 95% CI [</w:t>
      </w:r>
      <m:oMath>
        <m:r>
          <m:t>.57</m:t>
        </m:r>
      </m:oMath>
      <w:r>
        <w:t xml:space="preserve">,</w:t>
      </w:r>
      <w:r>
        <w:t xml:space="preserve"> </w:t>
      </w:r>
      <m:oMath>
        <m:r>
          <m:t>1.30</m:t>
        </m:r>
      </m:oMath>
      <w:r>
        <w:t xml:space="preserve">]. These are in agreement with those for iCBT in general, where the average between-group effect size is</w:t>
      </w:r>
      <w:r>
        <w:t xml:space="preserve"> </w:t>
      </w:r>
      <m:oMath>
        <m:r>
          <m:t>g</m:t>
        </m:r>
      </m:oMath>
      <w:r>
        <w:t xml:space="preserve"> </w:t>
      </w:r>
      <w:r>
        <w:t xml:space="preserve">=</w:t>
      </w:r>
      <w:r>
        <w:t xml:space="preserve"> </w:t>
      </w:r>
      <m:oMath>
        <m:r>
          <m:t>.80</m:t>
        </m:r>
      </m:oMath>
      <w:r>
        <w:t xml:space="preserve"> </w:t>
      </w:r>
      <w:r>
        <w:t xml:space="preserve">compared to controls</w:t>
      </w:r>
      <w:r>
        <w:t xml:space="preserve"> </w:t>
      </w:r>
      <w:r>
        <w:t xml:space="preserve">(</w:t>
      </w:r>
      <w:hyperlink w:anchor="ref-Andrews2018">
        <w:r>
          <w:rPr>
            <w:rStyle w:val="Hyperlink"/>
          </w:rPr>
          <w:t xml:space="preserve">Andrews et al., 2018</w:t>
        </w:r>
      </w:hyperlink>
      <w:r>
        <w:t xml:space="preserve">)</w:t>
      </w:r>
      <w:r>
        <w:t xml:space="preserve">, which in turn is about the same as for face-to-face treatment</w:t>
      </w:r>
      <w:r>
        <w:t xml:space="preserve"> </w:t>
      </w:r>
      <w:r>
        <w:t xml:space="preserve">(</w:t>
      </w:r>
      <w:hyperlink w:anchor="ref-Carlbring2018">
        <w:r>
          <w:rPr>
            <w:rStyle w:val="Hyperlink"/>
          </w:rPr>
          <w:t xml:space="preserve">Carlbring et al., 2018</w:t>
        </w:r>
      </w:hyperlink>
      <w:r>
        <w:t xml:space="preserve">)</w:t>
      </w:r>
      <w:r>
        <w:t xml:space="preserve">.</w:t>
      </w:r>
    </w:p>
    <w:p>
      <w:pPr>
        <w:pStyle w:val="BodyText"/>
      </w:pPr>
      <w:r>
        <w:t xml:space="preserve">These findings were supplemented by the analysis of clinical significant change, where,</w:t>
      </w:r>
      <w:r>
        <w:t xml:space="preserve"> </w:t>
      </w:r>
      <m:oMath>
        <m:r>
          <m:t>n</m:t>
        </m:r>
      </m:oMath>
      <w:r>
        <w:t xml:space="preserve"> </w:t>
      </w:r>
      <w:r>
        <w:t xml:space="preserve">= 14 (21%) had recovered from social anxiety at Follow-up in the Unguided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w:t>
      </w:r>
      <w:r>
        <w:t xml:space="preserve"> </w:t>
      </w:r>
      <w:r>
        <w:t xml:space="preserve">(Also, compare w/ frequencies or reliable change, e.g.</w:t>
      </w:r>
      <w:r>
        <w:t xml:space="preserve"> </w:t>
      </w:r>
      <w:hyperlink w:anchor="ref-Rozental2015">
        <w:r>
          <w:rPr>
            <w:rStyle w:val="Hyperlink"/>
          </w:rPr>
          <w:t xml:space="preserve">Rozental et al., 2015</w:t>
        </w:r>
      </w:hyperlink>
      <w:r>
        <w:t xml:space="preserve">.)</w:t>
      </w:r>
    </w:p>
    <w:bookmarkEnd w:id="53"/>
    <w:bookmarkStart w:id="54" w:name="no-effects-on-gad"/>
    <w:p>
      <w:pPr>
        <w:pStyle w:val="Heading4"/>
      </w:pPr>
      <w:r>
        <w:t xml:space="preserve">No effects on GAD</w:t>
      </w:r>
    </w:p>
    <w:p>
      <w:pPr>
        <w:pStyle w:val="FirstParagraph"/>
      </w:pPr>
      <w:r>
        <w:t xml:space="preserve">The intervention was insufficient in ameliorating symptoms of generalized anxiety, which can be understood as a disorder of attentional/cognitive and behavioral rigidity</w:t>
      </w:r>
      <w:r>
        <w:t xml:space="preserve"> </w:t>
      </w:r>
      <w:r>
        <w:t xml:space="preserve">(</w:t>
      </w:r>
      <w:hyperlink w:anchor="ref-Hayes2004a">
        <w:r>
          <w:rPr>
            <w:rStyle w:val="Hyperlink"/>
          </w:rPr>
          <w:t xml:space="preserve">Hayes, 2004</w:t>
        </w:r>
      </w:hyperlink>
      <w:r>
        <w:t xml:space="preserve">)</w:t>
      </w:r>
      <w:r>
        <w:t xml:space="preserve">. Most likely, the overall structure of the Respekt</w:t>
      </w:r>
      <w:r>
        <w:rPr>
          <w:vertAlign w:val="superscript"/>
        </w:rPr>
        <w:t xml:space="preserve">2</w:t>
      </w:r>
      <w:r>
        <w:t xml:space="preserve"> </w:t>
      </w:r>
      <w:r>
        <w:t xml:space="preserve">intervention, with its emphasis on cheer-leading participants in design and performing in-vivo behavioral experiments early on in treatment was not adequate in adressing GAD symptoms where non-commitment to exposure often is an important first hurdle to overcome. (To be investigated.)</w:t>
      </w:r>
    </w:p>
    <w:bookmarkEnd w:id="54"/>
    <w:bookmarkStart w:id="55" w:name="general-conclusion"/>
    <w:p>
      <w:pPr>
        <w:pStyle w:val="Heading4"/>
      </w:pPr>
      <w:r>
        <w:t xml:space="preserve">General conclusion</w:t>
      </w:r>
    </w:p>
    <w:p>
      <w:pPr>
        <w:pStyle w:val="FirstParagraph"/>
      </w:pPr>
      <w:r>
        <w:t xml:space="preserve">Thus, we found that Respekt</w:t>
      </w:r>
      <w:r>
        <w:rPr>
          <w:vertAlign w:val="superscript"/>
        </w:rPr>
        <w:t xml:space="preserve">2</w:t>
      </w:r>
      <w:r>
        <w:t xml:space="preserve"> </w:t>
      </w:r>
      <w:r>
        <w:t xml:space="preserve">clearly reduced symptoms of social anxiety across both treatment conditions, and over time possibly reduced symptoms of depression, to a moderate degree, among participants that were guided by therapists.</w:t>
      </w:r>
      <w:r>
        <w:t xml:space="preserve"> </w:t>
      </w:r>
      <w:r>
        <w:t xml:space="preserve">At the end of treatment, there was no difference in effects on assertiveness or social phobia between the two treatment arms, nor at one-year Follow-up. For depression, effects were found only in the Thus, the results provide preliminary evidence for the efficacy of Respekt</w:t>
      </w:r>
      <w:r>
        <w:rPr>
          <w:vertAlign w:val="superscript"/>
        </w:rPr>
        <w:t xml:space="preserve">2</w:t>
      </w:r>
      <w:r>
        <w:t xml:space="preserve"> </w:t>
      </w:r>
      <w:r>
        <w:t xml:space="preserve">as a self-help intervention, showing that iCBT with or without therapist support can be helpful for individuals suffering from self-reported difficulties with assertiveness, and social phobia; and that iCBT with therapist support can be helpful for individuals suffering from depression.</w:t>
      </w:r>
    </w:p>
    <w:bookmarkEnd w:id="55"/>
    <w:bookmarkEnd w:id="56"/>
    <w:bookmarkStart w:id="57" w:name="X9b0549612a10013830e3be808e1447147c21780"/>
    <w:p>
      <w:pPr>
        <w:pStyle w:val="Heading3"/>
      </w:pPr>
      <w:r>
        <w:t xml:space="preserve">Some support for therapist support being helpful</w:t>
      </w:r>
    </w:p>
    <w:p>
      <w:pPr>
        <w:pStyle w:val="FirstParagraph"/>
      </w:pPr>
      <w:r>
        <w:t xml:space="preserve">Although there was no between group difference between treatment conditions at Post or Follow-up in the current study, some within-group evidence was found that being guided by a therapist could entail some advantages for participants in iCBT, in line with</w:t>
      </w:r>
      <w:r>
        <w:t xml:space="preserve"> </w:t>
      </w:r>
      <w:hyperlink w:anchor="ref-Baumeister2014a">
        <w:r>
          <w:rPr>
            <w:rStyle w:val="Hyperlink"/>
          </w:rPr>
          <w:t xml:space="preserve">Baumeister et al.</w:t>
        </w:r>
      </w:hyperlink>
      <w:r>
        <w:t xml:space="preserve"> </w:t>
      </w:r>
      <w:r>
        <w:t xml:space="preserve">(</w:t>
      </w:r>
      <w:hyperlink w:anchor="ref-Baumeister2014a">
        <w:r>
          <w:rPr>
            <w:rStyle w:val="Hyperlink"/>
          </w:rPr>
          <w:t xml:space="preserve">2014</w:t>
        </w:r>
      </w:hyperlink>
      <w:r>
        <w:t xml:space="preserve">)</w:t>
      </w:r>
      <w:r>
        <w:t xml:space="preserve">, especially with regards to long-term outcomes. In the Guided self-help group, assertiveness (both in general and of the adaptive type) had increased significantly between end of treatment and one-year Follow-up. Also, in the Guided self-help condition analysis of both within-group effects and of clinical change indicated that depression had decreased from pre-treatment to 1-year Follow-up both. Corresponding phenomena were not observed in the group where the participants were engaging with the intervention on their own. The presence of human support during treatment could increase adherence to the intervention through increased levels of accountability, as suggested by</w:t>
      </w:r>
      <w:r>
        <w:t xml:space="preserve"> </w:t>
      </w:r>
      <w:hyperlink w:anchor="ref-Mohr2011">
        <w:r>
          <w:rPr>
            <w:rStyle w:val="Hyperlink"/>
          </w:rPr>
          <w:t xml:space="preserve">Mohr et al.</w:t>
        </w:r>
      </w:hyperlink>
      <w:r>
        <w:t xml:space="preserve"> </w:t>
      </w:r>
      <w:r>
        <w:t xml:space="preserve">(</w:t>
      </w:r>
      <w:hyperlink w:anchor="ref-Mohr2011">
        <w:r>
          <w:rPr>
            <w:rStyle w:val="Hyperlink"/>
          </w:rPr>
          <w:t xml:space="preserve">2011</w:t>
        </w:r>
      </w:hyperlink>
      <w:r>
        <w:t xml:space="preserve">)</w:t>
      </w:r>
      <w:r>
        <w:t xml:space="preserve">. Speculatively, accountability towards a therapist could be associated with an increased willingness to take part in behavioral experiments, an increased ability to engage in behavioral experiments through active and collaborative problem solving, or increased compliance to homework and therefore an increased ability to generalize adaptive behaviors – or a combination of such mechanisms.</w:t>
      </w:r>
    </w:p>
    <w:bookmarkEnd w:id="57"/>
    <w:bookmarkEnd w:id="58"/>
    <w:bookmarkStart w:id="60" w:name="methodological-discussion"/>
    <w:p>
      <w:pPr>
        <w:pStyle w:val="Heading2"/>
      </w:pPr>
      <w:r>
        <w:t xml:space="preserve">Methodological discussion</w:t>
      </w:r>
    </w:p>
    <w:bookmarkStart w:id="59" w:name="limitations"/>
    <w:p>
      <w:pPr>
        <w:pStyle w:val="Heading3"/>
      </w:pPr>
      <w:r>
        <w:t xml:space="preserve">Limitations</w:t>
      </w:r>
    </w:p>
    <w:p>
      <w:pPr>
        <w:pStyle w:val="FirstParagraph"/>
      </w:pPr>
      <w:r>
        <w:t xml:space="preserve">The study design has a number of limitations that impairs the generalizibility of the findings to the population at large, of which the recruitment method is one of the most important. The recruitment was performed via advertising in social media, where the presentation of the ads by design was skewed to maximize click-throughs (and to provide maximal</w:t>
      </w:r>
      <w:r>
        <w:t xml:space="preserve"> </w:t>
      </w:r>
      <w:r>
        <w:t xml:space="preserve">“</w:t>
      </w:r>
      <w:r>
        <w:t xml:space="preserve">bang for the buck</w:t>
      </w:r>
      <w:r>
        <w:t xml:space="preserve">”</w:t>
      </w:r>
      <w:r>
        <w:t xml:space="preserve"> </w:t>
      </w:r>
      <w:r>
        <w:t xml:space="preserve">for the advertising budget) by the algorithms employed by the respective ad networks. We achieved distributions with regards to sex (X % female participants), previous participation in therapy (x %) and use of psychotrophic medicine (X %) that were probably far apart from the ones expected had the sampling been random. These distributions probably affected the effects in different ways. For instance, it is easy to imagine that for participants that had previously taken part in CBT, the R</w:t>
      </w:r>
      <w:r>
        <w:rPr>
          <w:vertAlign w:val="superscript"/>
        </w:rPr>
        <w:t xml:space="preserve">2</w:t>
      </w:r>
      <w:r>
        <w:t xml:space="preserve"> </w:t>
      </w:r>
      <w:r>
        <w:t xml:space="preserve">intervention effectively acted as a booster providing opportunities for re-acquisition of assertiveness skills. Any findings using this sample need to be treated with caution before being confirmed with other samples in future studies. Likewise, since this sample was non-clinical, a trial using a purely clinical sample is also called for.</w:t>
      </w:r>
    </w:p>
    <w:p>
      <w:pPr>
        <w:pStyle w:val="BodyText"/>
      </w:pPr>
      <w:r>
        <w:t xml:space="preserve">Another methodological drawback of the current study is that some of the measurement scales were recently translated into Swedish, without back-translation, somewhat impairing the ability to compare findings with norms found for the original english-speaking populations where the original scaled were validated. The Swedish adaptations fo the RAS and AAA-S scales need to be quality controlled with back-translation, and subsequently also validated for Swedish clinical and non-clinical populations.</w:t>
      </w:r>
    </w:p>
    <w:bookmarkEnd w:id="59"/>
    <w:bookmarkEnd w:id="60"/>
    <w:bookmarkStart w:id="61" w:name="future-directions"/>
    <w:p>
      <w:pPr>
        <w:pStyle w:val="Heading2"/>
      </w:pPr>
      <w:r>
        <w:t xml:space="preserve">Future directions</w:t>
      </w:r>
    </w:p>
    <w:p>
      <w:pPr>
        <w:pStyle w:val="SourceCode"/>
      </w:pPr>
      <w:r>
        <w:rPr>
          <w:rStyle w:val="VerbatimChar"/>
        </w:rPr>
        <w:t xml:space="preserve">What is going on here?</w:t>
      </w:r>
      <w:r>
        <w:br/>
      </w:r>
      <w:r>
        <w:rPr>
          <w:rStyle w:val="VerbatimChar"/>
        </w:rPr>
        <w:t xml:space="preserve">Whose story is this?</w:t>
      </w:r>
      <w:r>
        <w:br/>
      </w:r>
      <w:r>
        <w:rPr>
          <w:rStyle w:val="VerbatimChar"/>
        </w:rPr>
        <w:t xml:space="preserve">How does this sentence connect backward to the previous sentence?</w:t>
      </w:r>
      <w:r>
        <w:br/>
      </w:r>
      <w:r>
        <w:rPr>
          <w:rStyle w:val="VerbatimChar"/>
        </w:rPr>
        <w:t xml:space="preserve">How does this sentence lean forward to where we might go from here?</w:t>
      </w:r>
      <w:r>
        <w:br/>
      </w:r>
      <w:r>
        <w:rPr>
          <w:rStyle w:val="VerbatimChar"/>
        </w:rPr>
        <w:t xml:space="preserve">What is the most important piece of information in this sentence, which I should be reading with extra emphasis?</w:t>
      </w:r>
    </w:p>
    <w:p>
      <w:pPr>
        <w:numPr>
          <w:ilvl w:val="0"/>
          <w:numId w:val="1002"/>
        </w:numPr>
        <w:pStyle w:val="Compact"/>
      </w:pPr>
      <w:r>
        <w:t xml:space="preserve">Disentangle causality: what causes what, under influence of what (mediation, moderation)?</w:t>
      </w:r>
      <w:r>
        <w:t xml:space="preserve"> </w:t>
      </w:r>
      <w:r>
        <w:t xml:space="preserve">– Future replications should collect more data in order to fit more random effects, to investigate possible therapist factors</w:t>
      </w:r>
    </w:p>
    <w:p>
      <w:pPr>
        <w:pStyle w:val="FirstParagraph"/>
      </w:pPr>
      <w:r>
        <w:t xml:space="preserve">In the current study, we found that participation in Respekt</w:t>
      </w:r>
      <w:r>
        <w:rPr>
          <w:vertAlign w:val="superscript"/>
        </w:rPr>
        <w:t xml:space="preserve">2</w:t>
      </w:r>
      <w:r>
        <w:t xml:space="preserve"> </w:t>
      </w:r>
      <w:r>
        <w:t xml:space="preserve">did indeed increase assertive expressions, thereby reducing self-assessed social anxiety in a non-clinical convenience sample. The intervention did not have an immediate effect on generalized anxiety or depression, although there was some within-group evidence for beneficial longer-term effects on these syndromes.</w:t>
      </w:r>
    </w:p>
    <w:p>
      <w:pPr>
        <w:pStyle w:val="BodyText"/>
      </w:pPr>
      <w:r>
        <w:t xml:space="preserve">Building on this foundation, future studies could try to find answers to important questions such as the following: What are the effects of Respekt</w:t>
      </w:r>
      <w:r>
        <w:rPr>
          <w:vertAlign w:val="superscript"/>
        </w:rPr>
        <w:t xml:space="preserve">2</w:t>
      </w:r>
      <w:r>
        <w:t xml:space="preserve"> </w:t>
      </w:r>
      <w:r>
        <w:t xml:space="preserve">for clinical populations, e.g. patients diagnosed with with any of emotional instability, schizophrenia, social phobia, generalized anxiety, and depression? More specifically, is it possible to replicate the within-group findings in the current study that Respect</w:t>
      </w:r>
      <w:r>
        <w:rPr>
          <w:vertAlign w:val="superscript"/>
        </w:rPr>
        <w:t xml:space="preserve">2</w:t>
      </w:r>
      <w:r>
        <w:t xml:space="preserve"> </w:t>
      </w:r>
      <w:r>
        <w:t xml:space="preserve">might benefit participants suffering from symptoms of generalized anxiety and depression, and if so, on what time-scale? What are the effects for any of non-clinical ailments, such as work-related stress, work–private life balance issues, and relationship problems? And more generally, for which psychological problems and problems in living could assertiveness as a trans-diagnostic treatment target improve compliance to exposure and thus help increase levels of valued living?</w:t>
      </w:r>
    </w:p>
    <w:p>
      <w:pPr>
        <w:pStyle w:val="BodyText"/>
      </w:pPr>
      <w:r>
        <w:t xml:space="preserve">uppföljning inloggningar etc för att kunna särskilja olika kausala faktorer för terapeutstöttningens effekter</w:t>
      </w:r>
    </w:p>
    <w:p>
      <w:pPr>
        <w:pStyle w:val="BodyText"/>
      </w:pPr>
      <w:r>
        <w:t xml:space="preserve">Other questions worth persuing include: What are the normative means for the Swedish translations of AAA-S and the RAS in a Swedish clinical and non-clinical population, respectively?</w:t>
      </w:r>
      <w:r>
        <w:t xml:space="preserve"> </w:t>
      </w:r>
      <w:r>
        <w:t xml:space="preserve">- What part of the general population would find</w:t>
      </w:r>
      <w:r>
        <w:t xml:space="preserve"> </w:t>
      </w:r>
      <w:r>
        <w:t xml:space="preserve">‘</w:t>
      </w:r>
      <w:r>
        <w:t xml:space="preserve">assertiveness</w:t>
      </w:r>
      <w:r>
        <w:t xml:space="preserve">’</w:t>
      </w:r>
      <w:r>
        <w:t xml:space="preserve"> </w:t>
      </w:r>
      <w:r>
        <w:t xml:space="preserve">appealing as a possbile treatment target, if presented as one of many choices (among them, reduction of symptoms)?</w:t>
      </w:r>
      <w:r>
        <w:t xml:space="preserve"> </w:t>
      </w:r>
      <w:r>
        <w:t xml:space="preserve">- Expanding to a broader question: what are the benefits of using approach behaviors as treatment targets?</w:t>
      </w:r>
      <w:r>
        <w:t xml:space="preserve"> </w:t>
      </w:r>
      <w:r>
        <w:t xml:space="preserve">– Idé: kvalitativ studie i psykiatrin,</w:t>
      </w:r>
      <w:r>
        <w:t xml:space="preserve"> </w:t>
      </w:r>
      <w:r>
        <w:t xml:space="preserve">“</w:t>
      </w:r>
      <w:r>
        <w:t xml:space="preserve">Om du fick välja att arbeta med de problem du har, vilket eller vilka av följande mål skulle vara hjälpsamma för dig? Öka självmedkänsla? Minska problem med uppskjutande? Minska perfektionism? Öka självhävdelseförmåga? Arbeta med att formulera för dig relevanta livsmål? Öka beteendemässig flexibilitet? Ökad förmåga att ta distans till tankar? Ökad förmåga att acceptera svåra känslor, minnen, upplevelser?</w:t>
      </w:r>
      <w:r>
        <w:t xml:space="preserve">”</w:t>
      </w:r>
      <w:r>
        <w:t xml:space="preserve"> </w:t>
      </w:r>
      <w:r>
        <w:t xml:space="preserve">– DBT-kontext</w:t>
      </w:r>
    </w:p>
    <w:bookmarkEnd w:id="61"/>
    <w:bookmarkStart w:id="141" w:name="references"/>
    <w:p>
      <w:pPr>
        <w:pStyle w:val="Heading2"/>
      </w:pPr>
      <w:r>
        <w:t xml:space="preserve">References</w:t>
      </w:r>
    </w:p>
    <w:bookmarkStart w:id="140" w:name="refs"/>
    <w:bookmarkStart w:id="62"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62"/>
    <w:bookmarkStart w:id="63"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63"/>
    <w:bookmarkStart w:id="65"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64">
        <w:r>
          <w:rPr>
            <w:rStyle w:val="Hyperlink"/>
          </w:rPr>
          <w:t xml:space="preserve">https://doi.org/10.1016/j.janxdis.2018.01.001</w:t>
        </w:r>
      </w:hyperlink>
    </w:p>
    <w:bookmarkEnd w:id="65"/>
    <w:bookmarkStart w:id="67"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66">
        <w:r>
          <w:rPr>
            <w:rStyle w:val="Hyperlink"/>
          </w:rPr>
          <w:t xml:space="preserve">https://doi.org/10.1371/journal.pone.0230169</w:t>
        </w:r>
      </w:hyperlink>
    </w:p>
    <w:bookmarkEnd w:id="67"/>
    <w:bookmarkStart w:id="6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8">
        <w:r>
          <w:rPr>
            <w:rStyle w:val="Hyperlink"/>
          </w:rPr>
          <w:t xml:space="preserve">https://doi.org/10.4018/978-1-4666-5942-1</w:t>
        </w:r>
      </w:hyperlink>
    </w:p>
    <w:bookmarkEnd w:id="69"/>
    <w:bookmarkStart w:id="7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70">
        <w:r>
          <w:rPr>
            <w:rStyle w:val="Hyperlink"/>
          </w:rPr>
          <w:t xml:space="preserve">https://doi.org/10.1016/j.invent.2014.08.003</w:t>
        </w:r>
      </w:hyperlink>
    </w:p>
    <w:bookmarkEnd w:id="71"/>
    <w:bookmarkStart w:id="7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72"/>
    <w:bookmarkStart w:id="7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73">
        <w:r>
          <w:rPr>
            <w:rStyle w:val="Hyperlink"/>
          </w:rPr>
          <w:t xml:space="preserve">https://doi.org/10.1080/16506073.2017.1401115</w:t>
        </w:r>
      </w:hyperlink>
    </w:p>
    <w:bookmarkEnd w:id="74"/>
    <w:bookmarkStart w:id="7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75">
        <w:r>
          <w:rPr>
            <w:rStyle w:val="Hyperlink"/>
          </w:rPr>
          <w:t xml:space="preserve">https://doi.org/10.1146/annurev.psych.52.1.685</w:t>
        </w:r>
      </w:hyperlink>
    </w:p>
    <w:bookmarkEnd w:id="76"/>
    <w:bookmarkStart w:id="7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7">
        <w:r>
          <w:rPr>
            <w:rStyle w:val="Hyperlink"/>
          </w:rPr>
          <w:t xml:space="preserve">https://doi.org/10.1016/0005-7967(86)90011-2</w:t>
        </w:r>
      </w:hyperlink>
    </w:p>
    <w:bookmarkEnd w:id="78"/>
    <w:bookmarkStart w:id="7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9"/>
    <w:bookmarkStart w:id="8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80">
        <w:r>
          <w:rPr>
            <w:rStyle w:val="Hyperlink"/>
          </w:rPr>
          <w:t xml:space="preserve">https://CRAN.R-project.org/package=clinicalsignificance</w:t>
        </w:r>
      </w:hyperlink>
    </w:p>
    <w:bookmarkEnd w:id="81"/>
    <w:bookmarkStart w:id="8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82"/>
    <w:bookmarkStart w:id="8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83">
        <w:r>
          <w:rPr>
            <w:rStyle w:val="Hyperlink"/>
          </w:rPr>
          <w:t xml:space="preserve">https://doi.org/10.1016/j.brat.2007.10.003</w:t>
        </w:r>
      </w:hyperlink>
    </w:p>
    <w:bookmarkEnd w:id="84"/>
    <w:bookmarkStart w:id="86"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5">
        <w:r>
          <w:rPr>
            <w:rStyle w:val="Hyperlink"/>
          </w:rPr>
          <w:t xml:space="preserve">https://doi.org/10.1016/j.brat.2013.03.003</w:t>
        </w:r>
      </w:hyperlink>
    </w:p>
    <w:bookmarkEnd w:id="86"/>
    <w:bookmarkStart w:id="87"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7"/>
    <w:bookmarkStart w:id="89"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8">
        <w:r>
          <w:rPr>
            <w:rStyle w:val="Hyperlink"/>
          </w:rPr>
          <w:t xml:space="preserve">https://doi.org/10.1017/S0033291701004056</w:t>
        </w:r>
      </w:hyperlink>
    </w:p>
    <w:bookmarkEnd w:id="89"/>
    <w:bookmarkStart w:id="90"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90"/>
    <w:bookmarkStart w:id="92"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91">
        <w:r>
          <w:rPr>
            <w:rStyle w:val="Hyperlink"/>
          </w:rPr>
          <w:t xml:space="preserve">https://www.random.org</w:t>
        </w:r>
      </w:hyperlink>
      <w:r>
        <w:t xml:space="preserve">.</w:t>
      </w:r>
    </w:p>
    <w:bookmarkEnd w:id="92"/>
    <w:bookmarkStart w:id="94"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3">
        <w:r>
          <w:rPr>
            <w:rStyle w:val="Hyperlink"/>
          </w:rPr>
          <w:t xml:space="preserve">https://doi.org/10.1016/S0005-7894(04)80013-3</w:t>
        </w:r>
      </w:hyperlink>
    </w:p>
    <w:bookmarkEnd w:id="94"/>
    <w:bookmarkStart w:id="96"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5">
        <w:r>
          <w:rPr>
            <w:rStyle w:val="Hyperlink"/>
          </w:rPr>
          <w:t xml:space="preserve">https://doi.org/10.1007/s10608-012-9476-1</w:t>
        </w:r>
      </w:hyperlink>
    </w:p>
    <w:bookmarkEnd w:id="96"/>
    <w:bookmarkStart w:id="97"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7"/>
    <w:bookmarkStart w:id="99"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8">
        <w:r>
          <w:rPr>
            <w:rStyle w:val="Hyperlink"/>
          </w:rPr>
          <w:t xml:space="preserve">https://doi.org/10.1016/j.genhosppsych.2010.03.006</w:t>
        </w:r>
      </w:hyperlink>
    </w:p>
    <w:bookmarkEnd w:id="99"/>
    <w:bookmarkStart w:id="101"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100">
        <w:r>
          <w:rPr>
            <w:rStyle w:val="Hyperlink"/>
          </w:rPr>
          <w:t xml:space="preserve">https://github.com/runehaubo/lmerTestR</w:t>
        </w:r>
      </w:hyperlink>
    </w:p>
    <w:bookmarkEnd w:id="101"/>
    <w:bookmarkStart w:id="103" w:name="ref-R-performance"/>
    <w:p>
      <w:pPr>
        <w:pStyle w:val="Bibliography"/>
      </w:pPr>
      <w:r>
        <w:t xml:space="preserve">L?decke,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2">
        <w:r>
          <w:rPr>
            <w:rStyle w:val="Hyperlink"/>
          </w:rPr>
          <w:t xml:space="preserve">https://easystats.github.io/performance/</w:t>
        </w:r>
      </w:hyperlink>
    </w:p>
    <w:bookmarkEnd w:id="103"/>
    <w:bookmarkStart w:id="105"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104">
        <w:r>
          <w:rPr>
            <w:rStyle w:val="Hyperlink"/>
          </w:rPr>
          <w:t xml:space="preserve">https://cran.r-project.org/package=emmeans</w:t>
        </w:r>
      </w:hyperlink>
    </w:p>
    <w:bookmarkEnd w:id="105"/>
    <w:bookmarkStart w:id="107"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6">
        <w:r>
          <w:rPr>
            <w:rStyle w:val="Hyperlink"/>
          </w:rPr>
          <w:t xml:space="preserve">https://doi.org/10.1016/B978-0-12-404480-7.50013-7</w:t>
        </w:r>
      </w:hyperlink>
    </w:p>
    <w:bookmarkEnd w:id="107"/>
    <w:bookmarkStart w:id="108"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8"/>
    <w:bookmarkStart w:id="110"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9">
        <w:r>
          <w:rPr>
            <w:rStyle w:val="Hyperlink"/>
          </w:rPr>
          <w:t xml:space="preserve">https://doi.org/10.21105/joss.00772</w:t>
        </w:r>
      </w:hyperlink>
    </w:p>
    <w:bookmarkEnd w:id="110"/>
    <w:bookmarkStart w:id="112"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11">
        <w:r>
          <w:rPr>
            <w:rStyle w:val="Hyperlink"/>
          </w:rPr>
          <w:t xml:space="preserve">www.cci.health.wa.gov.au/Resources/Looking-After-Yourself/Assertiveness</w:t>
        </w:r>
      </w:hyperlink>
    </w:p>
    <w:bookmarkEnd w:id="112"/>
    <w:bookmarkStart w:id="114"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13">
        <w:r>
          <w:rPr>
            <w:rStyle w:val="Hyperlink"/>
          </w:rPr>
          <w:t xml:space="preserve">https://doi.org/10.1111/jpr.12185</w:t>
        </w:r>
      </w:hyperlink>
    </w:p>
    <w:bookmarkEnd w:id="114"/>
    <w:bookmarkStart w:id="116" w:name="ref-Mohr2011"/>
    <w:p>
      <w:pPr>
        <w:pStyle w:val="Bibliography"/>
      </w:pPr>
      <w:r>
        <w:t xml:space="preserve">Mohr, D. C., Cuijpers, P., &amp; Lehman, K. (2011). Supportive accountability: A model for providing human support to enhance adherence to eHealth interventions.</w:t>
      </w:r>
      <w:r>
        <w:t xml:space="preserve"> </w:t>
      </w:r>
      <w:r>
        <w:rPr>
          <w:iCs/>
          <w:i/>
        </w:rPr>
        <w:t xml:space="preserve">Journal of Medical Internet Research</w:t>
      </w:r>
      <w:r>
        <w:t xml:space="preserve">,</w:t>
      </w:r>
      <w:r>
        <w:t xml:space="preserve"> </w:t>
      </w:r>
      <w:r>
        <w:rPr>
          <w:iCs/>
          <w:i/>
        </w:rPr>
        <w:t xml:space="preserve">13</w:t>
      </w:r>
      <w:r>
        <w:t xml:space="preserve">, e30.</w:t>
      </w:r>
      <w:r>
        <w:t xml:space="preserve"> </w:t>
      </w:r>
      <w:hyperlink r:id="rId115">
        <w:r>
          <w:rPr>
            <w:rStyle w:val="Hyperlink"/>
          </w:rPr>
          <w:t xml:space="preserve">https://doi.org/10.2196/jmir.1602</w:t>
        </w:r>
      </w:hyperlink>
    </w:p>
    <w:bookmarkEnd w:id="116"/>
    <w:bookmarkStart w:id="11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7"/>
    <w:bookmarkStart w:id="11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8"/>
    <w:bookmarkStart w:id="12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9">
        <w:r>
          <w:rPr>
            <w:rStyle w:val="Hyperlink"/>
          </w:rPr>
          <w:t xml:space="preserve">https://doi.org/10.1016/S0005-7894(73)80120-0</w:t>
        </w:r>
      </w:hyperlink>
    </w:p>
    <w:bookmarkEnd w:id="120"/>
    <w:bookmarkStart w:id="12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21">
        <w:r>
          <w:rPr>
            <w:rStyle w:val="Hyperlink"/>
          </w:rPr>
          <w:t xml:space="preserve">https://doi.org/10.1037/ccp0000023</w:t>
        </w:r>
      </w:hyperlink>
    </w:p>
    <w:bookmarkEnd w:id="122"/>
    <w:bookmarkStart w:id="12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23">
        <w:r>
          <w:rPr>
            <w:rStyle w:val="Hyperlink"/>
          </w:rPr>
          <w:t xml:space="preserve">https://doi.org/10.1016/j.brat.2017.05.015</w:t>
        </w:r>
      </w:hyperlink>
    </w:p>
    <w:bookmarkEnd w:id="124"/>
    <w:bookmarkStart w:id="12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5"/>
    <w:bookmarkStart w:id="12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6">
        <w:r>
          <w:rPr>
            <w:rStyle w:val="Hyperlink"/>
          </w:rPr>
          <w:t xml:space="preserve">https://sealedenvelope.com/simple-randomiser/v1</w:t>
        </w:r>
      </w:hyperlink>
      <w:r>
        <w:t xml:space="preserve">.</w:t>
      </w:r>
    </w:p>
    <w:bookmarkEnd w:id="127"/>
    <w:bookmarkStart w:id="12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8"/>
    <w:bookmarkStart w:id="13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9">
        <w:r>
          <w:rPr>
            <w:rStyle w:val="Hyperlink"/>
          </w:rPr>
          <w:t xml:space="preserve">https://doi.org/10.1111/cpsp.12216</w:t>
        </w:r>
      </w:hyperlink>
    </w:p>
    <w:bookmarkEnd w:id="130"/>
    <w:bookmarkStart w:id="13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31">
        <w:r>
          <w:rPr>
            <w:rStyle w:val="Hyperlink"/>
          </w:rPr>
          <w:t xml:space="preserve">https://doi.org/10.1001/archinte.166.10.1092</w:t>
        </w:r>
      </w:hyperlink>
    </w:p>
    <w:bookmarkEnd w:id="132"/>
    <w:bookmarkStart w:id="13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33">
        <w:r>
          <w:rPr>
            <w:rStyle w:val="Hyperlink"/>
          </w:rPr>
          <w:t xml:space="preserve">https://doi.org/10.1007/s10862-011-9226-9</w:t>
        </w:r>
      </w:hyperlink>
    </w:p>
    <w:bookmarkEnd w:id="134"/>
    <w:bookmarkStart w:id="13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5">
        <w:r>
          <w:rPr>
            <w:rStyle w:val="Hyperlink"/>
          </w:rPr>
          <w:t xml:space="preserve">https://doi.org/10.1007/s10942-018-0296-4</w:t>
        </w:r>
      </w:hyperlink>
    </w:p>
    <w:bookmarkEnd w:id="136"/>
    <w:bookmarkStart w:id="13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7"/>
    <w:bookmarkStart w:id="138" w:name="ref-wolpe1990practice"/>
    <w:p>
      <w:pPr>
        <w:pStyle w:val="Bibliography"/>
      </w:pPr>
      <w:r>
        <w:t xml:space="preserve">Wolpe, J. (1990).</w:t>
      </w:r>
      <w:r>
        <w:t xml:space="preserve"> </w:t>
      </w:r>
      <w:r>
        <w:rPr>
          <w:iCs/>
          <w:i/>
        </w:rPr>
        <w:t xml:space="preserve">The practice of behavior therapy</w:t>
      </w:r>
      <w:r>
        <w:t xml:space="preserve">. Pergamon Press.</w:t>
      </w:r>
    </w:p>
    <w:bookmarkEnd w:id="138"/>
    <w:bookmarkStart w:id="13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9"/>
    <w:bookmarkEnd w:id="140"/>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80" Target="https://CRAN.R-project.org/package=clinicalsignificance" TargetMode="External" /><Relationship Type="http://schemas.openxmlformats.org/officeDocument/2006/relationships/hyperlink" Id="rId104" Target="https://cran.r-project.org/package=emmeans" TargetMode="External" /><Relationship Type="http://schemas.openxmlformats.org/officeDocument/2006/relationships/hyperlink" Id="rId131" Target="https://doi.org/10.1001/archinte.166.10.1092" TargetMode="External" /><Relationship Type="http://schemas.openxmlformats.org/officeDocument/2006/relationships/hyperlink" Id="rId95" Target="https://doi.org/10.1007/s10608-012-9476-1" TargetMode="External" /><Relationship Type="http://schemas.openxmlformats.org/officeDocument/2006/relationships/hyperlink" Id="rId133" Target="https://doi.org/10.1007/s10862-011-9226-9" TargetMode="External" /><Relationship Type="http://schemas.openxmlformats.org/officeDocument/2006/relationships/hyperlink" Id="rId135" Target="https://doi.org/10.1007/s10942-018-0296-4" TargetMode="External" /><Relationship Type="http://schemas.openxmlformats.org/officeDocument/2006/relationships/hyperlink" Id="rId77" Target="https://doi.org/10.1016/0005-7967(86)90011-2" TargetMode="External" /><Relationship Type="http://schemas.openxmlformats.org/officeDocument/2006/relationships/hyperlink" Id="rId106" Target="https://doi.org/10.1016/B978-0-12-404480-7.50013-7" TargetMode="External" /><Relationship Type="http://schemas.openxmlformats.org/officeDocument/2006/relationships/hyperlink" Id="rId93"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83" Target="https://doi.org/10.1016/j.brat.2007.10.003" TargetMode="External" /><Relationship Type="http://schemas.openxmlformats.org/officeDocument/2006/relationships/hyperlink" Id="rId85"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8" Target="https://doi.org/10.1016/j.genhosppsych.2010.03.006" TargetMode="External" /><Relationship Type="http://schemas.openxmlformats.org/officeDocument/2006/relationships/hyperlink" Id="rId70" Target="https://doi.org/10.1016/j.invent.2014.08.003" TargetMode="External" /><Relationship Type="http://schemas.openxmlformats.org/officeDocument/2006/relationships/hyperlink" Id="rId64" Target="https://doi.org/10.1016/j.janxdis.2018.01.001" TargetMode="External" /><Relationship Type="http://schemas.openxmlformats.org/officeDocument/2006/relationships/hyperlink" Id="rId88" Target="https://doi.org/10.1017/S0033291701004056" TargetMode="External" /><Relationship Type="http://schemas.openxmlformats.org/officeDocument/2006/relationships/hyperlink" Id="rId121" Target="https://doi.org/10.1037/ccp0000023" TargetMode="External" /><Relationship Type="http://schemas.openxmlformats.org/officeDocument/2006/relationships/hyperlink" Id="rId73" Target="https://doi.org/10.1080/16506073.2017.1401115" TargetMode="External" /><Relationship Type="http://schemas.openxmlformats.org/officeDocument/2006/relationships/hyperlink" Id="rId129" Target="https://doi.org/10.1111/cpsp.12216" TargetMode="External" /><Relationship Type="http://schemas.openxmlformats.org/officeDocument/2006/relationships/hyperlink" Id="rId113" Target="https://doi.org/10.1111/jpr.12185" TargetMode="External" /><Relationship Type="http://schemas.openxmlformats.org/officeDocument/2006/relationships/hyperlink" Id="rId75" Target="https://doi.org/10.1146/annurev.psych.52.1.685" TargetMode="External" /><Relationship Type="http://schemas.openxmlformats.org/officeDocument/2006/relationships/hyperlink" Id="rId66" Target="https://doi.org/10.1371/journal.pone.0230169" TargetMode="External" /><Relationship Type="http://schemas.openxmlformats.org/officeDocument/2006/relationships/hyperlink" Id="rId109" Target="https://doi.org/10.21105/joss.00772" TargetMode="External" /><Relationship Type="http://schemas.openxmlformats.org/officeDocument/2006/relationships/hyperlink" Id="rId115" Target="https://doi.org/10.2196/jmir.1602" TargetMode="External" /><Relationship Type="http://schemas.openxmlformats.org/officeDocument/2006/relationships/hyperlink" Id="rId68" Target="https://doi.org/10.4018/978-1-4666-5942-1" TargetMode="External" /><Relationship Type="http://schemas.openxmlformats.org/officeDocument/2006/relationships/hyperlink" Id="rId102" Target="https://easystats.github.io/performance/" TargetMode="External" /><Relationship Type="http://schemas.openxmlformats.org/officeDocument/2006/relationships/hyperlink" Id="rId38" Target="https://github.com/hmep/r2fu/" TargetMode="External" /><Relationship Type="http://schemas.openxmlformats.org/officeDocument/2006/relationships/hyperlink" Id="rId100" Target="https://github.com/runehaubo/lmerTestR" TargetMode="External" /><Relationship Type="http://schemas.openxmlformats.org/officeDocument/2006/relationships/hyperlink" Id="rId126" Target="https://sealedenvelope.com/simple-randomiser/v1" TargetMode="External" /><Relationship Type="http://schemas.openxmlformats.org/officeDocument/2006/relationships/hyperlink" Id="rId111" Target="https://www.cci.health.wa.gov.au/Resources/Looking-After-Yourself/Assertiveness" TargetMode="External" /><Relationship Type="http://schemas.openxmlformats.org/officeDocument/2006/relationships/hyperlink" Id="rId91"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80" Target="https://CRAN.R-project.org/package=clinicalsignificance" TargetMode="External" /><Relationship Type="http://schemas.openxmlformats.org/officeDocument/2006/relationships/hyperlink" Id="rId104" Target="https://cran.r-project.org/package=emmeans" TargetMode="External" /><Relationship Type="http://schemas.openxmlformats.org/officeDocument/2006/relationships/hyperlink" Id="rId131" Target="https://doi.org/10.1001/archinte.166.10.1092" TargetMode="External" /><Relationship Type="http://schemas.openxmlformats.org/officeDocument/2006/relationships/hyperlink" Id="rId95" Target="https://doi.org/10.1007/s10608-012-9476-1" TargetMode="External" /><Relationship Type="http://schemas.openxmlformats.org/officeDocument/2006/relationships/hyperlink" Id="rId133" Target="https://doi.org/10.1007/s10862-011-9226-9" TargetMode="External" /><Relationship Type="http://schemas.openxmlformats.org/officeDocument/2006/relationships/hyperlink" Id="rId135" Target="https://doi.org/10.1007/s10942-018-0296-4" TargetMode="External" /><Relationship Type="http://schemas.openxmlformats.org/officeDocument/2006/relationships/hyperlink" Id="rId77" Target="https://doi.org/10.1016/0005-7967(86)90011-2" TargetMode="External" /><Relationship Type="http://schemas.openxmlformats.org/officeDocument/2006/relationships/hyperlink" Id="rId106" Target="https://doi.org/10.1016/B978-0-12-404480-7.50013-7" TargetMode="External" /><Relationship Type="http://schemas.openxmlformats.org/officeDocument/2006/relationships/hyperlink" Id="rId93"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83" Target="https://doi.org/10.1016/j.brat.2007.10.003" TargetMode="External" /><Relationship Type="http://schemas.openxmlformats.org/officeDocument/2006/relationships/hyperlink" Id="rId85"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8" Target="https://doi.org/10.1016/j.genhosppsych.2010.03.006" TargetMode="External" /><Relationship Type="http://schemas.openxmlformats.org/officeDocument/2006/relationships/hyperlink" Id="rId70" Target="https://doi.org/10.1016/j.invent.2014.08.003" TargetMode="External" /><Relationship Type="http://schemas.openxmlformats.org/officeDocument/2006/relationships/hyperlink" Id="rId64" Target="https://doi.org/10.1016/j.janxdis.2018.01.001" TargetMode="External" /><Relationship Type="http://schemas.openxmlformats.org/officeDocument/2006/relationships/hyperlink" Id="rId88" Target="https://doi.org/10.1017/S0033291701004056" TargetMode="External" /><Relationship Type="http://schemas.openxmlformats.org/officeDocument/2006/relationships/hyperlink" Id="rId121" Target="https://doi.org/10.1037/ccp0000023" TargetMode="External" /><Relationship Type="http://schemas.openxmlformats.org/officeDocument/2006/relationships/hyperlink" Id="rId73" Target="https://doi.org/10.1080/16506073.2017.1401115" TargetMode="External" /><Relationship Type="http://schemas.openxmlformats.org/officeDocument/2006/relationships/hyperlink" Id="rId129" Target="https://doi.org/10.1111/cpsp.12216" TargetMode="External" /><Relationship Type="http://schemas.openxmlformats.org/officeDocument/2006/relationships/hyperlink" Id="rId113" Target="https://doi.org/10.1111/jpr.12185" TargetMode="External" /><Relationship Type="http://schemas.openxmlformats.org/officeDocument/2006/relationships/hyperlink" Id="rId75" Target="https://doi.org/10.1146/annurev.psych.52.1.685" TargetMode="External" /><Relationship Type="http://schemas.openxmlformats.org/officeDocument/2006/relationships/hyperlink" Id="rId66" Target="https://doi.org/10.1371/journal.pone.0230169" TargetMode="External" /><Relationship Type="http://schemas.openxmlformats.org/officeDocument/2006/relationships/hyperlink" Id="rId109" Target="https://doi.org/10.21105/joss.00772" TargetMode="External" /><Relationship Type="http://schemas.openxmlformats.org/officeDocument/2006/relationships/hyperlink" Id="rId115" Target="https://doi.org/10.2196/jmir.1602" TargetMode="External" /><Relationship Type="http://schemas.openxmlformats.org/officeDocument/2006/relationships/hyperlink" Id="rId68" Target="https://doi.org/10.4018/978-1-4666-5942-1" TargetMode="External" /><Relationship Type="http://schemas.openxmlformats.org/officeDocument/2006/relationships/hyperlink" Id="rId102" Target="https://easystats.github.io/performance/" TargetMode="External" /><Relationship Type="http://schemas.openxmlformats.org/officeDocument/2006/relationships/hyperlink" Id="rId38" Target="https://github.com/hmep/r2fu/" TargetMode="External" /><Relationship Type="http://schemas.openxmlformats.org/officeDocument/2006/relationships/hyperlink" Id="rId100" Target="https://github.com/runehaubo/lmerTestR" TargetMode="External" /><Relationship Type="http://schemas.openxmlformats.org/officeDocument/2006/relationships/hyperlink" Id="rId126" Target="https://sealedenvelope.com/simple-randomiser/v1" TargetMode="External" /><Relationship Type="http://schemas.openxmlformats.org/officeDocument/2006/relationships/hyperlink" Id="rId111" Target="https://www.cci.health.wa.gov.au/Resources/Looking-After-Yourself/Assertiveness" TargetMode="External" /><Relationship Type="http://schemas.openxmlformats.org/officeDocument/2006/relationships/hyperlink" Id="rId91"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2022-07-26T07:10:08Z</dcterms:created>
  <dcterms:modified xsi:type="dcterms:W3CDTF">2022-07-26T07:10:08Z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26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yes</vt:lpwstr>
  </property>
  <property fmtid="{D5CDD505-2E9C-101B-9397-08002B2CF9AE}" pid="9" name="output">
    <vt:lpwstr/>
  </property>
  <property fmtid="{D5CDD505-2E9C-101B-9397-08002B2CF9AE}" pid="10" name="tags">
    <vt:lpwstr/>
  </property>
</Properties>
</file>