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04</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8"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7"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suggesting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indicating that estimated mean levels of depressive mood and generalized and social anxiety symptoms were significantly affected by participation in the intervention.</w:t>
      </w:r>
    </w:p>
    <w:bookmarkStart w:id="51" w:name="within-group-effects"/>
    <w:p>
      <w:pPr>
        <w:pStyle w:val="Heading3"/>
      </w:pPr>
      <w:r>
        <w:t xml:space="preserve">Within-group effects</w:t>
      </w:r>
    </w:p>
    <w:p>
      <w:pPr>
        <w:pStyle w:val="FirstParagraph"/>
      </w:pPr>
      <w:r>
        <w:t xml:space="preserve">Following up on the significant time</w:t>
      </w:r>
      <w:r>
        <w:t xml:space="preserve"> </w:t>
      </w:r>
      <w:r>
        <w:t xml:space="preserve"> </w:t>
      </w:r>
      <w:r>
        <w:t xml:space="preserve">group interactions found for all three primary and all three secondary measures of skillful behaviors, post-hoc testing revealed that participants in both treatment groups Unguided self-help and Guided self-help improved significantly during the course of the intervention, and that effects were sustained or improved at 1-year Follow-up. Table 2 summarizes significance tests of estimated marginal mean differences and effect sizes, including 95% confidence intervals.</w:t>
      </w:r>
    </w:p>
    <w:bookmarkStart w:id="49" w:name="X0937e6e46522b4681941b8095f7707fba5351d6"/>
    <w:p>
      <w:pPr>
        <w:pStyle w:val="Heading4"/>
      </w:pPr>
      <w:r>
        <w:t xml:space="preserve">Primary measures Pre to Post, and Pre to Follow-up</w:t>
      </w:r>
    </w:p>
    <w:p>
      <w:pPr>
        <w:pStyle w:val="FirstParagraph"/>
      </w:pPr>
      <w:r>
        <w:t xml:space="preserve">With regards to assertive behaviors, both the Unguided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AAA-S Agressive, small to medium effects were observed in the Unguided self-help group,</w:t>
      </w:r>
      <w:r>
        <w:t xml:space="preserve"> </w:t>
      </w:r>
      <m:oMath>
        <m:r>
          <m:t>Δ</m:t>
        </m:r>
        <m:r>
          <m:t>M</m:t>
        </m:r>
      </m:oMath>
      <w:r>
        <w:t xml:space="preserve"> </w:t>
      </w:r>
      <w:r>
        <w:t xml:space="preserve">=</w:t>
      </w:r>
      <w:r>
        <w:t xml:space="preserve"> </w:t>
      </w:r>
      <m:oMath>
        <m:r>
          <m:t>3.6</m:t>
        </m:r>
      </m:oMath>
      <w:r>
        <w:t xml:space="preserve">,</w:t>
      </w:r>
      <w:r>
        <w:t xml:space="preserve"> </w:t>
      </w:r>
      <m:oMath>
        <m:r>
          <m:t>t</m:t>
        </m:r>
      </m:oMath>
      <w:r>
        <w:t xml:space="preserve">(</w:t>
      </w:r>
      <m:oMath>
        <m:r>
          <m:t>382</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.53</m:t>
        </m:r>
      </m:oMath>
      <w:r>
        <w:t xml:space="preserve">, and the Guided self-help group,</w:t>
      </w:r>
      <w:r>
        <w:t xml:space="preserve"> </w:t>
      </w:r>
      <m:oMath>
        <m:r>
          <m:t>Δ</m:t>
        </m:r>
        <m:r>
          <m:t>M</m:t>
        </m:r>
      </m:oMath>
      <w:r>
        <w:t xml:space="preserve"> </w:t>
      </w:r>
      <w:r>
        <w:t xml:space="preserve">=</w:t>
      </w:r>
      <w:r>
        <w:t xml:space="preserve"> </w:t>
      </w:r>
      <m:oMath>
        <m:r>
          <m:t>2.8</m:t>
        </m:r>
      </m:oMath>
      <w:r>
        <w:t xml:space="preserve">,</w:t>
      </w:r>
      <w:r>
        <w:t xml:space="preserve"> </w:t>
      </w:r>
      <m:oMath>
        <m:r>
          <m:t>t</m:t>
        </m:r>
      </m:oMath>
      <w:r>
        <w:t xml:space="preserve">(</w:t>
      </w:r>
      <m:oMath>
        <m:r>
          <m:t>376</m:t>
        </m:r>
      </m:oMath>
      <w:r>
        <w:t xml:space="preserve">) =</w:t>
      </w:r>
      <w:r>
        <w:t xml:space="preserve"> </w:t>
      </w:r>
      <m:oMath>
        <m:r>
          <m:rPr>
            <m:sty m:val="p"/>
          </m:rPr>
          <m:t>−</m:t>
        </m:r>
        <m:r>
          <m:t>4.12</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w:t>
      </w:r>
      <w:r>
        <w:t xml:space="preserve"> </w:t>
      </w:r>
      <m:oMath>
        <m:r>
          <m:t>E</m:t>
        </m:r>
        <m:r>
          <m:t>S</m:t>
        </m:r>
      </m:oMath>
      <w:r>
        <w:t xml:space="preserve"> </w:t>
      </w:r>
      <w:r>
        <w:t xml:space="preserve">=</w:t>
      </w:r>
      <w:r>
        <w:t xml:space="preserve"> </w:t>
      </w:r>
      <m:oMath>
        <m:r>
          <m:t>.40</m:t>
        </m:r>
      </m:oMath>
      <w:r>
        <w:t xml:space="preserve">, suggesting that participants somewhat increased their levels of assertions that they themselves deemed aggressive. Confirming these trends, large effects on assertiveness from Pre to Post were also found for the RAS in both the Unguided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Both treatment groups showed sustained within-group effects on assertiveness at 1 year Follow-up when compared to the Pre-treatment measurement time point, measured with AAA-S Adaptive, AAA-S Aggressive and the RAS, suggesting that assertive behaviors were still manifest well beyond the end of participation in the intervention. However, significant effects between the Post to Follow-up time-points were found only in the Guided self-help,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 from</w:t>
      </w:r>
      <w:r>
        <w:t xml:space="preserve"> </w:t>
      </w:r>
      <m:oMath>
        <m:sSub>
          <m:e>
            <m:r>
              <m:t>p</m:t>
            </m:r>
          </m:e>
          <m:sub>
            <m:r>
              <m:t>​</m:t>
            </m:r>
          </m:sub>
        </m:sSub>
      </m:oMath>
      <w:r>
        <w:t xml:space="preserve"> </w:t>
      </w:r>
      <w:r>
        <w:t xml:space="preserve">=</w:t>
      </w:r>
      <w:r>
        <w:t xml:space="preserve"> </w:t>
      </w:r>
      <m:oMath>
        <m:r>
          <m:t>.731</m:t>
        </m:r>
      </m:oMath>
      <w:r>
        <w:t xml:space="preserve"> </w:t>
      </w:r>
      <w:r>
        <w:t xml:space="preserve">to</w:t>
      </w:r>
      <w:r>
        <w:t xml:space="preserve"> </w:t>
      </w:r>
      <m:oMath>
        <m:sSub>
          <m:e>
            <m:r>
              <m:t>p</m:t>
            </m:r>
          </m:e>
          <m:sub>
            <m:r>
              <m:t>​</m:t>
            </m:r>
          </m:sub>
        </m:sSub>
      </m:oMath>
      <w:r>
        <w:t xml:space="preserve"> </w:t>
      </w:r>
      <w:r>
        <w:t xml:space="preserve">=</w:t>
      </w:r>
      <w:r>
        <w:t xml:space="preserve"> </w:t>
      </w:r>
      <m:oMath>
        <m:r>
          <m:t>1.000</m:t>
        </m:r>
      </m:oMath>
      <w:r>
        <w:t xml:space="preserve">. This indicates that therapist support might have provided some benefit to participants’ ability to generalize adaptive behaviors beyond the duration of the intervention.</w:t>
      </w:r>
    </w:p>
    <w:bookmarkEnd w:id="49"/>
    <w:bookmarkStart w:id="50" w:name="Xac542a66c94558be1e3b520fec66b2ab7a5332d"/>
    <w:p>
      <w:pPr>
        <w:pStyle w:val="Heading4"/>
      </w:pPr>
      <w:r>
        <w:t xml:space="preserve">Secondary measures Pre to Post, and Pre to Follow-up</w:t>
      </w:r>
    </w:p>
    <w:p>
      <w:pPr>
        <w:pStyle w:val="FirstParagraph"/>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generalized anxiety, however, decreased significantly for all combinations of time points and groups. In the Unguided self-help group, the effect from Pre to Post was</w:t>
      </w:r>
      <w:r>
        <w:t xml:space="preserve"> </w:t>
      </w:r>
      <m:oMath>
        <m:r>
          <m:t>Δ</m:t>
        </m:r>
        <m:r>
          <m:t>M</m:t>
        </m:r>
      </m:oMath>
      <w:r>
        <w:t xml:space="preserve"> </w:t>
      </w:r>
      <w:r>
        <w:t xml:space="preserve">=</w:t>
      </w:r>
      <w:r>
        <w:t xml:space="preserve"> </w:t>
      </w:r>
      <m:oMath>
        <m:r>
          <m:t>2.2</m:t>
        </m:r>
      </m:oMath>
      <w:r>
        <w:t xml:space="preserve">,</w:t>
      </w:r>
      <w:r>
        <w:t xml:space="preserve"> </w:t>
      </w:r>
      <m:oMath>
        <m:r>
          <m:t>t</m:t>
        </m:r>
      </m:oMath>
      <w:r>
        <w:t xml:space="preserve">(</w:t>
      </w:r>
      <m:oMath>
        <m:r>
          <m:t>395</m:t>
        </m:r>
      </m:oMath>
      <w:r>
        <w:t xml:space="preserve">) =</w:t>
      </w:r>
      <w:r>
        <w:t xml:space="preserve"> </w:t>
      </w:r>
      <m:oMath>
        <m:r>
          <m:t>3.68</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w:t>
      </w:r>
      <w:r>
        <w:t xml:space="preserve"> </w:t>
      </w:r>
      <m:oMath>
        <m:r>
          <m:t>E</m:t>
        </m:r>
        <m:r>
          <m:t>S</m:t>
        </m:r>
      </m:oMath>
      <w:r>
        <w:t xml:space="preserve"> </w:t>
      </w:r>
      <w:r>
        <w:t xml:space="preserve">=</w:t>
      </w:r>
      <w:r>
        <w:t xml:space="preserve"> </w:t>
      </w:r>
      <m:oMath>
        <m:r>
          <m:t>.53</m:t>
        </m:r>
      </m:oMath>
      <w:r>
        <w:t xml:space="preserve">, increasing to</w:t>
      </w:r>
      <w:r>
        <w:t xml:space="preserve"> </w:t>
      </w:r>
      <m:oMath>
        <m:r>
          <m:t>Δ</m:t>
        </m:r>
        <m:r>
          <m:t>M</m:t>
        </m:r>
      </m:oMath>
      <w:r>
        <w:t xml:space="preserve"> </w:t>
      </w:r>
      <w:r>
        <w:t xml:space="preserve">=</w:t>
      </w:r>
      <w:r>
        <w:t xml:space="preserve"> </w:t>
      </w:r>
      <m:oMath>
        <m:r>
          <m:t>3.2</m:t>
        </m:r>
      </m:oMath>
      <w:r>
        <w:t xml:space="preserve">,</w:t>
      </w:r>
      <w:r>
        <w:t xml:space="preserve"> </w:t>
      </w:r>
      <m:oMath>
        <m:r>
          <m:t>t</m:t>
        </m:r>
      </m:oMath>
      <w:r>
        <w:t xml:space="preserve">(</w:t>
      </w:r>
      <m:oMath>
        <m:r>
          <m:t>398</m:t>
        </m:r>
      </m:oMath>
      <w:r>
        <w:t xml:space="preserve">) =</w:t>
      </w:r>
      <w:r>
        <w:t xml:space="preserve"> </w:t>
      </w:r>
      <m:oMath>
        <m:r>
          <m:t>4.38</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.76</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2.8</m:t>
        </m:r>
      </m:oMath>
      <w:r>
        <w:t xml:space="preserve">,</w:t>
      </w:r>
      <w:r>
        <w:t xml:space="preserve"> </w:t>
      </w:r>
      <m:oMath>
        <m:r>
          <m:t>t</m:t>
        </m:r>
      </m:oMath>
      <w:r>
        <w:t xml:space="preserve">(</w:t>
      </w:r>
      <m:oMath>
        <m:r>
          <m:t>384</m:t>
        </m:r>
      </m:oMath>
      <w:r>
        <w:t xml:space="preserve">) =</w:t>
      </w:r>
      <w:r>
        <w:t xml:space="preserve"> </w:t>
      </w:r>
      <m:oMath>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.68</m:t>
        </m:r>
      </m:oMath>
      <w:r>
        <w:t xml:space="preserve">, increasing to</w:t>
      </w:r>
      <w:r>
        <w:t xml:space="preserve"> </w:t>
      </w:r>
      <m:oMath>
        <m:r>
          <m:t>Δ</m:t>
        </m:r>
        <m:r>
          <m:t>M</m:t>
        </m:r>
      </m:oMath>
      <w:r>
        <w:t xml:space="preserve"> </w:t>
      </w:r>
      <w:r>
        <w:t xml:space="preserve">=</w:t>
      </w:r>
      <w:r>
        <w:t xml:space="preserve"> </w:t>
      </w:r>
      <m:oMath>
        <m:r>
          <m:t>3.4</m:t>
        </m:r>
      </m:oMath>
      <w:r>
        <w:t xml:space="preserve">,</w:t>
      </w:r>
      <w:r>
        <w:t xml:space="preserve"> </w:t>
      </w:r>
      <m:oMath>
        <m:r>
          <m:t>t</m:t>
        </m:r>
      </m:oMath>
      <w:r>
        <w:t xml:space="preserve">(</w:t>
      </w:r>
      <m:oMath>
        <m:r>
          <m:t>388</m:t>
        </m:r>
      </m:oMath>
      <w:r>
        <w:t xml:space="preserve">) =</w:t>
      </w:r>
      <w:r>
        <w:t xml:space="preserve"> </w:t>
      </w:r>
      <m:oMath>
        <m:r>
          <m:t>5.65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.83</m:t>
        </m:r>
      </m:oMath>
      <w:r>
        <w:t xml:space="preserve"> </w:t>
      </w:r>
      <w:r>
        <w:t xml:space="preserve">Pre to Follow-up. Symptoms of social anxiety had also decreased significantly in both groups, at both Post and Follow-up: In the Unguided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GAD-7 and LSAS-SR increased from medium Pre–Post-up to large Pre–Follow-up, there was no significant difference between Post and Follow-up in either group, for either measure.</w:t>
      </w:r>
    </w:p>
    <w:bookmarkEnd w:id="50"/>
    <w:bookmarkEnd w:id="51"/>
    <w:bookmarkStart w:id="56" w:name="between-group-effects"/>
    <w:p>
      <w:pPr>
        <w:pStyle w:val="Heading3"/>
      </w:pPr>
      <w:r>
        <w:t xml:space="preserve">Between-group effects</w:t>
      </w:r>
    </w:p>
    <w:p>
      <w:pPr>
        <w:pStyle w:val="FirstParagraph"/>
      </w:pPr>
      <w:r>
        <w:t xml:space="preserve">Post-hoc testing of the primary and secondary measures revealed between-group effects for all measures except for GAD-7. See table 2.</w:t>
      </w:r>
    </w:p>
    <w:bookmarkStart w:id="52" w:name="Xb81e0d19a66ac8606dac4e16536684dc4fc63d0"/>
    <w:p>
      <w:pPr>
        <w:pStyle w:val="Heading4"/>
      </w:pPr>
      <w:r>
        <w:t xml:space="preserve">Primary measures compared at Post and Follow-up</w:t>
      </w:r>
    </w:p>
    <w:p>
      <w:pPr>
        <w:pStyle w:val="FirstParagraph"/>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 the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and at Follow-up,</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w:t>
      </w:r>
    </w:p>
    <w:p>
      <w:pPr>
        <w:pStyle w:val="BodyText"/>
      </w:pPr>
      <w:r>
        <w:t xml:space="preserve">Comparing between the Unguided self-help and the Guided self-help conditions, there was no significant difference, neither at Post nor Follow-up, suggesting that participants working through the intervention on their own fared just as well as those who were supported by a therapist.</w:t>
      </w:r>
    </w:p>
    <w:bookmarkEnd w:id="52"/>
    <w:bookmarkStart w:id="53" w:name="X610f44bf25ace1cb885e8d547b3ecfd4eb89a7c"/>
    <w:p>
      <w:pPr>
        <w:pStyle w:val="Heading4"/>
      </w:pPr>
      <w:r>
        <w:t xml:space="preserve">Secondary measures compared at Post and Follow-up</w:t>
      </w:r>
    </w:p>
    <w:p>
      <w:pPr>
        <w:pStyle w:val="FirstParagraph"/>
      </w:pPr>
      <w:r>
        <w:t xml:space="preserve">In post-hoc testing, no effect on alleviation of depressive symptoms measured with PHQ-9 at Post was found comparing Waitlist and Unguided self-help groups.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m:oMath>
        <m:sSub>
          <m:e>
            <m:r>
              <m:t>p</m:t>
            </m:r>
          </m:e>
          <m:sub>
            <m:r>
              <m:t>​</m:t>
            </m:r>
          </m:sub>
        </m:sSub>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see Figure 3 for a graphic identification of time point).</w:t>
      </w:r>
    </w:p>
    <w:bookmarkEnd w:id="53"/>
    <w:bookmarkStart w:id="54"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AAA-S Aggressive, PHQ-9, or GAD-7.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AAA-S Aggressive or GAD-7. See Table 3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Unguided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might contribute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 and/or reducing avoidance and escape behaviors from them.</w:t>
      </w:r>
    </w:p>
    <w:bookmarkEnd w:id="54"/>
    <w:bookmarkStart w:id="55"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5"/>
    <w:bookmarkEnd w:id="56"/>
    <w:bookmarkEnd w:id="57"/>
    <w:bookmarkEnd w:id="58"/>
    <w:bookmarkStart w:id="142" w:name="discussion"/>
    <w:p>
      <w:pPr>
        <w:pStyle w:val="Heading1"/>
      </w:pPr>
      <w:r>
        <w:t xml:space="preserve">Discussion</w:t>
      </w:r>
    </w:p>
    <w:p>
      <w:pPr>
        <w:pStyle w:val="FirstParagraph"/>
      </w:pPr>
      <w:r>
        <w:t xml:space="preserve">The present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in turn their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Unguided self-help and Guided self-help participation in Respekt</w:t>
      </w:r>
      <w:r>
        <w:rPr>
          <w:vertAlign w:val="superscript"/>
        </w:rPr>
        <w:t xml:space="preserve">2</w:t>
      </w:r>
      <w:r>
        <w:t xml:space="preserve">, compared to Waitlist control. For AAA-S Adaptive and RAS at Post in the Unguided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Clinically speaking,</w:t>
      </w:r>
      <w:r>
        <w:t xml:space="preserve"> </w:t>
      </w:r>
      <m:oMath>
        <m:r>
          <m:t>n</m:t>
        </m:r>
      </m:oMath>
      <w:r>
        <w:t xml:space="preserve"> </w:t>
      </w:r>
      <w:r>
        <w:t xml:space="preserve">= 15 (22%) of participants in the Unguided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Unguided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Within-group comparisons revealed moderate effects in the Unguided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Unguided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Apart from psychiatric syndromes, assertiveness has been linked to relationship problems and with work-related stress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these issues, that are sometimes non-clinical but nevertheless are associated with suffering and problems in living. Furthermore, investigations on clinical populations are merited, comparing the effects of Respekt</w:t>
      </w:r>
      <w:r>
        <w:rPr>
          <w:vertAlign w:val="superscript"/>
        </w:rPr>
        <w:t xml:space="preserve">2</w:t>
      </w:r>
      <w:r>
        <w:t xml:space="preserve"> </w:t>
      </w:r>
      <w:r>
        <w:t xml:space="preserve">with manualized treatments commonly deployed in psychiatric settings for syndromes that are associated with lack of assertiveness. On the other end of the spectrum, a trial assessing the viability and acceptability of the assertiveness construct as a target in a preventive intervention for both clinical and non-clincial problems is warranted; assertiveness as a transdiagnostic construct could be used flexibly in a multitude of settings and with a multitude of populations. Lastly, we propose a follow-up to the present study, in which the intervention would again be administered to a non-clinical audience, this time using an extended battery of measures, including scales capturing positively formulated transdiagnostic behaviors such as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w:t>
      </w:r>
      <w:r>
        <w:t xml:space="preserve">and the Acceptance and Action Questionnaire (AAQ-II; ref).</w:t>
      </w:r>
    </w:p>
    <w:p>
      <w:pPr>
        <w:pStyle w:val="BodyText"/>
      </w:pPr>
      <w:r>
        <w:t xml:space="preserve">Lösrykta tankar/stycken att eventuellt utveckla:</w:t>
      </w:r>
    </w:p>
    <w:p>
      <w:pPr>
        <w:numPr>
          <w:ilvl w:val="0"/>
          <w:numId w:val="1002"/>
        </w:numPr>
      </w:pPr>
      <w:r>
        <w:t xml:space="preserve">Kolla upp hur många som faktiskt försvann mellan modulerna, jämför med power-beräkningen. Kolla hur många som gav fu-svar.</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41" w:name="references"/>
    <w:p>
      <w:pPr>
        <w:pStyle w:val="Heading2"/>
      </w:pPr>
      <w:r>
        <w:t xml:space="preserve">References</w:t>
      </w:r>
    </w:p>
    <w:bookmarkStart w:id="140"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4">
        <w:r>
          <w:rPr>
            <w:rStyle w:val="Hyperlink"/>
          </w:rPr>
          <w:t xml:space="preserve">https://doi.org/10.1016/0005-7967(86)90011-2</w:t>
        </w:r>
      </w:hyperlink>
    </w:p>
    <w:bookmarkEnd w:id="75"/>
    <w:bookmarkStart w:id="76"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6"/>
    <w:bookmarkStart w:id="78"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7">
        <w:r>
          <w:rPr>
            <w:rStyle w:val="Hyperlink"/>
          </w:rPr>
          <w:t xml:space="preserve">https://CRAN.R-project.org/package=clinicalsignificance</w:t>
        </w:r>
      </w:hyperlink>
    </w:p>
    <w:bookmarkEnd w:id="78"/>
    <w:bookmarkStart w:id="79"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9"/>
    <w:bookmarkStart w:id="81"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0">
        <w:r>
          <w:rPr>
            <w:rStyle w:val="Hyperlink"/>
          </w:rPr>
          <w:t xml:space="preserve">https://doi.org/10.1016/j.brat.2007.10.003</w:t>
        </w:r>
      </w:hyperlink>
    </w:p>
    <w:bookmarkEnd w:id="81"/>
    <w:bookmarkStart w:id="83"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2">
        <w:r>
          <w:rPr>
            <w:rStyle w:val="Hyperlink"/>
          </w:rPr>
          <w:t xml:space="preserve">https://doi.org/10.1002/wps.20346</w:t>
        </w:r>
      </w:hyperlink>
    </w:p>
    <w:bookmarkEnd w:id="83"/>
    <w:bookmarkStart w:id="85"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4">
        <w:r>
          <w:rPr>
            <w:rStyle w:val="Hyperlink"/>
          </w:rPr>
          <w:t xml:space="preserve">https://doi.org/10.1016/j.brat.2013.03.003</w:t>
        </w:r>
      </w:hyperlink>
    </w:p>
    <w:bookmarkEnd w:id="85"/>
    <w:bookmarkStart w:id="86"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6"/>
    <w:bookmarkStart w:id="88"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7">
        <w:r>
          <w:rPr>
            <w:rStyle w:val="Hyperlink"/>
          </w:rPr>
          <w:t xml:space="preserve">https://doi.org/10.1017/S0033291701004056</w:t>
        </w:r>
      </w:hyperlink>
    </w:p>
    <w:bookmarkEnd w:id="88"/>
    <w:bookmarkStart w:id="90"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9">
        <w:r>
          <w:rPr>
            <w:rStyle w:val="Hyperlink"/>
          </w:rPr>
          <w:t xml:space="preserve">https://doi.org/10.1111/acps.12275</w:t>
        </w:r>
      </w:hyperlink>
    </w:p>
    <w:bookmarkEnd w:id="90"/>
    <w:bookmarkStart w:id="91"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1"/>
    <w:bookmarkStart w:id="93"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2">
        <w:r>
          <w:rPr>
            <w:rStyle w:val="Hyperlink"/>
          </w:rPr>
          <w:t xml:space="preserve">https://www.random.org</w:t>
        </w:r>
      </w:hyperlink>
      <w:r>
        <w:t xml:space="preserve">.</w:t>
      </w:r>
    </w:p>
    <w:bookmarkEnd w:id="93"/>
    <w:bookmarkStart w:id="95"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4">
        <w:r>
          <w:rPr>
            <w:rStyle w:val="Hyperlink"/>
          </w:rPr>
          <w:t xml:space="preserve">https://doi.org/10.1016/S0005-7894(04)80013-3</w:t>
        </w:r>
      </w:hyperlink>
    </w:p>
    <w:bookmarkEnd w:id="95"/>
    <w:bookmarkStart w:id="97"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6">
        <w:r>
          <w:rPr>
            <w:rStyle w:val="Hyperlink"/>
          </w:rPr>
          <w:t xml:space="preserve">https://doi.org/10.1007/s10608-012-9476-1</w:t>
        </w:r>
      </w:hyperlink>
    </w:p>
    <w:bookmarkEnd w:id="97"/>
    <w:bookmarkStart w:id="98"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8"/>
    <w:bookmarkStart w:id="100"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9">
        <w:r>
          <w:rPr>
            <w:rStyle w:val="Hyperlink"/>
          </w:rPr>
          <w:t xml:space="preserve">https://doi.org/10.1016/j.genhosppsych.2010.03.006</w:t>
        </w:r>
      </w:hyperlink>
    </w:p>
    <w:bookmarkEnd w:id="100"/>
    <w:bookmarkStart w:id="102"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1">
        <w:r>
          <w:rPr>
            <w:rStyle w:val="Hyperlink"/>
          </w:rPr>
          <w:t xml:space="preserve">https://github.com/runehaubo/lmerTestR</w:t>
        </w:r>
      </w:hyperlink>
    </w:p>
    <w:bookmarkEnd w:id="102"/>
    <w:bookmarkStart w:id="104"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3">
        <w:r>
          <w:rPr>
            <w:rStyle w:val="Hyperlink"/>
          </w:rPr>
          <w:t xml:space="preserve">https://cran.r-project.org/package=emmeans</w:t>
        </w:r>
      </w:hyperlink>
    </w:p>
    <w:bookmarkEnd w:id="104"/>
    <w:bookmarkStart w:id="106"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5">
        <w:r>
          <w:rPr>
            <w:rStyle w:val="Hyperlink"/>
          </w:rPr>
          <w:t xml:space="preserve">https://doi.org/10.1016/B978-0-12-404480-7.50013-7</w:t>
        </w:r>
      </w:hyperlink>
    </w:p>
    <w:bookmarkEnd w:id="106"/>
    <w:bookmarkStart w:id="107"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7"/>
    <w:bookmarkStart w:id="109"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8">
        <w:r>
          <w:rPr>
            <w:rStyle w:val="Hyperlink"/>
          </w:rPr>
          <w:t xml:space="preserve">https://doi.org/10.21105/joss.00772</w:t>
        </w:r>
      </w:hyperlink>
    </w:p>
    <w:bookmarkEnd w:id="109"/>
    <w:bookmarkStart w:id="111"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0">
        <w:r>
          <w:rPr>
            <w:rStyle w:val="Hyperlink"/>
          </w:rPr>
          <w:t xml:space="preserve">https://easystats.github.io/performance/</w:t>
        </w:r>
      </w:hyperlink>
    </w:p>
    <w:bookmarkEnd w:id="111"/>
    <w:bookmarkStart w:id="113"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2">
        <w:r>
          <w:rPr>
            <w:rStyle w:val="Hyperlink"/>
          </w:rPr>
          <w:t xml:space="preserve">www.cci.health.wa.gov.au/Resources/Looking-After-Yourself/Assertiveness</w:t>
        </w:r>
      </w:hyperlink>
    </w:p>
    <w:bookmarkEnd w:id="113"/>
    <w:bookmarkStart w:id="115"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4">
        <w:r>
          <w:rPr>
            <w:rStyle w:val="Hyperlink"/>
          </w:rPr>
          <w:t xml:space="preserve">https://doi.org/10.2196/jmir.1602</w:t>
        </w:r>
      </w:hyperlink>
    </w:p>
    <w:bookmarkEnd w:id="115"/>
    <w:bookmarkStart w:id="116"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6"/>
    <w:bookmarkStart w:id="117"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7"/>
    <w:bookmarkStart w:id="119"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8">
        <w:r>
          <w:rPr>
            <w:rStyle w:val="Hyperlink"/>
          </w:rPr>
          <w:t xml:space="preserve">https://doi.org/10.1016/S0005-7894(73)80120-0</w:t>
        </w:r>
      </w:hyperlink>
    </w:p>
    <w:bookmarkEnd w:id="119"/>
    <w:bookmarkStart w:id="121"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0">
        <w:r>
          <w:rPr>
            <w:rStyle w:val="Hyperlink"/>
          </w:rPr>
          <w:t xml:space="preserve">https://doi.org/10.1037/ccp0000023</w:t>
        </w:r>
      </w:hyperlink>
    </w:p>
    <w:bookmarkEnd w:id="121"/>
    <w:bookmarkStart w:id="123"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2">
        <w:r>
          <w:rPr>
            <w:rStyle w:val="Hyperlink"/>
          </w:rPr>
          <w:t xml:space="preserve">https://doi.org/10.1016/j.brat.2017.05.015</w:t>
        </w:r>
      </w:hyperlink>
    </w:p>
    <w:bookmarkEnd w:id="123"/>
    <w:bookmarkStart w:id="124"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4"/>
    <w:bookmarkStart w:id="126"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5">
        <w:r>
          <w:rPr>
            <w:rStyle w:val="Hyperlink"/>
          </w:rPr>
          <w:t xml:space="preserve">https://sealedenvelope.com/simple-randomiser/v1</w:t>
        </w:r>
      </w:hyperlink>
      <w:r>
        <w:t xml:space="preserve">.</w:t>
      </w:r>
    </w:p>
    <w:bookmarkEnd w:id="126"/>
    <w:bookmarkStart w:id="127"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7"/>
    <w:bookmarkStart w:id="129"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8">
        <w:r>
          <w:rPr>
            <w:rStyle w:val="Hyperlink"/>
          </w:rPr>
          <w:t xml:space="preserve">https://doi.org/10.1111/cpsp.12216</w:t>
        </w:r>
      </w:hyperlink>
    </w:p>
    <w:bookmarkEnd w:id="129"/>
    <w:bookmarkStart w:id="131"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0">
        <w:r>
          <w:rPr>
            <w:rStyle w:val="Hyperlink"/>
          </w:rPr>
          <w:t xml:space="preserve">https://doi.org/10.1001/archinte.166.10.1092</w:t>
        </w:r>
      </w:hyperlink>
    </w:p>
    <w:bookmarkEnd w:id="131"/>
    <w:bookmarkStart w:id="133"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2">
        <w:r>
          <w:rPr>
            <w:rStyle w:val="Hyperlink"/>
          </w:rPr>
          <w:t xml:space="preserve">https://doi.org/10.1007/s10862-011-9226-9</w:t>
        </w:r>
      </w:hyperlink>
    </w:p>
    <w:bookmarkEnd w:id="133"/>
    <w:bookmarkStart w:id="135"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4">
        <w:r>
          <w:rPr>
            <w:rStyle w:val="Hyperlink"/>
          </w:rPr>
          <w:t xml:space="preserve">https://doi.org/10.1007/s10942-018-0296-4</w:t>
        </w:r>
      </w:hyperlink>
    </w:p>
    <w:bookmarkEnd w:id="135"/>
    <w:bookmarkStart w:id="136"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36"/>
    <w:bookmarkStart w:id="13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7"/>
    <w:bookmarkStart w:id="138" w:name="ref-wolpe1990practice"/>
    <w:p>
      <w:pPr>
        <w:pStyle w:val="Bibliography"/>
      </w:pPr>
      <w:r>
        <w:t xml:space="preserve">Wolpe, J. (1990).</w:t>
      </w:r>
      <w:r>
        <w:t xml:space="preserve"> </w:t>
      </w:r>
      <w:r>
        <w:rPr>
          <w:iCs/>
          <w:i/>
        </w:rPr>
        <w:t xml:space="preserve">The practice of behavior therapy</w:t>
      </w:r>
      <w:r>
        <w:t xml:space="preserve">. Pergamon Press.</w:t>
      </w:r>
    </w:p>
    <w:bookmarkEnd w:id="138"/>
    <w:bookmarkStart w:id="13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9"/>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7" Target="https://CRAN.R-project.org/package=clinicalsignificance" TargetMode="External" /><Relationship Type="http://schemas.openxmlformats.org/officeDocument/2006/relationships/hyperlink" Id="rId103" Target="https://cran.r-project.org/package=emmeans" TargetMode="External" /><Relationship Type="http://schemas.openxmlformats.org/officeDocument/2006/relationships/hyperlink" Id="rId130"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6" Target="https://doi.org/10.1007/s10608-012-9476-1" TargetMode="External" /><Relationship Type="http://schemas.openxmlformats.org/officeDocument/2006/relationships/hyperlink" Id="rId132" Target="https://doi.org/10.1007/s10862-011-9226-9" TargetMode="External" /><Relationship Type="http://schemas.openxmlformats.org/officeDocument/2006/relationships/hyperlink" Id="rId134"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4"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7" Target="https://doi.org/10.1017/S0033291701004056" TargetMode="External" /><Relationship Type="http://schemas.openxmlformats.org/officeDocument/2006/relationships/hyperlink" Id="rId120" Target="https://doi.org/10.1037/ccp0000023" TargetMode="External" /><Relationship Type="http://schemas.openxmlformats.org/officeDocument/2006/relationships/hyperlink" Id="rId70" Target="https://doi.org/10.1080/16506073.2017.1401115" TargetMode="External" /><Relationship Type="http://schemas.openxmlformats.org/officeDocument/2006/relationships/hyperlink" Id="rId89" Target="https://doi.org/10.1111/acps.12275" TargetMode="External" /><Relationship Type="http://schemas.openxmlformats.org/officeDocument/2006/relationships/hyperlink" Id="rId128" Target="https://doi.org/10.1111/cpsp.12216"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114" Target="https://doi.org/10.2196/jmir.1602" TargetMode="External" /><Relationship Type="http://schemas.openxmlformats.org/officeDocument/2006/relationships/hyperlink" Id="rId65"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92"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7" Target="https://CRAN.R-project.org/package=clinicalsignificance" TargetMode="External" /><Relationship Type="http://schemas.openxmlformats.org/officeDocument/2006/relationships/hyperlink" Id="rId103" Target="https://cran.r-project.org/package=emmeans" TargetMode="External" /><Relationship Type="http://schemas.openxmlformats.org/officeDocument/2006/relationships/hyperlink" Id="rId130" Target="https://doi.org/10.1001/archinte.166.10.1092" TargetMode="External" /><Relationship Type="http://schemas.openxmlformats.org/officeDocument/2006/relationships/hyperlink" Id="rId82" Target="https://doi.org/10.1002/wps.20346" TargetMode="External" /><Relationship Type="http://schemas.openxmlformats.org/officeDocument/2006/relationships/hyperlink" Id="rId96" Target="https://doi.org/10.1007/s10608-012-9476-1" TargetMode="External" /><Relationship Type="http://schemas.openxmlformats.org/officeDocument/2006/relationships/hyperlink" Id="rId132" Target="https://doi.org/10.1007/s10862-011-9226-9" TargetMode="External" /><Relationship Type="http://schemas.openxmlformats.org/officeDocument/2006/relationships/hyperlink" Id="rId134" Target="https://doi.org/10.1007/s10942-018-0296-4" TargetMode="External" /><Relationship Type="http://schemas.openxmlformats.org/officeDocument/2006/relationships/hyperlink" Id="rId74"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4" Target="https://doi.org/10.1016/S0005-7894(04)80013-3" TargetMode="External" /><Relationship Type="http://schemas.openxmlformats.org/officeDocument/2006/relationships/hyperlink" Id="rId118" Target="https://doi.org/10.1016/S0005-7894(73)80120-0" TargetMode="External" /><Relationship Type="http://schemas.openxmlformats.org/officeDocument/2006/relationships/hyperlink" Id="rId80" Target="https://doi.org/10.1016/j.brat.2007.10.003" TargetMode="External" /><Relationship Type="http://schemas.openxmlformats.org/officeDocument/2006/relationships/hyperlink" Id="rId84" Target="https://doi.org/10.1016/j.brat.2013.03.003" TargetMode="External" /><Relationship Type="http://schemas.openxmlformats.org/officeDocument/2006/relationships/hyperlink" Id="rId122" Target="https://doi.org/10.1016/j.brat.2017.05.015" TargetMode="External" /><Relationship Type="http://schemas.openxmlformats.org/officeDocument/2006/relationships/hyperlink" Id="rId99"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61" Target="https://doi.org/10.1016/j.janxdis.2018.01.001" TargetMode="External" /><Relationship Type="http://schemas.openxmlformats.org/officeDocument/2006/relationships/hyperlink" Id="rId87" Target="https://doi.org/10.1017/S0033291701004056" TargetMode="External" /><Relationship Type="http://schemas.openxmlformats.org/officeDocument/2006/relationships/hyperlink" Id="rId120" Target="https://doi.org/10.1037/ccp0000023" TargetMode="External" /><Relationship Type="http://schemas.openxmlformats.org/officeDocument/2006/relationships/hyperlink" Id="rId70" Target="https://doi.org/10.1080/16506073.2017.1401115" TargetMode="External" /><Relationship Type="http://schemas.openxmlformats.org/officeDocument/2006/relationships/hyperlink" Id="rId89" Target="https://doi.org/10.1111/acps.12275" TargetMode="External" /><Relationship Type="http://schemas.openxmlformats.org/officeDocument/2006/relationships/hyperlink" Id="rId128" Target="https://doi.org/10.1111/cpsp.12216"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08" Target="https://doi.org/10.21105/joss.00772" TargetMode="External" /><Relationship Type="http://schemas.openxmlformats.org/officeDocument/2006/relationships/hyperlink" Id="rId114" Target="https://doi.org/10.2196/jmir.1602" TargetMode="External" /><Relationship Type="http://schemas.openxmlformats.org/officeDocument/2006/relationships/hyperlink" Id="rId65" Target="https://doi.org/10.4018/978-1-4666-5942-1" TargetMode="External" /><Relationship Type="http://schemas.openxmlformats.org/officeDocument/2006/relationships/hyperlink" Id="rId110"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1" Target="https://github.com/runehaubo/lmerTestR" TargetMode="External" /><Relationship Type="http://schemas.openxmlformats.org/officeDocument/2006/relationships/hyperlink" Id="rId125" Target="https://sealedenvelope.com/simple-randomiser/v1" TargetMode="External" /><Relationship Type="http://schemas.openxmlformats.org/officeDocument/2006/relationships/hyperlink" Id="rId112" Target="https://www.cci.health.wa.gov.au/Resources/Looking-After-Yourself/Assertiveness" TargetMode="External" /><Relationship Type="http://schemas.openxmlformats.org/officeDocument/2006/relationships/hyperlink" Id="rId92"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2022-07-04T16:15:34Z</dcterms:created>
  <dcterms:modified xsi:type="dcterms:W3CDTF">2022-07-04T16:15:34Z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04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