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07</w:t>
      </w:r>
      <w:r>
        <w:t xml:space="preserve"> </w:t>
      </w:r>
      <w:r>
        <w:t xml:space="preserve">August</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 Dialectical Behavior Therapy (DBT), of which assertion skills training in a group setting is an integral part</w:t>
      </w:r>
      <w:r>
        <w:t xml:space="preserve"> </w:t>
      </w:r>
      <w:r>
        <w:t xml:space="preserve">(</w:t>
      </w:r>
      <w:hyperlink w:anchor="ref-linehan1993skills">
        <w:r>
          <w:rPr>
            <w:rStyle w:val="Hyperlink"/>
          </w:rPr>
          <w:t xml:space="preserve">Linehan, 1993</w:t>
        </w:r>
      </w:hyperlink>
      <w:r>
        <w:t xml:space="preserve">)</w:t>
      </w:r>
      <w:r>
        <w:t xml:space="preserve">.</w:t>
      </w:r>
    </w:p>
    <w:p>
      <w:pPr>
        <w:pStyle w:val="BodyText"/>
      </w:pPr>
      <w:r>
        <w:t xml:space="preserve">Assertion is to be regarded as a situation-specific rather than a generalized trait</w:t>
      </w:r>
      <w:r>
        <w:t xml:space="preserve"> </w:t>
      </w:r>
      <w:r>
        <w:t xml:space="preserve">(</w:t>
      </w:r>
      <w:hyperlink w:anchor="ref-Hull1978">
        <w:r>
          <w:rPr>
            <w:rStyle w:val="Hyperlink"/>
          </w:rPr>
          <w:t xml:space="preserve">Hull &amp; Hull, 1978</w:t>
        </w:r>
      </w:hyperlink>
      <w:r>
        <w:t xml:space="preserve">)</w:t>
      </w:r>
      <w:r>
        <w:t xml:space="preserve">. 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Mitamura (</w:t>
      </w:r>
      <w:hyperlink w:anchor="ref-Mitamura2018">
        <w:r>
          <w:rPr>
            <w:rStyle w:val="Hyperlink"/>
          </w:rPr>
          <w:t xml:space="preserve">2018</w:t>
        </w:r>
      </w:hyperlink>
      <w:r>
        <w:t xml:space="preserve">)</w:t>
      </w:r>
      <w:r>
        <w:t xml:space="preserve">.</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healthy assertiveness, Respekt</w:t>
      </w:r>
      <w:r>
        <w:rPr>
          <w:vertAlign w:val="superscript"/>
        </w:rPr>
        <w:t xml:space="preserve">2</w:t>
      </w:r>
      <w:r>
        <w:t xml:space="preserve"> </w:t>
      </w:r>
      <w:r>
        <w:t xml:space="preserve">(</w:t>
      </w:r>
      <w:r>
        <w:t xml:space="preserve">‘</w:t>
      </w:r>
      <w:r>
        <w:t xml:space="preserve">Respect Squared</w:t>
      </w:r>
      <w:r>
        <w:t xml:space="preserve">’</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baseline characteristics.</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 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4.2.1,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for any missing values the last observation was carried forward.</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 Participants’ estimated means for all three measures exhibit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 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9"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significant effects at Follow-up one year after the end of treatment, compared to the Waitlist condition at Post.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growing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Large effects at Post were also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Guided self-help conditions, there was no significant difference neither at Post nor Follow-up, revealing that participants working through the intervention on their own fared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depressive symptoms, measured with PHQ-9, was found at Post, comparing the Waitlist and the Unguided self-help groups. Tentative evidence was found for support by therapists benefiting depressed participants, as the Waitlist versus Guided self-help comparison revealed a moderate to large effect on PHQ-9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GAD-7, comparing treatment groups and Waitlist. Also, there was no significant effect of the Unguided self-help condition on social anxiety symptoms measured with LSAS-SR at Post.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at During.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 point, During, for the Waitlist.</w:t>
      </w:r>
    </w:p>
    <w:p>
      <w:pPr>
        <w:pStyle w:val="BodyText"/>
      </w:pPr>
      <w:r>
        <w:t xml:space="preserve">Thus, the 8-week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Follow-up, compared to the Pre-treatment time point, measured with AAA-S Adaptive, AAA-S Aggressive, and the RAS. Thus, assertive behavior were still manifested well beyond the end of participation in the intervention. However, significant effects between Post and Follow-up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98d00be34675b9bc8a683f5929e82cec4938d20"/>
    <w:p>
      <w:pPr>
        <w:pStyle w:val="Heading4"/>
      </w:pPr>
      <w:r>
        <w:t xml:space="preserve">Reliable recovery with regards to assertive behavior</w:t>
      </w:r>
    </w:p>
    <w:p>
      <w:pPr>
        <w:pStyle w:val="FirstParagraph"/>
      </w:pPr>
      <w:r>
        <w:t xml:space="preserve">Adding to the picture that assertive behavior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 difference in the proportions of recovered participants with regards to AAA-S Aggressive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enjoyed clinical recovery with regards to adaptive assertiveness measured with AAA-S Adaptive at Post, increasing to</w:t>
      </w:r>
      <w:r>
        <w:t xml:space="preserve"> </w:t>
      </w:r>
      <m:oMath>
        <m:r>
          <m:t>15</m:t>
        </m:r>
      </m:oMath>
      <w:r>
        <w:t xml:space="preserve"> </w:t>
      </w:r>
      <w:r>
        <w:t xml:space="preserve">participants (</w:t>
      </w:r>
      <m:oMath>
        <m:r>
          <m:t>22</m:t>
        </m:r>
      </m:oMath>
      <w:r>
        <w:t xml:space="preserve">%) at Follow-up. In the Guided self-help group, the number of participants recovered at Post was not significantly different from that of the Waitlist, while significantly larger at Followup,</w:t>
      </w:r>
      <w:r>
        <w:t xml:space="preserve"> </w:t>
      </w:r>
      <m:oMath>
        <m:r>
          <m:t>18</m:t>
        </m:r>
      </m:oMath>
      <w:r>
        <w:t xml:space="preserve"> </w:t>
      </w:r>
      <w:r>
        <w:t xml:space="preserve">participants (</w:t>
      </w:r>
      <m:oMath>
        <m:r>
          <m:t>26</m:t>
        </m:r>
      </m:oMath>
      <w:r>
        <w:t xml:space="preserve">%). For assertiveness assessed with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Post,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from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with reliable recovery from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recovered participants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indicates that the intervention, compared to Waitlist,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in recovery for depressed participants. In addition, a significant number of participants in the Unguided self-help group recovered from symptoms of social anxiety as captured with LSAS-SR,</w:t>
      </w:r>
      <w:r>
        <w:t xml:space="preserve"> </w:t>
      </w:r>
      <m:oMath>
        <m:r>
          <m:t>11</m:t>
        </m:r>
      </m:oMath>
      <w:r>
        <w:t xml:space="preserve"> </w:t>
      </w:r>
      <w:r>
        <w:t xml:space="preserve">participants (</w:t>
      </w:r>
      <m:oMath>
        <m:r>
          <m:t>16</m:t>
        </m:r>
      </m:oMath>
      <w:r>
        <w:t xml:space="preserve">%) at Post, increasing to</w:t>
      </w:r>
      <w:r>
        <w:t xml:space="preserve"> </w:t>
      </w:r>
      <m:oMath>
        <m:r>
          <m:t>14</m:t>
        </m:r>
      </m:oMath>
      <w:r>
        <w:t xml:space="preserve"> </w:t>
      </w:r>
      <w:r>
        <w:t xml:space="preserve">participants (</w:t>
      </w:r>
      <m:oMath>
        <m:r>
          <m:t>21</m:t>
        </m:r>
      </m:oMath>
      <w:r>
        <w:t xml:space="preserve">%) at Follow-up. In the Guided self-help condition, there was no significant number of recovered participants compared to Waitlist at Post, but</w:t>
      </w:r>
      <w:r>
        <w:t xml:space="preserve"> </w:t>
      </w:r>
      <m:oMath>
        <m:r>
          <m:t>18</m:t>
        </m:r>
      </m:oMath>
      <w:r>
        <w:t xml:space="preserve"> </w:t>
      </w:r>
      <w:r>
        <w:t xml:space="preserve">participants (</w:t>
      </w:r>
      <m:oMath>
        <m:r>
          <m:t>26</m:t>
        </m:r>
      </m:oMath>
      <w:r>
        <w:t xml:space="preserve">%) at Follow-up. In other words, symptoms of social anxiety subsided in the year following treatment, to the point that a meaningful number of participants had recovered. Combined with the clinically relevant recovery to functional levels of assertive behavior measured with AAA-S Adaptive and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of the adverse outcome categories (see Table 3), a significant difference between groups in clinical significant change was found for the AAA-S Aggressive measure,</w:t>
      </w:r>
      <w:r>
        <w:t xml:space="preserve"> </w:t>
      </w:r>
      <w:r>
        <w:t xml:space="preserve"> </w:t>
      </w:r>
      <w:r>
        <w:t xml:space="preserve">as</w:t>
      </w:r>
      <w:r>
        <w:t xml:space="preserve"> </w:t>
      </w:r>
      <m:oMath>
        <m:r>
          <m:t>3</m:t>
        </m:r>
      </m:oMath>
      <w:r>
        <w:t xml:space="preserve"> </w:t>
      </w:r>
      <w:r>
        <w:t xml:space="preserve">participants (</w:t>
      </w:r>
      <m:oMath>
        <m:r>
          <m:t>4</m:t>
        </m:r>
      </m:oMath>
      <w:r>
        <w:t xml:space="preserve">%) had fallen below the threshold for</w:t>
      </w:r>
      <w:r>
        <w:t xml:space="preserve"> </w:t>
      </w:r>
      <w:r>
        <w:t xml:space="preserve">‘</w:t>
      </w:r>
      <w:r>
        <w:t xml:space="preserve">Harmed</w:t>
      </w:r>
      <w:r>
        <w:t xml:space="preserve">’</w:t>
      </w:r>
      <w:r>
        <w:t xml:space="preserve"> </w:t>
      </w:r>
      <w:r>
        <w:t xml:space="preserve">while waiting to begin treatment.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second to worst category in assessing reliable change is</w:t>
      </w:r>
      <w:r>
        <w:t xml:space="preserve"> </w:t>
      </w:r>
      <w:r>
        <w:t xml:space="preserve">‘</w:t>
      </w:r>
      <w:r>
        <w:t xml:space="preserve">Deteriorated</w:t>
      </w:r>
      <w:r>
        <w:t xml:space="preserve">’</w:t>
      </w:r>
      <w:r>
        <w:t xml:space="preserve">;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Applying the</w:t>
      </w:r>
      <w:r>
        <w:t xml:space="preserve"> </w:t>
      </w:r>
      <w:r>
        <w:t xml:space="preserve">‘</w:t>
      </w:r>
      <w:r>
        <w:t xml:space="preserve">Worsened</w:t>
      </w:r>
      <w:r>
        <w:t xml:space="preserve">’</w:t>
      </w:r>
      <w:r>
        <w:t xml:space="preserve"> </w:t>
      </w:r>
      <w:r>
        <w:t xml:space="preserve">portmanteau category, a significant difference between groups for LSAS-SR was found,</w:t>
      </w:r>
      <w:r>
        <w:t xml:space="preserve"> </w:t>
      </w:r>
      <w:r>
        <w:t xml:space="preserve"> </w:t>
      </w:r>
      <w:r>
        <w:t xml:space="preserve">meriting a follow-up pairwise comparison. It revealed that the 7 participants (</w:t>
      </w:r>
      <m:oMath>
        <m:r>
          <m:t>10</m:t>
        </m:r>
      </m:oMath>
      <w:r>
        <w:t xml:space="preserve">) in the Waitlist condition that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significantly larger than the corresponding number in the Guided self-help group.</w:t>
      </w:r>
      <w:r>
        <w:t xml:space="preserve"> </w:t>
      </w:r>
      <w:r>
        <w:t xml:space="preserve"> </w:t>
      </w:r>
      <w:r>
        <w:t xml:space="preserve"> </w:t>
      </w:r>
      <w:r>
        <w:t xml:space="preserve">The same held true comparing Pre to Follow-up,</w:t>
      </w:r>
      <w:r>
        <w:t xml:space="preserve"> </w:t>
      </w:r>
      <w:r>
        <w:t xml:space="preserve"> </w:t>
      </w:r>
      <w:r>
        <w:t xml:space="preserve">where these</w:t>
      </w:r>
      <w:r>
        <w:t xml:space="preserve"> </w:t>
      </w:r>
      <m:oMath>
        <m:r>
          <m:t>7</m:t>
        </m:r>
      </m:oMath>
      <w:r>
        <w:t xml:space="preserve"> </w:t>
      </w:r>
      <w:r>
        <w:t xml:space="preserve">individuals were significantly more than the number of worsened participants in both the Unguided self-help group</w:t>
      </w:r>
      <w:r>
        <w:t xml:space="preserve"> </w:t>
      </w:r>
      <w:r>
        <w:t xml:space="preserve"> </w:t>
      </w:r>
      <w:r>
        <w:t xml:space="preserve"> </w:t>
      </w:r>
      <w:r>
        <w:t xml:space="preserve">and the Guided self-help group.</w:t>
      </w:r>
      <w:r>
        <w:t xml:space="preserve"> </w:t>
      </w:r>
      <w:r>
        <w:t xml:space="preserve"> </w:t>
      </w:r>
      <w:r>
        <w:t xml:space="preserve">Finally, a difference between groups was found for PHQ-9,</w:t>
      </w:r>
      <w:r>
        <w:t xml:space="preserve"> </w:t>
      </w:r>
      <w:r>
        <w:t xml:space="preserve"> </w:t>
      </w:r>
      <w:r>
        <w:t xml:space="preserve">with post hoc testing revealing a difference for the Guided self-help group, with 12 worsened participants (</w:t>
      </w:r>
      <m:oMath>
        <m:r>
          <m:t>18</m:t>
        </m:r>
      </m:oMath>
      <w:r>
        <w:t xml:space="preserve">).</w:t>
      </w:r>
      <w:r>
        <w:t xml:space="preserve"> </w:t>
      </w:r>
      <w:r>
        <w:t xml:space="preserve"> </w:t>
      </w:r>
      <w:r>
        <w:t xml:space="preserve">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w:t>
      </w:r>
    </w:p>
    <w:bookmarkEnd w:id="54"/>
    <w:bookmarkEnd w:id="55"/>
    <w:bookmarkEnd w:id="56"/>
    <w:bookmarkEnd w:id="57"/>
    <w:bookmarkStart w:id="153" w:name="discussion"/>
    <w:p>
      <w:pPr>
        <w:pStyle w:val="Heading1"/>
      </w:pPr>
      <w:r>
        <w:t xml:space="preserve">Discussion</w:t>
      </w:r>
    </w:p>
    <w:p>
      <w:pPr>
        <w:pStyle w:val="FirstParagraph"/>
      </w:pPr>
      <w:r>
        <w:t xml:space="preserve">This randomized control trial brings up-to-date empirical data on a trans-diagnostic intervention targeting assertiveness, Respekt</w:t>
      </w:r>
      <w:r>
        <w:rPr>
          <w:vertAlign w:val="superscript"/>
        </w:rPr>
        <w:t xml:space="preserve">2</w:t>
      </w:r>
      <w:r>
        <w:t xml:space="preserve">, providing evidence for its effects on assertive behavior and on symptoms of psychiatric disorders. Having been mostly ignored as a construct in clincical research since the 1990’s, despite its rich history as the target in the very first behavioral therapies of the 1950’s,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large between-group effects on assertiveness measured with AAA-S Adaptive and the RAS at Follow-up in the Unguided self-help condition,</w:t>
      </w:r>
      <w:r>
        <w:t xml:space="preserve"> </w:t>
      </w:r>
      <m:oMath>
        <m:r>
          <m:t>E</m:t>
        </m:r>
        <m:r>
          <m:t>S</m:t>
        </m:r>
      </m:oMath>
      <w:r>
        <w:t xml:space="preserve"> </w:t>
      </w:r>
      <w:r>
        <w:t xml:space="preserve">=</w:t>
      </w:r>
      <w:r>
        <w:t xml:space="preserve"> </w:t>
      </w:r>
      <m:oMath>
        <m:r>
          <m:t>1.30</m:t>
        </m:r>
      </m:oMath>
      <w:r>
        <w:t xml:space="preserve"> </w:t>
      </w:r>
      <w:r>
        <w:t xml:space="preserve">and</w:t>
      </w:r>
      <w:r>
        <w:t xml:space="preserve"> </w:t>
      </w:r>
      <m:oMath>
        <m:r>
          <m:t>E</m:t>
        </m:r>
        <m:r>
          <m:t>S</m:t>
        </m:r>
      </m:oMath>
      <w:r>
        <w:t xml:space="preserve"> </w:t>
      </w:r>
      <w:r>
        <w:t xml:space="preserve">=</w:t>
      </w:r>
      <w:r>
        <w:t xml:space="preserve"> </w:t>
      </w:r>
      <m:oMath>
        <m:r>
          <m:t>1.35</m:t>
        </m:r>
      </m:oMath>
      <w:r>
        <w:t xml:space="preserve">,</w:t>
      </w:r>
      <w:r>
        <w:t xml:space="preserve"> </w:t>
      </w:r>
      <w:r>
        <w:t xml:space="preserve"> </w:t>
      </w:r>
      <w:r>
        <w:t xml:space="preserve">and insignificantly larger effects</w:t>
      </w:r>
      <w:r>
        <w:t xml:space="preserve"> </w:t>
      </w:r>
      <w:r>
        <w:t xml:space="preserve"> </w:t>
      </w:r>
      <w:r>
        <w:t xml:space="preserve">in the Guided group, are comparable to those found in clinical trials of iCBT interventions for other trans-diagnostic behavioral targets. Benchmarking against procrastination</w:t>
      </w:r>
      <w:r>
        <w:t xml:space="preserve"> </w:t>
      </w:r>
      <w:r>
        <w:t xml:space="preserve">(</w:t>
      </w:r>
      <m:oMath>
        <m:r>
          <m:t>d</m:t>
        </m:r>
      </m:oMath>
      <w:r>
        <w:t xml:space="preserve"> </w:t>
      </w:r>
      <w:r>
        <w:t xml:space="preserve">=</w:t>
      </w:r>
      <w:r>
        <w:t xml:space="preserve"> </w:t>
      </w:r>
      <m:oMath>
        <m:r>
          <m:t>.50</m:t>
        </m:r>
      </m:oMath>
      <w:r>
        <w:t xml:space="preserve">–</w:t>
      </w:r>
      <m:oMath>
        <m:r>
          <m:t>.69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.70</m:t>
        </m:r>
      </m:oMath>
      <w:r>
        <w:t xml:space="preserve">–</w:t>
      </w:r>
      <m:oMath>
        <m:r>
          <m:t>.81</m:t>
        </m:r>
      </m:oMath>
      <w:r>
        <w:t xml:space="preserve"> </w:t>
      </w:r>
      <w:r>
        <w:t xml:space="preserve">and</w:t>
      </w:r>
      <w:r>
        <w:t xml:space="preserve"> </w:t>
      </w:r>
      <m:oMath>
        <m:r>
          <m:t>31</m:t>
        </m:r>
      </m:oMath>
      <w:r>
        <w:t xml:space="preserve">–</w:t>
      </w:r>
      <m:oMath>
        <m:r>
          <m:t>40</m:t>
        </m:r>
      </m:oMath>
      <w:r>
        <w:t xml:space="preserve">% clinically improved in a guided group;</w:t>
      </w:r>
      <w:r>
        <w:t xml:space="preserve"> </w:t>
      </w:r>
      <w:hyperlink w:anchor="ref-Rozental2015">
        <w:r>
          <w:rPr>
            <w:rStyle w:val="Hyperlink"/>
          </w:rPr>
          <w:t xml:space="preserve">Rozental et al., 2015</w:t>
        </w:r>
      </w:hyperlink>
      <w:r>
        <w:t xml:space="preserve">)</w:t>
      </w:r>
      <w:r>
        <w:t xml:space="preserve">, and perfectionism</w:t>
      </w:r>
      <w:r>
        <w:t xml:space="preserve"> </w:t>
      </w:r>
      <w:r>
        <w:t xml:space="preserve">(</w:t>
      </w:r>
      <m:oMath>
        <m:r>
          <m:t>d</m:t>
        </m:r>
      </m:oMath>
      <w:r>
        <w:t xml:space="preserve"> </w:t>
      </w:r>
      <w:r>
        <w:t xml:space="preserve">=</w:t>
      </w:r>
      <w:r>
        <w:t xml:space="preserve"> </w:t>
      </w:r>
      <m:oMath>
        <m:r>
          <m:t>.68</m:t>
        </m:r>
      </m:oMath>
      <w:r>
        <w:t xml:space="preserve">–</w:t>
      </w:r>
      <m:oMath>
        <m:r>
          <m:t>1.00</m:t>
        </m:r>
      </m:oMath>
      <w:r>
        <w:t xml:space="preserve">, with</w:t>
      </w:r>
      <w:r>
        <w:t xml:space="preserve"> </w:t>
      </w:r>
      <m:oMath>
        <m:r>
          <m:t>45</m:t>
        </m:r>
      </m:oMath>
      <w:r>
        <w:t xml:space="preserve">% of participants clinically improved in a guided group;</w:t>
      </w:r>
      <w:r>
        <w:t xml:space="preserve"> </w:t>
      </w:r>
      <w:hyperlink w:anchor="ref-Rozental2017">
        <w:r>
          <w:rPr>
            <w:rStyle w:val="Hyperlink"/>
          </w:rPr>
          <w:t xml:space="preserve">Rozental et al., 2017</w:t>
        </w:r>
      </w:hyperlink>
      <w:r>
        <w:t xml:space="preserve">)</w:t>
      </w:r>
      <w:r>
        <w:t xml:space="preserve">, these results indicate that the assertiveness construct can be used successfully as a target in behavior therapy with various clinical presentations, helping participants appreciate and report changes in healthy assertion levels in their daily lives.</w:t>
      </w:r>
    </w:p>
    <w:p>
      <w:pPr>
        <w:pStyle w:val="BodyText"/>
      </w:pPr>
      <w:r>
        <w:t xml:space="preserve">It should be noted that there was no significant effects, nor any statistically significant number of clinically changed participants at either Post or Follow-up, for AAA-S Aggressive. This should not be surprising, however, since the operationalization of aggressive assertiveness is fuzzy and prone to individual differences in interpretation; behavior that one person deems to be aggressive assertion might be healthy assertion to another.</w:t>
      </w:r>
      <w:r>
        <w:t xml:space="preserve"> </w:t>
      </w:r>
      <w:r>
        <w:t xml:space="preserve"> </w:t>
      </w:r>
      <w:r>
        <w:t xml:space="preserve">Likewise, what counts as healthy assertion in one specific societal/cultural context might be perceived as normatively aggressive in another</w:t>
      </w:r>
      <w:r>
        <w:t xml:space="preserve"> </w:t>
      </w:r>
      <w:r>
        <w:t xml:space="preserve">(</w:t>
      </w:r>
      <w:hyperlink w:anchor="ref-Mitamura2018">
        <w:r>
          <w:rPr>
            <w:rStyle w:val="Hyperlink"/>
          </w:rPr>
          <w:t xml:space="preserve">Mitamura, 2018</w:t>
        </w:r>
      </w:hyperlink>
      <w:r>
        <w:t xml:space="preserve">)</w:t>
      </w:r>
      <w:r>
        <w:t xml:space="preserve">. Therefore, for a particular individual in a particular context, it is probably warranted to track only how the relationship between levels of adaptive and aggressive assertiveness change over time, taking into account that individual’s idiographic goals in therapy. This topic may well be further explored in future studies.</w:t>
      </w:r>
    </w:p>
    <w:p>
      <w:pPr>
        <w:pStyle w:val="BodyText"/>
      </w:pPr>
      <w:r>
        <w:t xml:space="preserve">The effects at Follow-up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and on depression,</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 The current intervention was insufficient in ameliorating symptoms of generalized anxiety, however.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in addressing symptoms of generalized anxiety where non-commitment to exposure and behavioral rigidity often are important first hurdles to overcome.</w:t>
      </w:r>
    </w:p>
    <w:bookmarkStart w:id="58" w:name="limitations-and-future-directions"/>
    <w:p>
      <w:pPr>
        <w:pStyle w:val="Heading2"/>
      </w:pPr>
      <w:r>
        <w:t xml:space="preserve">Limitations and future directions</w:t>
      </w:r>
    </w:p>
    <w:p>
      <w:pPr>
        <w:pStyle w:val="FirstParagraph"/>
      </w:pPr>
      <w:r>
        <w:t xml:space="preserve">The study design has a number of limitations that impairs the generalizability of the findings to the population at large. In studies of iCBT, the recruitment method is one of the most important factors influencing the symptom burden of the sample under investigation</w:t>
      </w:r>
      <w:r>
        <w:t xml:space="preserve"> </w:t>
      </w:r>
      <w:r>
        <w:t xml:space="preserve">(</w:t>
      </w:r>
      <w:hyperlink w:anchor="ref-Lindner2015">
        <w:r>
          <w:rPr>
            <w:rStyle w:val="Hyperlink"/>
          </w:rPr>
          <w:t xml:space="preserve">Lindner et al., 2015</w:t>
        </w:r>
      </w:hyperlink>
      <w:r>
        <w:t xml:space="preserve">)</w:t>
      </w:r>
      <w:r>
        <w:t xml:space="preserve">. The recruitment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back-translation, somewhat impairing the ability to compare findings with the norms for the English-speaking populations where the scales were originally validated. The Swedish adaptations of the RAS and AAA-S scales should be quality controlled with back-translation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w:t>
      </w:r>
      <w:hyperlink w:anchor="ref-Furukawa2014">
        <w:r>
          <w:rPr>
            <w:rStyle w:val="Hyperlink"/>
          </w:rPr>
          <w:t xml:space="preserve">Furukawa et al., 2014</w:t>
        </w:r>
      </w:hyperlink>
      <w:r>
        <w:t xml:space="preserve">)</w:t>
      </w:r>
      <w:r>
        <w:t xml:space="preserve">, which in turn risks inflating between 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and Post time points was used for the Follow-up comparison (in effect underestimating rather than overestimating the difference). In any future studies, researchers would be wise to employ an active wait-list condition, such as participation in a discussion forum, lest running the risk of artificially inflated effect sizes</w:t>
      </w:r>
      <w:r>
        <w:t xml:space="preserve"> </w:t>
      </w:r>
      <w:r>
        <w:t xml:space="preserve">(</w:t>
      </w:r>
      <w:hyperlink w:anchor="ref-Cuijpers2016">
        <w:r>
          <w:rPr>
            <w:rStyle w:val="Hyperlink"/>
          </w:rPr>
          <w:t xml:space="preserve">Cuijpers et al., 2016</w:t>
        </w:r>
      </w:hyperlink>
      <w:r>
        <w:t xml:space="preserve">)</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called for to add a third level to the model, to control for therapist factors.</w:t>
      </w:r>
    </w:p>
    <w:p>
      <w:pPr>
        <w:pStyle w:val="BodyText"/>
      </w:pPr>
      <w:r>
        <w:t xml:space="preserve">Along with the third wave of CBT, trans-diagnostic behavioral approach goals have gained ground, i.e., those captured with the Valued Living Questionnaire</w:t>
      </w:r>
      <w:r>
        <w:t xml:space="preserve"> </w:t>
      </w:r>
      <w:r>
        <w:t xml:space="preserve">(VLQ;</w:t>
      </w:r>
      <w:r>
        <w:t xml:space="preserve"> </w:t>
      </w:r>
      <w:hyperlink w:anchor="ref-Wilson2010">
        <w:r>
          <w:rPr>
            <w:rStyle w:val="Hyperlink"/>
          </w:rPr>
          <w:t xml:space="preserve">Wilson et al., 2010</w:t>
        </w:r>
      </w:hyperlink>
      <w:r>
        <w:t xml:space="preserve">)</w:t>
      </w:r>
      <w:r>
        <w:t xml:space="preserve">, the Acceptance and Action Questionnaire</w:t>
      </w:r>
      <w:r>
        <w:t xml:space="preserve"> </w:t>
      </w:r>
      <w:r>
        <w:t xml:space="preserve">(AAQ-II;</w:t>
      </w:r>
      <w:r>
        <w:t xml:space="preserve"> </w:t>
      </w:r>
      <w:hyperlink w:anchor="ref-Fledderus2012">
        <w:r>
          <w:rPr>
            <w:rStyle w:val="Hyperlink"/>
          </w:rPr>
          <w:t xml:space="preserve">Fledderus et al., 2012</w:t>
        </w:r>
      </w:hyperlink>
      <w:r>
        <w:t xml:space="preserve">;</w:t>
      </w:r>
      <w:r>
        <w:t xml:space="preserve"> </w:t>
      </w:r>
      <w:hyperlink w:anchor="ref-Lundgren2016">
        <w:r>
          <w:rPr>
            <w:rStyle w:val="Hyperlink"/>
          </w:rPr>
          <w:t xml:space="preserve">Lundgren &amp; Parling, 2017</w:t>
        </w:r>
      </w:hyperlink>
      <w:r>
        <w:t xml:space="preserve">)</w:t>
      </w:r>
      <w:r>
        <w:t xml:space="preserve">, or more generally, the Process-Based Assessment Tool</w:t>
      </w:r>
      <w:r>
        <w:t xml:space="preserve"> </w:t>
      </w:r>
      <w:r>
        <w:t xml:space="preserve">(PBAT;</w:t>
      </w:r>
      <w:r>
        <w:t xml:space="preserve"> </w:t>
      </w:r>
      <w:hyperlink w:anchor="ref-Ciarrochi2022">
        <w:r>
          <w:rPr>
            <w:rStyle w:val="Hyperlink"/>
          </w:rPr>
          <w:t xml:space="preserve">Ciarrochi et al., 2022</w:t>
        </w:r>
      </w:hyperlink>
      <w:r>
        <w:t xml:space="preserve">)</w:t>
      </w:r>
      <w:r>
        <w:t xml:space="preserve">. Further exploration of how the pursuit of healthy assertion goals might influence these and other similar constructs could illuminate what goals are best suited for different patients (or populations), to find acceptable targets that can help</w:t>
      </w:r>
      <w:r>
        <w:t xml:space="preserve"> </w:t>
      </w:r>
      <w:r>
        <w:t xml:space="preserve">“</w:t>
      </w:r>
      <w:r>
        <w:t xml:space="preserve">short circuit</w:t>
      </w:r>
      <w:r>
        <w:t xml:space="preserve">”</w:t>
      </w:r>
      <w:r>
        <w:t xml:space="preserve"> </w:t>
      </w:r>
      <w:r>
        <w:t xml:space="preserve">verbally expressed defenses head-on and thus increase the likelihood of engagement in new learning in CBT. Rhetorically, who doesn’t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sample. The intervention did not have an immediate effect on generalized anxiety or depression, although there was some within-group evidence for beneficial longer-term effects on depression. Overall, the findings demonstrate that assertiveness is a potentially useful target in CBT and iCBT, in the treatment of both psychiatric syndromes and non-syndromal problems in living, calling for more research on the construct in various applications.</w:t>
      </w:r>
    </w:p>
    <w:bookmarkEnd w:id="58"/>
    <w:bookmarkStart w:id="152" w:name="references"/>
    <w:p>
      <w:pPr>
        <w:pStyle w:val="Heading2"/>
      </w:pPr>
      <w:r>
        <w:t xml:space="preserve">References</w:t>
      </w:r>
    </w:p>
    <w:bookmarkStart w:id="151" w:name="refs"/>
    <w:bookmarkStart w:id="59"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9"/>
    <w:bookmarkStart w:id="60"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0"/>
    <w:bookmarkStart w:id="62"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1">
        <w:r>
          <w:rPr>
            <w:rStyle w:val="Hyperlink"/>
          </w:rPr>
          <w:t xml:space="preserve">https://doi.org/10.1016/j.janxdis.2018.01.001</w:t>
        </w:r>
      </w:hyperlink>
    </w:p>
    <w:bookmarkEnd w:id="62"/>
    <w:bookmarkStart w:id="64"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3">
        <w:r>
          <w:rPr>
            <w:rStyle w:val="Hyperlink"/>
          </w:rPr>
          <w:t xml:space="preserve">https://doi.org/10.1371/journal.pone.0230169</w:t>
        </w:r>
      </w:hyperlink>
    </w:p>
    <w:bookmarkEnd w:id="64"/>
    <w:bookmarkStart w:id="66"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5">
        <w:r>
          <w:rPr>
            <w:rStyle w:val="Hyperlink"/>
          </w:rPr>
          <w:t xml:space="preserve">https://doi.org/10.4018/978-1-4666-5942-1</w:t>
        </w:r>
      </w:hyperlink>
    </w:p>
    <w:bookmarkEnd w:id="66"/>
    <w:bookmarkStart w:id="68"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7">
        <w:r>
          <w:rPr>
            <w:rStyle w:val="Hyperlink"/>
          </w:rPr>
          <w:t xml:space="preserve">https://doi.org/10.1016/j.invent.2014.08.003</w:t>
        </w:r>
      </w:hyperlink>
    </w:p>
    <w:bookmarkEnd w:id="68"/>
    <w:bookmarkStart w:id="69"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9"/>
    <w:bookmarkStart w:id="71"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0">
        <w:r>
          <w:rPr>
            <w:rStyle w:val="Hyperlink"/>
          </w:rPr>
          <w:t xml:space="preserve">https://doi.org/10.1080/16506073.2017.1401115</w:t>
        </w:r>
      </w:hyperlink>
    </w:p>
    <w:bookmarkEnd w:id="71"/>
    <w:bookmarkStart w:id="73"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2">
        <w:r>
          <w:rPr>
            <w:rStyle w:val="Hyperlink"/>
          </w:rPr>
          <w:t xml:space="preserve">https://doi.org/10.1146/annurev.psych.52.1.685</w:t>
        </w:r>
      </w:hyperlink>
    </w:p>
    <w:bookmarkEnd w:id="73"/>
    <w:bookmarkStart w:id="75" w:name="ref-Ciarrochi2022"/>
    <w:p>
      <w:pPr>
        <w:pStyle w:val="Bibliography"/>
      </w:pPr>
      <w:r>
        <w:t xml:space="preserve">Ciarrochi, J., Sahdra, B., Hofmann, S. G., &amp; Hayes, S. C. (2022). Developing an item pool to assess processes of change in psychological interventions: The process-based assessment tool (PBAT).</w:t>
      </w:r>
      <w:r>
        <w:t xml:space="preserve"> </w:t>
      </w:r>
      <w:r>
        <w:rPr>
          <w:iCs/>
          <w:i/>
        </w:rPr>
        <w:t xml:space="preserve">Journal of Contextual Behavioral Science</w:t>
      </w:r>
      <w:r>
        <w:t xml:space="preserve">,</w:t>
      </w:r>
      <w:r>
        <w:t xml:space="preserve"> </w:t>
      </w:r>
      <w:r>
        <w:rPr>
          <w:iCs/>
          <w:i/>
        </w:rPr>
        <w:t xml:space="preserve">23</w:t>
      </w:r>
      <w:r>
        <w:t xml:space="preserve">, 200–213.</w:t>
      </w:r>
      <w:r>
        <w:t xml:space="preserve"> </w:t>
      </w:r>
      <w:hyperlink r:id="rId74">
        <w:r>
          <w:rPr>
            <w:rStyle w:val="Hyperlink"/>
          </w:rPr>
          <w:t xml:space="preserve">https://doi.org/10.1016/j.jcbs.2022.02.001</w:t>
        </w:r>
      </w:hyperlink>
    </w:p>
    <w:bookmarkEnd w:id="75"/>
    <w:bookmarkStart w:id="77"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6">
        <w:r>
          <w:rPr>
            <w:rStyle w:val="Hyperlink"/>
          </w:rPr>
          <w:t xml:space="preserve">https://doi.org/10.1016/0005-7967(86)90011-2</w:t>
        </w:r>
      </w:hyperlink>
    </w:p>
    <w:bookmarkEnd w:id="77"/>
    <w:bookmarkStart w:id="78"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8"/>
    <w:bookmarkStart w:id="80"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9">
        <w:r>
          <w:rPr>
            <w:rStyle w:val="Hyperlink"/>
          </w:rPr>
          <w:t xml:space="preserve">https://CRAN.R-project.org/package=clinicalsignificance</w:t>
        </w:r>
      </w:hyperlink>
    </w:p>
    <w:bookmarkEnd w:id="80"/>
    <w:bookmarkStart w:id="81"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1"/>
    <w:bookmarkStart w:id="83"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2">
        <w:r>
          <w:rPr>
            <w:rStyle w:val="Hyperlink"/>
          </w:rPr>
          <w:t xml:space="preserve">https://doi.org/10.1016/j.brat.2007.10.003</w:t>
        </w:r>
      </w:hyperlink>
    </w:p>
    <w:bookmarkEnd w:id="83"/>
    <w:bookmarkStart w:id="85"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84">
        <w:r>
          <w:rPr>
            <w:rStyle w:val="Hyperlink"/>
          </w:rPr>
          <w:t xml:space="preserve">https://doi.org/10.1002/wps.20346</w:t>
        </w:r>
      </w:hyperlink>
    </w:p>
    <w:bookmarkEnd w:id="85"/>
    <w:bookmarkStart w:id="87"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6">
        <w:r>
          <w:rPr>
            <w:rStyle w:val="Hyperlink"/>
          </w:rPr>
          <w:t xml:space="preserve">https://doi.org/10.1016/j.brat.2013.03.003</w:t>
        </w:r>
      </w:hyperlink>
    </w:p>
    <w:bookmarkEnd w:id="87"/>
    <w:bookmarkStart w:id="88"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8"/>
    <w:bookmarkStart w:id="90" w:name="ref-Fledderus2012"/>
    <w:p>
      <w:pPr>
        <w:pStyle w:val="Bibliography"/>
      </w:pPr>
      <w:r>
        <w:t xml:space="preserve">Fledderus, M., Voshaar, M. A. H. O., Klooster, P. M. ten, &amp; Bohlmeijer, E. T. (2012). Further evaluation of the psychometric properties of the acceptance and action questionnaire–II.</w:t>
      </w:r>
      <w:r>
        <w:t xml:space="preserve"> </w:t>
      </w:r>
      <w:r>
        <w:rPr>
          <w:iCs/>
          <w:i/>
        </w:rPr>
        <w:t xml:space="preserve">Psychological Assessment</w:t>
      </w:r>
      <w:r>
        <w:t xml:space="preserve">,</w:t>
      </w:r>
      <w:r>
        <w:t xml:space="preserve"> </w:t>
      </w:r>
      <w:r>
        <w:rPr>
          <w:iCs/>
          <w:i/>
        </w:rPr>
        <w:t xml:space="preserve">24</w:t>
      </w:r>
      <w:r>
        <w:t xml:space="preserve">, 925–936.</w:t>
      </w:r>
      <w:r>
        <w:t xml:space="preserve"> </w:t>
      </w:r>
      <w:hyperlink r:id="rId89">
        <w:r>
          <w:rPr>
            <w:rStyle w:val="Hyperlink"/>
          </w:rPr>
          <w:t xml:space="preserve">https://doi.org/10.1037/a0028200</w:t>
        </w:r>
      </w:hyperlink>
    </w:p>
    <w:bookmarkEnd w:id="90"/>
    <w:bookmarkStart w:id="92"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91">
        <w:r>
          <w:rPr>
            <w:rStyle w:val="Hyperlink"/>
          </w:rPr>
          <w:t xml:space="preserve">https://doi.org/10.1017/S0033291701004056</w:t>
        </w:r>
      </w:hyperlink>
    </w:p>
    <w:bookmarkEnd w:id="92"/>
    <w:bookmarkStart w:id="94"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93">
        <w:r>
          <w:rPr>
            <w:rStyle w:val="Hyperlink"/>
          </w:rPr>
          <w:t xml:space="preserve">https://doi.org/10.1111/acps.12275</w:t>
        </w:r>
      </w:hyperlink>
    </w:p>
    <w:bookmarkEnd w:id="94"/>
    <w:bookmarkStart w:id="95"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5"/>
    <w:bookmarkStart w:id="97"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6">
        <w:r>
          <w:rPr>
            <w:rStyle w:val="Hyperlink"/>
          </w:rPr>
          <w:t xml:space="preserve">https://www.random.org</w:t>
        </w:r>
      </w:hyperlink>
      <w:r>
        <w:t xml:space="preserve">.</w:t>
      </w:r>
    </w:p>
    <w:bookmarkEnd w:id="97"/>
    <w:bookmarkStart w:id="99"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8">
        <w:r>
          <w:rPr>
            <w:rStyle w:val="Hyperlink"/>
          </w:rPr>
          <w:t xml:space="preserve">https://doi.org/10.1016/S0005-7894(04)80013-3</w:t>
        </w:r>
      </w:hyperlink>
    </w:p>
    <w:bookmarkEnd w:id="99"/>
    <w:bookmarkStart w:id="101"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100">
        <w:r>
          <w:rPr>
            <w:rStyle w:val="Hyperlink"/>
          </w:rPr>
          <w:t xml:space="preserve">https://doi.org/10.1007/s10608-012-9476-1</w:t>
        </w:r>
      </w:hyperlink>
    </w:p>
    <w:bookmarkEnd w:id="101"/>
    <w:bookmarkStart w:id="102" w:name="ref-Hull1978"/>
    <w:p>
      <w:pPr>
        <w:pStyle w:val="Bibliography"/>
      </w:pPr>
      <w:r>
        <w:t xml:space="preserve">Hull, D. B., &amp; Hull, J. H. (1978). Rathus assertiveness schedule: Normative and factor-analytic data. In</w:t>
      </w:r>
      <w:r>
        <w:t xml:space="preserve"> </w:t>
      </w:r>
      <w:r>
        <w:rPr>
          <w:iCs/>
          <w:i/>
        </w:rPr>
        <w:t xml:space="preserve">BEHAVIOR THERAPY</w:t>
      </w:r>
      <w:r>
        <w:t xml:space="preserve"> </w:t>
      </w:r>
      <w:r>
        <w:t xml:space="preserve">(Vol. 9, p. 673).</w:t>
      </w:r>
    </w:p>
    <w:bookmarkEnd w:id="102"/>
    <w:bookmarkStart w:id="10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103"/>
    <w:bookmarkStart w:id="10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104">
        <w:r>
          <w:rPr>
            <w:rStyle w:val="Hyperlink"/>
          </w:rPr>
          <w:t xml:space="preserve">https://doi.org/10.1016/j.genhosppsych.2010.03.006</w:t>
        </w:r>
      </w:hyperlink>
    </w:p>
    <w:bookmarkEnd w:id="105"/>
    <w:bookmarkStart w:id="10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6">
        <w:r>
          <w:rPr>
            <w:rStyle w:val="Hyperlink"/>
          </w:rPr>
          <w:t xml:space="preserve">https://github.com/runehaubo/lmerTestR</w:t>
        </w:r>
      </w:hyperlink>
    </w:p>
    <w:bookmarkEnd w:id="107"/>
    <w:bookmarkStart w:id="10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8">
        <w:r>
          <w:rPr>
            <w:rStyle w:val="Hyperlink"/>
          </w:rPr>
          <w:t xml:space="preserve">https://cran.r-project.org/package=emmeans</w:t>
        </w:r>
      </w:hyperlink>
    </w:p>
    <w:bookmarkEnd w:id="109"/>
    <w:bookmarkStart w:id="111" w:name="ref-Lindner2015"/>
    <w:p>
      <w:pPr>
        <w:pStyle w:val="Bibliography"/>
      </w:pPr>
      <w:r>
        <w:t xml:space="preserve">Lindner, P., Nyström, M. B. T., Hassmén, P., Andersson, G., &amp; Carlbring, P. (2015). Who seeks ICBT for depression and how do they get there? Effects of recruitment source on patient demographics and clinical characteristics.</w:t>
      </w:r>
      <w:r>
        <w:t xml:space="preserve"> </w:t>
      </w:r>
      <w:r>
        <w:rPr>
          <w:iCs/>
          <w:i/>
        </w:rPr>
        <w:t xml:space="preserve">Internet Interventions</w:t>
      </w:r>
      <w:r>
        <w:t xml:space="preserve">,</w:t>
      </w:r>
      <w:r>
        <w:t xml:space="preserve"> </w:t>
      </w:r>
      <w:r>
        <w:rPr>
          <w:iCs/>
          <w:i/>
        </w:rPr>
        <w:t xml:space="preserve">2</w:t>
      </w:r>
      <w:r>
        <w:t xml:space="preserve">, 221–225.</w:t>
      </w:r>
      <w:r>
        <w:t xml:space="preserve"> </w:t>
      </w:r>
      <w:hyperlink r:id="rId110">
        <w:r>
          <w:rPr>
            <w:rStyle w:val="Hyperlink"/>
          </w:rPr>
          <w:t xml:space="preserve">https://doi.org/10.1016/j.invent.2015.04.002</w:t>
        </w:r>
      </w:hyperlink>
    </w:p>
    <w:bookmarkEnd w:id="111"/>
    <w:bookmarkStart w:id="11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12">
        <w:r>
          <w:rPr>
            <w:rStyle w:val="Hyperlink"/>
          </w:rPr>
          <w:t xml:space="preserve">https://doi.org/10.1016/B978-0-12-404480-7.50013-7</w:t>
        </w:r>
      </w:hyperlink>
    </w:p>
    <w:bookmarkEnd w:id="113"/>
    <w:bookmarkStart w:id="11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14"/>
    <w:bookmarkStart w:id="11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15">
        <w:r>
          <w:rPr>
            <w:rStyle w:val="Hyperlink"/>
          </w:rPr>
          <w:t xml:space="preserve">https://doi.org/10.21105/joss.00772</w:t>
        </w:r>
      </w:hyperlink>
    </w:p>
    <w:bookmarkEnd w:id="116"/>
    <w:bookmarkStart w:id="11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17">
        <w:r>
          <w:rPr>
            <w:rStyle w:val="Hyperlink"/>
          </w:rPr>
          <w:t xml:space="preserve">https://easystats.github.io/performance/</w:t>
        </w:r>
      </w:hyperlink>
    </w:p>
    <w:bookmarkEnd w:id="118"/>
    <w:bookmarkStart w:id="120" w:name="ref-Lundgren2016"/>
    <w:p>
      <w:pPr>
        <w:pStyle w:val="Bibliography"/>
      </w:pPr>
      <w:r>
        <w:t xml:space="preserve">Lundgren, T., &amp; Parling, T. (2017). Swedish acceptance and action questionnaire (SAAQ): A psychometric evaluation.</w:t>
      </w:r>
      <w:r>
        <w:t xml:space="preserve"> </w:t>
      </w:r>
      <w:r>
        <w:rPr>
          <w:iCs/>
          <w:i/>
        </w:rPr>
        <w:t xml:space="preserve">Cognitive Behaviour Therapy</w:t>
      </w:r>
      <w:r>
        <w:t xml:space="preserve">,</w:t>
      </w:r>
      <w:r>
        <w:t xml:space="preserve"> </w:t>
      </w:r>
      <w:r>
        <w:rPr>
          <w:iCs/>
          <w:i/>
        </w:rPr>
        <w:t xml:space="preserve">46</w:t>
      </w:r>
      <w:r>
        <w:t xml:space="preserve">, 315–326.</w:t>
      </w:r>
      <w:r>
        <w:t xml:space="preserve"> </w:t>
      </w:r>
      <w:hyperlink r:id="rId119">
        <w:r>
          <w:rPr>
            <w:rStyle w:val="Hyperlink"/>
          </w:rPr>
          <w:t xml:space="preserve">https://doi.org/10.1080/16506073.2016.1250228</w:t>
        </w:r>
      </w:hyperlink>
    </w:p>
    <w:bookmarkEnd w:id="120"/>
    <w:bookmarkStart w:id="12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21">
        <w:r>
          <w:rPr>
            <w:rStyle w:val="Hyperlink"/>
          </w:rPr>
          <w:t xml:space="preserve">www.cci.health.wa.gov.au/Resources/Looking-After-Yourself/Assertiveness</w:t>
        </w:r>
      </w:hyperlink>
    </w:p>
    <w:bookmarkEnd w:id="122"/>
    <w:bookmarkStart w:id="12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23">
        <w:r>
          <w:rPr>
            <w:rStyle w:val="Hyperlink"/>
          </w:rPr>
          <w:t xml:space="preserve">https://doi.org/10.1111/jpr.12185</w:t>
        </w:r>
      </w:hyperlink>
    </w:p>
    <w:bookmarkEnd w:id="124"/>
    <w:bookmarkStart w:id="125"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25"/>
    <w:bookmarkStart w:id="126"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26"/>
    <w:bookmarkStart w:id="128"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27">
        <w:r>
          <w:rPr>
            <w:rStyle w:val="Hyperlink"/>
          </w:rPr>
          <w:t xml:space="preserve">https://doi.org/10.1016/S0005-7894(73)80120-0</w:t>
        </w:r>
      </w:hyperlink>
    </w:p>
    <w:bookmarkEnd w:id="128"/>
    <w:bookmarkStart w:id="130"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9">
        <w:r>
          <w:rPr>
            <w:rStyle w:val="Hyperlink"/>
          </w:rPr>
          <w:t xml:space="preserve">https://doi.org/10.1037/ccp0000023</w:t>
        </w:r>
      </w:hyperlink>
    </w:p>
    <w:bookmarkEnd w:id="130"/>
    <w:bookmarkStart w:id="132"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31">
        <w:r>
          <w:rPr>
            <w:rStyle w:val="Hyperlink"/>
          </w:rPr>
          <w:t xml:space="preserve">https://doi.org/10.1016/j.brat.2017.05.015</w:t>
        </w:r>
      </w:hyperlink>
    </w:p>
    <w:bookmarkEnd w:id="132"/>
    <w:bookmarkStart w:id="133"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33"/>
    <w:bookmarkStart w:id="135"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34">
        <w:r>
          <w:rPr>
            <w:rStyle w:val="Hyperlink"/>
          </w:rPr>
          <w:t xml:space="preserve">https://sealedenvelope.com/simple-randomiser/v1</w:t>
        </w:r>
      </w:hyperlink>
      <w:r>
        <w:t xml:space="preserve">.</w:t>
      </w:r>
    </w:p>
    <w:bookmarkEnd w:id="135"/>
    <w:bookmarkStart w:id="137" w:name="ref-Sigler2008"/>
    <w:p>
      <w:pPr>
        <w:pStyle w:val="Bibliography"/>
      </w:pPr>
      <w:r>
        <w:t xml:space="preserve">Sigler, K., Burnett, A., &amp; Child, J. T. (2008). A regional analysis of assertiveness.</w:t>
      </w:r>
      <w:r>
        <w:t xml:space="preserve"> </w:t>
      </w:r>
      <w:r>
        <w:rPr>
          <w:iCs/>
          <w:i/>
        </w:rPr>
        <w:t xml:space="preserve">Journal of Intercultural Communication Research</w:t>
      </w:r>
      <w:r>
        <w:t xml:space="preserve">,</w:t>
      </w:r>
      <w:r>
        <w:t xml:space="preserve"> </w:t>
      </w:r>
      <w:r>
        <w:rPr>
          <w:iCs/>
          <w:i/>
        </w:rPr>
        <w:t xml:space="preserve">37</w:t>
      </w:r>
      <w:r>
        <w:t xml:space="preserve">, 89–104.</w:t>
      </w:r>
      <w:r>
        <w:t xml:space="preserve"> </w:t>
      </w:r>
      <w:hyperlink r:id="rId136">
        <w:r>
          <w:rPr>
            <w:rStyle w:val="Hyperlink"/>
          </w:rPr>
          <w:t xml:space="preserve">https://doi.org/10.1080/17475750802533364</w:t>
        </w:r>
      </w:hyperlink>
    </w:p>
    <w:bookmarkEnd w:id="137"/>
    <w:bookmarkStart w:id="13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38"/>
    <w:bookmarkStart w:id="14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39">
        <w:r>
          <w:rPr>
            <w:rStyle w:val="Hyperlink"/>
          </w:rPr>
          <w:t xml:space="preserve">https://doi.org/10.1111/cpsp.12216</w:t>
        </w:r>
      </w:hyperlink>
    </w:p>
    <w:bookmarkEnd w:id="140"/>
    <w:bookmarkStart w:id="14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41">
        <w:r>
          <w:rPr>
            <w:rStyle w:val="Hyperlink"/>
          </w:rPr>
          <w:t xml:space="preserve">https://doi.org/10.1001/archinte.166.10.1092</w:t>
        </w:r>
      </w:hyperlink>
    </w:p>
    <w:bookmarkEnd w:id="142"/>
    <w:bookmarkStart w:id="14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43">
        <w:r>
          <w:rPr>
            <w:rStyle w:val="Hyperlink"/>
          </w:rPr>
          <w:t xml:space="preserve">https://doi.org/10.1007/s10862-011-9226-9</w:t>
        </w:r>
      </w:hyperlink>
    </w:p>
    <w:bookmarkEnd w:id="144"/>
    <w:bookmarkStart w:id="14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45">
        <w:r>
          <w:rPr>
            <w:rStyle w:val="Hyperlink"/>
          </w:rPr>
          <w:t xml:space="preserve">https://doi.org/10.1007/s10942-018-0296-4</w:t>
        </w:r>
      </w:hyperlink>
    </w:p>
    <w:bookmarkEnd w:id="146"/>
    <w:bookmarkStart w:id="147" w:name="ref-Wilson2010"/>
    <w:p>
      <w:pPr>
        <w:pStyle w:val="Bibliography"/>
      </w:pPr>
      <w:r>
        <w:t xml:space="preserve">Wilson, K. G., Sandoz, E. K., Kitchens, J., &amp; Roberts, M. (2010). The valued living questionnaire: Defining and measuring valued action within a behavioral framework. In</w:t>
      </w:r>
      <w:r>
        <w:t xml:space="preserve"> </w:t>
      </w:r>
      <w:r>
        <w:rPr>
          <w:iCs/>
          <w:i/>
        </w:rPr>
        <w:t xml:space="preserve">The Psychological Record</w:t>
      </w:r>
      <w:r>
        <w:t xml:space="preserve"> </w:t>
      </w:r>
      <w:r>
        <w:t xml:space="preserve">(Vol. 60, pp. 249–272).</w:t>
      </w:r>
    </w:p>
    <w:bookmarkEnd w:id="147"/>
    <w:bookmarkStart w:id="148"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48"/>
    <w:bookmarkStart w:id="149" w:name="ref-wolpe1990practice"/>
    <w:p>
      <w:pPr>
        <w:pStyle w:val="Bibliography"/>
      </w:pPr>
      <w:r>
        <w:t xml:space="preserve">Wolpe, J. (1990).</w:t>
      </w:r>
      <w:r>
        <w:t xml:space="preserve"> </w:t>
      </w:r>
      <w:r>
        <w:rPr>
          <w:iCs/>
          <w:i/>
        </w:rPr>
        <w:t xml:space="preserve">The practice of behavior therapy</w:t>
      </w:r>
      <w:r>
        <w:t xml:space="preserve">. Pergamon Press.</w:t>
      </w:r>
    </w:p>
    <w:bookmarkEnd w:id="149"/>
    <w:bookmarkStart w:id="150"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50"/>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9" Target="https://CRAN.R-project.org/package=clinicalsignificance" TargetMode="External" /><Relationship Type="http://schemas.openxmlformats.org/officeDocument/2006/relationships/hyperlink" Id="rId108" Target="https://cran.r-project.org/package=emmeans" TargetMode="External" /><Relationship Type="http://schemas.openxmlformats.org/officeDocument/2006/relationships/hyperlink" Id="rId141" Target="https://doi.org/10.1001/archinte.166.10.1092" TargetMode="External" /><Relationship Type="http://schemas.openxmlformats.org/officeDocument/2006/relationships/hyperlink" Id="rId84" Target="https://doi.org/10.1002/wps.20346" TargetMode="External" /><Relationship Type="http://schemas.openxmlformats.org/officeDocument/2006/relationships/hyperlink" Id="rId100" Target="https://doi.org/10.1007/s10608-012-9476-1" TargetMode="External" /><Relationship Type="http://schemas.openxmlformats.org/officeDocument/2006/relationships/hyperlink" Id="rId143" Target="https://doi.org/10.1007/s10862-011-9226-9" TargetMode="External" /><Relationship Type="http://schemas.openxmlformats.org/officeDocument/2006/relationships/hyperlink" Id="rId145" Target="https://doi.org/10.1007/s10942-018-0296-4" TargetMode="External" /><Relationship Type="http://schemas.openxmlformats.org/officeDocument/2006/relationships/hyperlink" Id="rId76" Target="https://doi.org/10.1016/0005-7967(86)90011-2" TargetMode="External" /><Relationship Type="http://schemas.openxmlformats.org/officeDocument/2006/relationships/hyperlink" Id="rId112" Target="https://doi.org/10.1016/B978-0-12-404480-7.50013-7" TargetMode="External" /><Relationship Type="http://schemas.openxmlformats.org/officeDocument/2006/relationships/hyperlink" Id="rId98" Target="https://doi.org/10.1016/S0005-7894(04)80013-3" TargetMode="External" /><Relationship Type="http://schemas.openxmlformats.org/officeDocument/2006/relationships/hyperlink" Id="rId127" Target="https://doi.org/10.1016/S0005-7894(73)80120-0" TargetMode="External" /><Relationship Type="http://schemas.openxmlformats.org/officeDocument/2006/relationships/hyperlink" Id="rId82" Target="https://doi.org/10.1016/j.brat.2007.10.003" TargetMode="External" /><Relationship Type="http://schemas.openxmlformats.org/officeDocument/2006/relationships/hyperlink" Id="rId86" Target="https://doi.org/10.1016/j.brat.2013.03.003" TargetMode="External" /><Relationship Type="http://schemas.openxmlformats.org/officeDocument/2006/relationships/hyperlink" Id="rId131" Target="https://doi.org/10.1016/j.brat.2017.05.015" TargetMode="External" /><Relationship Type="http://schemas.openxmlformats.org/officeDocument/2006/relationships/hyperlink" Id="rId104" Target="https://doi.org/10.1016/j.genhosppsych.2010.03.006" TargetMode="External" /><Relationship Type="http://schemas.openxmlformats.org/officeDocument/2006/relationships/hyperlink" Id="rId67" Target="https://doi.org/10.1016/j.invent.2014.08.003" TargetMode="External" /><Relationship Type="http://schemas.openxmlformats.org/officeDocument/2006/relationships/hyperlink" Id="rId110" Target="https://doi.org/10.1016/j.invent.2015.04.002" TargetMode="External" /><Relationship Type="http://schemas.openxmlformats.org/officeDocument/2006/relationships/hyperlink" Id="rId61" Target="https://doi.org/10.1016/j.janxdis.2018.01.001" TargetMode="External" /><Relationship Type="http://schemas.openxmlformats.org/officeDocument/2006/relationships/hyperlink" Id="rId74" Target="https://doi.org/10.1016/j.jcbs.2022.02.001" TargetMode="External" /><Relationship Type="http://schemas.openxmlformats.org/officeDocument/2006/relationships/hyperlink" Id="rId91" Target="https://doi.org/10.1017/S0033291701004056" TargetMode="External" /><Relationship Type="http://schemas.openxmlformats.org/officeDocument/2006/relationships/hyperlink" Id="rId89" Target="https://doi.org/10.1037/a0028200" TargetMode="External" /><Relationship Type="http://schemas.openxmlformats.org/officeDocument/2006/relationships/hyperlink" Id="rId129" Target="https://doi.org/10.1037/ccp0000023" TargetMode="External" /><Relationship Type="http://schemas.openxmlformats.org/officeDocument/2006/relationships/hyperlink" Id="rId119" Target="https://doi.org/10.1080/16506073.2016.1250228" TargetMode="External" /><Relationship Type="http://schemas.openxmlformats.org/officeDocument/2006/relationships/hyperlink" Id="rId70" Target="https://doi.org/10.1080/16506073.2017.1401115" TargetMode="External" /><Relationship Type="http://schemas.openxmlformats.org/officeDocument/2006/relationships/hyperlink" Id="rId136" Target="https://doi.org/10.1080/17475750802533364" TargetMode="External" /><Relationship Type="http://schemas.openxmlformats.org/officeDocument/2006/relationships/hyperlink" Id="rId93" Target="https://doi.org/10.1111/acps.12275" TargetMode="External" /><Relationship Type="http://schemas.openxmlformats.org/officeDocument/2006/relationships/hyperlink" Id="rId139" Target="https://doi.org/10.1111/cpsp.12216" TargetMode="External" /><Relationship Type="http://schemas.openxmlformats.org/officeDocument/2006/relationships/hyperlink" Id="rId123" Target="https://doi.org/10.1111/jpr.12185" TargetMode="External" /><Relationship Type="http://schemas.openxmlformats.org/officeDocument/2006/relationships/hyperlink" Id="rId72" Target="https://doi.org/10.1146/annurev.psych.52.1.685" TargetMode="External" /><Relationship Type="http://schemas.openxmlformats.org/officeDocument/2006/relationships/hyperlink" Id="rId63" Target="https://doi.org/10.1371/journal.pone.0230169" TargetMode="External" /><Relationship Type="http://schemas.openxmlformats.org/officeDocument/2006/relationships/hyperlink" Id="rId115" Target="https://doi.org/10.21105/joss.00772" TargetMode="External" /><Relationship Type="http://schemas.openxmlformats.org/officeDocument/2006/relationships/hyperlink" Id="rId65" Target="https://doi.org/10.4018/978-1-4666-5942-1" TargetMode="External" /><Relationship Type="http://schemas.openxmlformats.org/officeDocument/2006/relationships/hyperlink" Id="rId11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106" Target="https://github.com/runehaubo/lmerTestR" TargetMode="External" /><Relationship Type="http://schemas.openxmlformats.org/officeDocument/2006/relationships/hyperlink" Id="rId134" Target="https://sealedenvelope.com/simple-randomiser/v1" TargetMode="External" /><Relationship Type="http://schemas.openxmlformats.org/officeDocument/2006/relationships/hyperlink" Id="rId121" Target="https://www.cci.health.wa.gov.au/Resources/Looking-After-Yourself/Assertiveness" TargetMode="External" /><Relationship Type="http://schemas.openxmlformats.org/officeDocument/2006/relationships/hyperlink" Id="rId96"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2022-08-07T10:23:32Z</dcterms:created>
  <dcterms:modified xsi:type="dcterms:W3CDTF">2022-08-07T10:23:32Z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07 August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