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2022-12-06</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and depression and also the difference between guided and unguided iCBT against the control group (three-armed trial).</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r2fu-article_files/figure-docx/flowchart-dot-1.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4.2.2,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43"/>
    <w:bookmarkStart w:id="44"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author-contributions"/>
    <w:p>
      <w:pPr>
        <w:pStyle w:val="Heading1"/>
      </w:pPr>
      <w:r>
        <w:t xml:space="preserve">Author contributions</w:t>
      </w:r>
    </w:p>
    <w:p>
      <w:pPr>
        <w:pStyle w:val="FirstParagraph"/>
      </w:pPr>
      <w:r>
        <w:t xml:space="preserve">Tobias Hagberg performed Conceptualization, Methodology, Data curation, Software, Formal Analysis, Writing - Original Draft; Patrik Manhem performed Conceptualization, Methodology, Data curation; Martin Oscarsson performed Writing - Original Draft; Per Carlbring performed Supervision, Writing - Review &amp; Editing; and Gerhard Andersson performed Writing - Review &amp; Editing.</w:t>
      </w:r>
    </w:p>
    <w:bookmarkEnd w:id="53"/>
    <w:bookmarkStart w:id="54"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54"/>
    <w:bookmarkStart w:id="147" w:name="references"/>
    <w:p>
      <w:pPr>
        <w:pStyle w:val="Heading1"/>
      </w:pPr>
      <w:r>
        <w:t xml:space="preserve">References</w:t>
      </w:r>
    </w:p>
    <w:bookmarkStart w:id="146" w:name="refs"/>
    <w:bookmarkStart w:id="55"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5"/>
    <w:bookmarkStart w:id="56" w:name="ref-alberti1974your"/>
    <w:p>
      <w:pPr>
        <w:pStyle w:val="Bibliography"/>
      </w:pPr>
      <w:r>
        <w:t xml:space="preserve">Alberti, R., Emmons, M., 1974.</w:t>
      </w:r>
      <w:r>
        <w:t xml:space="preserve"> </w:t>
      </w:r>
      <w:r>
        <w:t xml:space="preserve">Your perfect right</w:t>
      </w:r>
      <w:r>
        <w:t xml:space="preserve">, 2nd ed. Impact, San Luis Obispo.</w:t>
      </w:r>
    </w:p>
    <w:bookmarkEnd w:id="56"/>
    <w:bookmarkStart w:id="58"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5"/>
    <w:bookmarkStart w:id="66"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6"/>
    <w:bookmarkStart w:id="68"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7">
        <w:r>
          <w:rPr>
            <w:rStyle w:val="Hyperlink"/>
          </w:rPr>
          <w:t xml:space="preserve">https://doi.org/10.1080/16506073.2017.1401115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27">
        <w:r>
          <w:rPr>
            <w:rStyle w:val="Hyperlink"/>
          </w:rPr>
          <w:t xml:space="preserve">https://doi.org/10.3389/fnbeh.2014.00323</w:t>
        </w:r>
      </w:hyperlink>
    </w:p>
    <w:bookmarkEnd w:id="128"/>
    <w:bookmarkStart w:id="130" w:name="ref-Sigler2008"/>
    <w:p>
      <w:pPr>
        <w:pStyle w:val="Bibliography"/>
      </w:pPr>
      <w:r>
        <w:t xml:space="preserve">Sigler, K., Burnett, A., Child, J.T., 2008. A regional analysis of assertiveness. Journal of Intercultural Communication Research 37, 89–104.</w:t>
      </w:r>
      <w:r>
        <w:t xml:space="preserve"> </w:t>
      </w:r>
      <w:hyperlink r:id="rId129">
        <w:r>
          <w:rPr>
            <w:rStyle w:val="Hyperlink"/>
          </w:rPr>
          <w:t xml:space="preserve">https://doi.org/10.1080/17475750802533364</w:t>
        </w:r>
      </w:hyperlink>
    </w:p>
    <w:bookmarkEnd w:id="130"/>
    <w:bookmarkStart w:id="131"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31"/>
    <w:bookmarkStart w:id="133"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2">
        <w:r>
          <w:rPr>
            <w:rStyle w:val="Hyperlink"/>
          </w:rPr>
          <w:t xml:space="preserve">https://doi.org/10.1111/cpsp.12216</w:t>
        </w:r>
      </w:hyperlink>
    </w:p>
    <w:bookmarkEnd w:id="133"/>
    <w:bookmarkStart w:id="135"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4">
        <w:r>
          <w:rPr>
            <w:rStyle w:val="Hyperlink"/>
          </w:rPr>
          <w:t xml:space="preserve">https://doi.org/10.1001/archinte.166.10.1092</w:t>
        </w:r>
      </w:hyperlink>
    </w:p>
    <w:bookmarkEnd w:id="135"/>
    <w:bookmarkStart w:id="137"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6">
        <w:r>
          <w:rPr>
            <w:rStyle w:val="Hyperlink"/>
          </w:rPr>
          <w:t xml:space="preserve">https://doi.org/10.1007/s10862-011-9226-9</w:t>
        </w:r>
      </w:hyperlink>
    </w:p>
    <w:bookmarkEnd w:id="137"/>
    <w:bookmarkStart w:id="139"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8">
        <w:r>
          <w:rPr>
            <w:rStyle w:val="Hyperlink"/>
          </w:rPr>
          <w:t xml:space="preserve">https://doi.org/10.1007/s10942-018-0296-4</w:t>
        </w:r>
      </w:hyperlink>
    </w:p>
    <w:bookmarkEnd w:id="139"/>
    <w:bookmarkStart w:id="141"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40">
        <w:r>
          <w:rPr>
            <w:rStyle w:val="Hyperlink"/>
          </w:rPr>
          <w:t xml:space="preserve">https://doi.org/10.1016/j.invent.2016.09.006</w:t>
        </w:r>
      </w:hyperlink>
    </w:p>
    <w:bookmarkEnd w:id="141"/>
    <w:bookmarkStart w:id="142" w:name="ref-Wilson2010"/>
    <w:p>
      <w:pPr>
        <w:pStyle w:val="Bibliography"/>
      </w:pPr>
      <w:r>
        <w:t xml:space="preserve">Wilson, K.G., Sandoz, E.K., Kitchens, J., Roberts, M., 2010. The valued living questionnaire: Defining and measuring valued action within a behavioral framework, The Psychological Record.</w:t>
      </w:r>
    </w:p>
    <w:bookmarkEnd w:id="142"/>
    <w:bookmarkStart w:id="143" w:name="ref-wolpe1990practice"/>
    <w:p>
      <w:pPr>
        <w:pStyle w:val="Bibliography"/>
      </w:pPr>
      <w:r>
        <w:t xml:space="preserve">Wolpe, J., 1990.</w:t>
      </w:r>
      <w:r>
        <w:t xml:space="preserve"> </w:t>
      </w:r>
      <w:r>
        <w:t xml:space="preserve">The practice of behavior therapy</w:t>
      </w:r>
      <w:r>
        <w:t xml:space="preserve">. Pergamon Press, Oxford, UK.</w:t>
      </w:r>
    </w:p>
    <w:bookmarkEnd w:id="143"/>
    <w:bookmarkStart w:id="144"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4"/>
    <w:bookmarkStart w:id="145"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2022-12-06T17:24:07Z</dcterms:created>
  <dcterms:modified xsi:type="dcterms:W3CDTF">2022-12-06T17:24:07Z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2022-12-06</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