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23</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 Assertion is believed to be situation-specific rather than a generalized trait, consequently treatment should be tailored to individual needs in particular situations</w:t>
      </w:r>
      <w:r>
        <w:t xml:space="preserve"> </w:t>
      </w:r>
      <w:r>
        <w:t xml:space="preserve">(</w:t>
      </w:r>
      <w:hyperlink w:anchor="ref-Hull1978">
        <w:r>
          <w:rPr>
            <w:rStyle w:val="Hyperlink"/>
          </w:rPr>
          <w:t xml:space="preserve">Hull &amp; Hull, 1978</w:t>
        </w:r>
      </w:hyperlink>
      <w:r>
        <w:t xml:space="preserve">)</w:t>
      </w:r>
      <w:r>
        <w:t xml:space="preserve">, also taking into account cultural differences across contexts</w:t>
      </w:r>
      <w:r>
        <w:t xml:space="preserve"> </w:t>
      </w:r>
      <w:r>
        <w:t xml:space="preserve">Mitamura (</w:t>
      </w:r>
      <w:hyperlink w:anchor="ref-Mitamura2018">
        <w:r>
          <w:rPr>
            <w:rStyle w:val="Hyperlink"/>
          </w:rPr>
          <w:t xml:space="preserve">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bookmarkStart w:id="49" w:name="X259a991c260b889c05c789cd47bdeff41252dda"/>
    <w:p>
      <w:pPr>
        <w:pStyle w:val="Heading3"/>
      </w:pPr>
      <w:r>
        <w:t xml:space="preserve">Between-group effects on assertive behaviors</w:t>
      </w:r>
    </w:p>
    <w:p>
      <w:pPr>
        <w:pStyle w:val="FirstParagraph"/>
      </w:pPr>
      <w:r>
        <w:t xml:space="preserve">Post-hoc testing of marginal mean differences in pairwise comparisons between all groups and time-points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15.6</m:t>
        </m:r>
      </m:oMath>
      <w:r>
        <w:t xml:space="preserve">,</w:t>
      </w:r>
      <w:r>
        <w:t xml:space="preserve"> </w:t>
      </w:r>
      <m:oMath>
        <m:r>
          <m:t>t</m:t>
        </m:r>
      </m:oMath>
      <w:r>
        <w:t xml:space="preserve">(</w:t>
      </w:r>
      <m:oMath>
        <m:r>
          <m:t>278</m:t>
        </m:r>
      </m:oMath>
      <w:r>
        <w:t xml:space="preserve">) =</w:t>
      </w:r>
      <w:r>
        <w:t xml:space="preserve"> </w:t>
      </w:r>
      <m:oMath>
        <m:r>
          <m:t>4.29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w:t>
      </w:r>
      <w:r>
        <w:t xml:space="preserve"> </w:t>
      </w:r>
      <m:oMath>
        <m:r>
          <m:t>E</m:t>
        </m:r>
        <m:r>
          <m:t>S</m:t>
        </m:r>
      </m:oMath>
      <w:r>
        <w:t xml:space="preserve"> </w:t>
      </w:r>
      <w:r>
        <w:t xml:space="preserve">=</w:t>
      </w:r>
      <w:r>
        <w:t xml:space="preserve"> </w:t>
      </w:r>
      <m:oMath>
        <m:r>
          <m:t>.75</m:t>
        </m:r>
      </m:oMath>
      <w:r>
        <w:t xml:space="preserve">, as well as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comparing against the most conservative time-point, at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4"/>
    <w:bookmarkEnd w:id="55"/>
    <w:bookmarkEnd w:id="56"/>
    <w:bookmarkEnd w:id="57"/>
    <w:bookmarkStart w:id="149" w:name="discussion"/>
    <w:p>
      <w:pPr>
        <w:pStyle w:val="Heading1"/>
      </w:pPr>
      <w:r>
        <w:t xml:space="preserve">Discussion</w:t>
      </w:r>
    </w:p>
    <w:bookmarkStart w:id="64" w:name="results-discussion"/>
    <w:p>
      <w:pPr>
        <w:pStyle w:val="Heading2"/>
      </w:pPr>
      <w:r>
        <w:t xml:space="preserve">Results discussion</w:t>
      </w:r>
    </w:p>
    <w:bookmarkStart w:id="62" w:name="main-results"/>
    <w:p>
      <w:pPr>
        <w:pStyle w:val="Heading3"/>
      </w:pPr>
      <w:r>
        <w:t xml:space="preserve">Main results</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bookmarkStart w:id="58" w:name="effects-on-assertiveness"/>
    <w:p>
      <w:pPr>
        <w:pStyle w:val="Heading4"/>
      </w:pPr>
      <w:r>
        <w:t xml:space="preserve">Effects on assertiveness</w:t>
      </w:r>
    </w:p>
    <w:p>
      <w:pPr>
        <w:pStyle w:val="FirstParagraph"/>
      </w:pPr>
      <w:r>
        <w:t xml:space="preserve">In the current study, we found large between-group effects on assertiveness for both unguided and guided participation in Respekt</w:t>
      </w:r>
      <w:r>
        <w:rPr>
          <w:vertAlign w:val="superscript"/>
        </w:rPr>
        <w:t xml:space="preserve">2</w:t>
      </w:r>
      <w:r>
        <w:t xml:space="preserve">, compared to a waitlist control. For AAA-S Adaptive and RAS at Post in the Unguided self-help condition,</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and</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respectively. These effects are comparable to those found in clinical trails of iCBT interventions for other trans-diagnostic behavioral targets such as procrastination (</w:t>
      </w:r>
      <m:oMath>
        <m:r>
          <m:t>d</m:t>
        </m:r>
      </m:oMath>
      <w:r>
        <w:t xml:space="preserve"> </w:t>
      </w:r>
      <w:r>
        <w:t xml:space="preserve">= ??)</w:t>
      </w:r>
      <w:r>
        <w:t xml:space="preserve"> </w:t>
      </w:r>
      <w:r>
        <w:t xml:space="preserve">(</w:t>
      </w:r>
      <w:hyperlink w:anchor="ref-Rozental2015">
        <w:r>
          <w:rPr>
            <w:rStyle w:val="Hyperlink"/>
          </w:rPr>
          <w:t xml:space="preserve">Rozental et al., 2015</w:t>
        </w:r>
      </w:hyperlink>
      <w:r>
        <w:t xml:space="preserve">)</w:t>
      </w:r>
      <w:r>
        <w:t xml:space="preserve">, and perfectionism (</w:t>
      </w:r>
      <m:oMath>
        <m:r>
          <m:t>d</m:t>
        </m:r>
      </m:oMath>
      <w:r>
        <w:t xml:space="preserve"> </w:t>
      </w:r>
      <w:r>
        <w:t xml:space="preserve">= ??)</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(Also, compare w/ frequencies or reliable change, e.g.</w:t>
      </w:r>
      <w:r>
        <w:t xml:space="preserve"> </w:t>
      </w:r>
      <w:hyperlink w:anchor="ref-Rozental2015">
        <w:r>
          <w:rPr>
            <w:rStyle w:val="Hyperlink"/>
          </w:rPr>
          <w:t xml:space="preserve">Rozental et al., 2015</w:t>
        </w:r>
      </w:hyperlink>
      <w:r>
        <w:t xml:space="preserve">.)</w:t>
      </w:r>
    </w:p>
    <w:bookmarkEnd w:id="58"/>
    <w:bookmarkStart w:id="59" w:name="effects-on-psychiatric-symptoms"/>
    <w:p>
      <w:pPr>
        <w:pStyle w:val="Heading4"/>
      </w:pPr>
      <w:r>
        <w:t xml:space="preserve">Effects on psychiatric symptoms</w:t>
      </w:r>
    </w:p>
    <w:p>
      <w:pPr>
        <w:pStyle w:val="FirstParagraph"/>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effects for GAD-7. Nor did we find significant effects at Post for PHQ-9 or LSAS-SR in the Unguided self-help group, compared with Waitlist. However, at Follow-up, we found a large between-group effect on LSAS-SR,</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Effects were also found in the Guided self-help group, where participants were supported by therapists: Comparing with the Waitlist group, participants exhibited moderate effects at Post for PHQ-9,</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and LSAS-SR,</w:t>
      </w:r>
      <w:r>
        <w:t xml:space="preserve"> </w:t>
      </w:r>
      <m:oMath>
        <m:r>
          <m:t>E</m:t>
        </m:r>
        <m:r>
          <m:t>S</m:t>
        </m:r>
      </m:oMath>
      <w:r>
        <w:t xml:space="preserve"> </w:t>
      </w:r>
      <w:r>
        <w:t xml:space="preserve">=</w:t>
      </w:r>
      <w:r>
        <w:t xml:space="preserve"> </w:t>
      </w:r>
      <m:oMath>
        <m:r>
          <m:t>.67</m:t>
        </m:r>
      </m:oMath>
      <w:r>
        <w:t xml:space="preserve">, 95% CI [</w:t>
      </w:r>
      <m:oMath>
        <m:r>
          <m:t>.32</m:t>
        </m:r>
      </m:oMath>
      <w:r>
        <w:t xml:space="preserve">,</w:t>
      </w:r>
      <w:r>
        <w:t xml:space="preserve"> </w:t>
      </w:r>
      <m:oMath>
        <m:r>
          <m:t>1.02</m:t>
        </m:r>
      </m:oMath>
      <w:r>
        <w:t xml:space="preserve">] respectively, as well as a large effect only for LSAS-SR at Follow-up,</w:t>
      </w:r>
      <w:r>
        <w:t xml:space="preserve"> </w:t>
      </w:r>
      <m:oMath>
        <m:r>
          <m:t>E</m:t>
        </m:r>
        <m:r>
          <m:t>S</m:t>
        </m:r>
      </m:oMath>
      <w:r>
        <w:t xml:space="preserve"> </w:t>
      </w:r>
      <w:r>
        <w:t xml:space="preserve">=</w:t>
      </w:r>
      <w:r>
        <w:t xml:space="preserve"> </w:t>
      </w:r>
      <m:oMath>
        <m:r>
          <m:t>.93</m:t>
        </m:r>
      </m:oMath>
      <w:r>
        <w:t xml:space="preserve">, 95% CI [</w:t>
      </w:r>
      <m:oMath>
        <m:r>
          <m:t>.57</m:t>
        </m:r>
      </m:oMath>
      <w:r>
        <w:t xml:space="preserve">,</w:t>
      </w:r>
      <w:r>
        <w:t xml:space="preserve"> </w:t>
      </w:r>
      <m:oMath>
        <m:r>
          <m:t>1.30</m:t>
        </m:r>
      </m:oMath>
      <w:r>
        <w:t xml:space="preserve">].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p>
    <w:p>
      <w:pPr>
        <w:pStyle w:val="BodyText"/>
      </w:pPr>
      <w:r>
        <w:t xml:space="preserve">These findings were supplemented by the analysis of clinical significant change, where,</w:t>
      </w:r>
      <w:r>
        <w:t xml:space="preserve"> </w:t>
      </w:r>
      <m:oMath>
        <m:r>
          <m:t>n</m:t>
        </m:r>
      </m:oMath>
      <w:r>
        <w:t xml:space="preserve"> </w:t>
      </w:r>
      <w:r>
        <w:t xml:space="preserve">= 14 (21%) had recovered from social anxiety at Follow-up in the Unguided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bookmarkEnd w:id="59"/>
    <w:bookmarkStart w:id="60" w:name="no-effects-on-gad"/>
    <w:p>
      <w:pPr>
        <w:pStyle w:val="Heading4"/>
      </w:pPr>
      <w:r>
        <w:t xml:space="preserve">No effects on GAD</w:t>
      </w:r>
    </w:p>
    <w:p>
      <w:pPr>
        <w:pStyle w:val="FirstParagraph"/>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 and performing in-vivo behavioral experiments early on in treatment was not adequate in adressing GAD symptoms where non-commitment to exposure often is an important first hurdle to overcome. (To be investigated.)</w:t>
      </w:r>
    </w:p>
    <w:bookmarkEnd w:id="60"/>
    <w:bookmarkStart w:id="61" w:name="general-conclusion"/>
    <w:p>
      <w:pPr>
        <w:pStyle w:val="Heading4"/>
      </w:pPr>
      <w:r>
        <w:t xml:space="preserve">General conclusion</w:t>
      </w:r>
    </w:p>
    <w:p>
      <w:pPr>
        <w:pStyle w:val="FirstParagraph"/>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r>
        <w:t xml:space="preserve"> </w:t>
      </w:r>
      <w:r>
        <w:t xml:space="preserve">At the end of treatment, there was no difference in effects on assertiveness or social phobia between the two treatment arms, nor at one-year Follow-up. For depression, effects were found only in the Thus, the results provide preliminary evidence for the efficacy of Respekt</w:t>
      </w:r>
      <w:r>
        <w:rPr>
          <w:vertAlign w:val="superscript"/>
        </w:rPr>
        <w:t xml:space="preserve">2</w:t>
      </w:r>
      <w:r>
        <w:t xml:space="preserve"> </w:t>
      </w:r>
      <w:r>
        <w:t xml:space="preserve">as a self-help intervention, showing that iCBT with or without therapist support can be helpful for individuals suffering from self-reported difficulties with assertiveness, and social phobia; and that iCBT with therapist support can be helpful for individuals suffering from depression.</w:t>
      </w:r>
    </w:p>
    <w:bookmarkEnd w:id="61"/>
    <w:bookmarkEnd w:id="62"/>
    <w:bookmarkStart w:id="63" w:name="X9b0549612a10013830e3be808e1447147c21780"/>
    <w:p>
      <w:pPr>
        <w:pStyle w:val="Heading3"/>
      </w:pPr>
      <w:r>
        <w:t xml:space="preserve">Some support for therapist support being helpful</w:t>
      </w:r>
    </w:p>
    <w:p>
      <w:pPr>
        <w:pStyle w:val="FirstParagraph"/>
      </w:pPr>
      <w:r>
        <w:t xml:space="preserve">Although there was no between group difference between treatment conditions at Post or Follow-up in the current study, some within-group evidence was found that being guided by a therapist could entail some advantages for participants in iCBT, in line with</w:t>
      </w:r>
      <w:r>
        <w:t xml:space="preserve"> </w:t>
      </w:r>
      <w:r>
        <w:t xml:space="preserve">Baumeister et al. (</w:t>
      </w:r>
      <w:hyperlink w:anchor="ref-Baumeister2014a">
        <w:r>
          <w:rPr>
            <w:rStyle w:val="Hyperlink"/>
          </w:rPr>
          <w:t xml:space="preserve">2014</w:t>
        </w:r>
      </w:hyperlink>
      <w:r>
        <w:t xml:space="preserve">)</w:t>
      </w:r>
      <w:r>
        <w:t xml:space="preserve">, especially with regards to long-term outcomes. In the Guided self-help group, assertiveness (both in general and of the adaptive type) had increased significantly between end of treatment and one-year Follow-up. Also, in the Guided self-help condition analysis of both within-group effects and of clinical change indicated that depression had decreased from pre-treatment to 1-year Follow-up both. Corresponding phenomena were not observed in the group where the participants were engaging with the intervention on their own. The presence of human support during treatment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 Speculatively, accountability towards a therapist could be associated with an increased willingness to take part in behavioral experiments, an increased ability to engage in behavioral experiments through active and collaborative problem solving, or increased compliance to homework and therefore an increased ability to generalize adaptive behaviors – or a combination of such mechanisms.</w:t>
      </w:r>
    </w:p>
    <w:bookmarkEnd w:id="63"/>
    <w:bookmarkEnd w:id="64"/>
    <w:bookmarkStart w:id="66" w:name="methodological-discussion"/>
    <w:p>
      <w:pPr>
        <w:pStyle w:val="Heading2"/>
      </w:pPr>
      <w:r>
        <w:t xml:space="preserve">Methodological discussion</w:t>
      </w:r>
    </w:p>
    <w:bookmarkStart w:id="65" w:name="limitations"/>
    <w:p>
      <w:pPr>
        <w:pStyle w:val="Heading3"/>
      </w:pPr>
      <w:r>
        <w:t xml:space="preserve">Limitations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a booster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fo the RAS and AAA-S scales need to be quality controlled with back-translation, and subsequently also validated for a Swedish clinical and non-clinical population.</w:t>
      </w:r>
    </w:p>
    <w:bookmarkEnd w:id="65"/>
    <w:bookmarkEnd w:id="66"/>
    <w:bookmarkStart w:id="67" w:name="future-directions"/>
    <w:p>
      <w:pPr>
        <w:pStyle w:val="Heading2"/>
      </w:pPr>
      <w:r>
        <w:t xml:space="preserve">Future directions</w:t>
      </w:r>
    </w:p>
    <w:p>
      <w:pPr>
        <w:pStyle w:val="SourceCode"/>
      </w:pPr>
      <w:r>
        <w:rPr>
          <w:rStyle w:val="VerbatimChar"/>
        </w:rPr>
        <w:t xml:space="preserve">What is going on here?</w:t>
      </w:r>
      <w:r>
        <w:br/>
      </w:r>
      <w:r>
        <w:rPr>
          <w:rStyle w:val="VerbatimChar"/>
        </w:rPr>
        <w:t xml:space="preserve">Whose story is this?</w:t>
      </w:r>
      <w:r>
        <w:br/>
      </w:r>
      <w:r>
        <w:rPr>
          <w:rStyle w:val="VerbatimChar"/>
        </w:rPr>
        <w:t xml:space="preserve">How does this sentence connect backward to the previous sentence?</w:t>
      </w:r>
      <w:r>
        <w:br/>
      </w:r>
      <w:r>
        <w:rPr>
          <w:rStyle w:val="VerbatimChar"/>
        </w:rPr>
        <w:t xml:space="preserve">How does this sentence lean forward to where we might go from here?</w:t>
      </w:r>
      <w:r>
        <w:br/>
      </w:r>
      <w:r>
        <w:rPr>
          <w:rStyle w:val="VerbatimChar"/>
        </w:rPr>
        <w:t xml:space="preserve">What is the most important piece of information in this sentence, which I should be reading with extra emphasis?</w:t>
      </w:r>
    </w:p>
    <w:p>
      <w:pPr>
        <w:numPr>
          <w:ilvl w:val="0"/>
          <w:numId w:val="1002"/>
        </w:numPr>
        <w:pStyle w:val="Compact"/>
      </w:pPr>
      <w:r>
        <w:t xml:space="preserve">Disentangle causality: what causes what, under influence of what (mediation, moderation)?</w:t>
      </w:r>
      <w:r>
        <w:t xml:space="preserve"> </w:t>
      </w:r>
      <w:r>
        <w:t xml:space="preserve">– Future replications should collect more data in order to fit more random effects, to investigate possible therapist factors</w:t>
      </w:r>
    </w:p>
    <w:p>
      <w:pPr>
        <w:pStyle w:val="FirstParagraph"/>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convenience sample. The intervention did not have an immediate effect on generalized anxiety or depression, although there was some within-group evidence for beneficial longer-term effects on these syndromes.</w:t>
      </w:r>
    </w:p>
    <w:p>
      <w:pPr>
        <w:pStyle w:val="BodyText"/>
      </w:pPr>
      <w:r>
        <w:t xml:space="preserve">Building on this foundation, future studies could try to find answers to important questions such as the following: What are the effects of Respekt</w:t>
      </w:r>
      <w:r>
        <w:rPr>
          <w:vertAlign w:val="superscript"/>
        </w:rPr>
        <w:t xml:space="preserve">2</w:t>
      </w:r>
      <w:r>
        <w:t xml:space="preserve"> </w:t>
      </w:r>
      <w:r>
        <w:t xml:space="preserve">for clinical populations, e.g. patients diagnosed with with any of emotional instability, schizophrenia, social phobia, generalized anxiety, and depression? More specifically, is it possible to replicate the within-group findings in the current study that Respect</w:t>
      </w:r>
      <w:r>
        <w:rPr>
          <w:vertAlign w:val="superscript"/>
        </w:rPr>
        <w:t xml:space="preserve">2</w:t>
      </w:r>
      <w:r>
        <w:t xml:space="preserve"> </w:t>
      </w:r>
      <w:r>
        <w:t xml:space="preserve">might benefit participants suffering from symptoms of generalized anxiety and depression, and if so, on what time-scale? What are the effects for any of non-clinical ailments, such as work-related stress, work–private life balance issues, and relationship problems? And more generally, for which psychological problems and problems in living could assertiveness as a trans-diagnostic treatment target improve compliance to exposure and thus help increase levels of valued living?</w:t>
      </w:r>
    </w:p>
    <w:p>
      <w:pPr>
        <w:pStyle w:val="BodyText"/>
      </w:pPr>
      <w:r>
        <w:t xml:space="preserve">uppföljning inloggningar etc för att kunna särskilja olika kausala faktorer för terapeutstöttningens effekter</w:t>
      </w:r>
    </w:p>
    <w:p>
      <w:pPr>
        <w:pStyle w:val="BodyText"/>
      </w:pPr>
      <w:r>
        <w:t xml:space="preserve">Other questions worth persuing include: What are the normative means for the Swedish translations of AAA-S and the RAS in a Swedish clinical and non-clinical population, respectively?</w:t>
      </w:r>
      <w:r>
        <w:t xml:space="preserve"> </w:t>
      </w:r>
      <w:r>
        <w:t xml:space="preserve">- What part of the general population would find</w:t>
      </w:r>
      <w:r>
        <w:t xml:space="preserve"> </w:t>
      </w:r>
      <w:r>
        <w:t xml:space="preserve">‘</w:t>
      </w:r>
      <w:r>
        <w:t xml:space="preserve">assertiveness</w:t>
      </w:r>
      <w:r>
        <w:t xml:space="preserve">’</w:t>
      </w:r>
      <w:r>
        <w:t xml:space="preserve"> </w:t>
      </w:r>
      <w:r>
        <w:t xml:space="preserve">appealing as a possbile treatment target, if presented as one of many choices (among them, reduction of symptoms)?</w:t>
      </w:r>
      <w:r>
        <w:t xml:space="preserve"> </w:t>
      </w:r>
      <w:r>
        <w:t xml:space="preserve">- Expanding to a broader question: what are the benefits of using approach behaviors as treatment targets?</w:t>
      </w:r>
      <w:r>
        <w:t xml:space="preserve"> </w:t>
      </w:r>
      <w:r>
        <w:t xml:space="preserve">– Idé: kvalitativ studie i psykiatrin,</w:t>
      </w:r>
      <w:r>
        <w:t xml:space="preserve"> </w:t>
      </w:r>
      <w:r>
        <w:t xml:space="preserve">“</w:t>
      </w:r>
      <w:r>
        <w:t xml:space="preserve">Om du fick välja att arbeta med de problem du har, vilket eller vilka av följande mål skulle vara hjälpsamma för dig? Öka självmedkänsla? Minska problem med uppskjutande? Minska perfektionism? Öka självhävdelseförmåga? Arbeta med att formulera för dig relevanta livsmål? Öka beteendemässig flexibilitet? Ökad förmåga att ta distans till tankar? Ökad förmåga att acceptera svåra känslor, minnen, upplevelser?</w:t>
      </w:r>
      <w:r>
        <w:t xml:space="preserve">”</w:t>
      </w:r>
      <w:r>
        <w:t xml:space="preserve"> </w:t>
      </w:r>
      <w:r>
        <w:t xml:space="preserve">– DBT-kontext</w:t>
      </w:r>
    </w:p>
    <w:bookmarkEnd w:id="67"/>
    <w:bookmarkStart w:id="148" w:name="references"/>
    <w:p>
      <w:pPr>
        <w:pStyle w:val="Heading2"/>
      </w:pPr>
      <w:r>
        <w:t xml:space="preserve">References</w:t>
      </w:r>
    </w:p>
    <w:bookmarkStart w:id="147" w:name="refs"/>
    <w:bookmarkStart w:id="68"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68"/>
    <w:bookmarkStart w:id="69"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9"/>
    <w:bookmarkStart w:id="71"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70">
        <w:r>
          <w:rPr>
            <w:rStyle w:val="Hyperlink"/>
          </w:rPr>
          <w:t xml:space="preserve">https://doi.org/10.1016/j.janxdis.2018.01.001</w:t>
        </w:r>
      </w:hyperlink>
    </w:p>
    <w:bookmarkEnd w:id="71"/>
    <w:bookmarkStart w:id="73"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72">
        <w:r>
          <w:rPr>
            <w:rStyle w:val="Hyperlink"/>
          </w:rPr>
          <w:t xml:space="preserve">https://doi.org/10.1371/journal.pone.0230169</w:t>
        </w:r>
      </w:hyperlink>
    </w:p>
    <w:bookmarkEnd w:id="73"/>
    <w:bookmarkStart w:id="75"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74">
        <w:r>
          <w:rPr>
            <w:rStyle w:val="Hyperlink"/>
          </w:rPr>
          <w:t xml:space="preserve">https://doi.org/10.4018/978-1-4666-5942-1</w:t>
        </w:r>
      </w:hyperlink>
    </w:p>
    <w:bookmarkEnd w:id="75"/>
    <w:bookmarkStart w:id="77"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76">
        <w:r>
          <w:rPr>
            <w:rStyle w:val="Hyperlink"/>
          </w:rPr>
          <w:t xml:space="preserve">https://doi.org/10.1016/j.invent.2014.08.003</w:t>
        </w:r>
      </w:hyperlink>
    </w:p>
    <w:bookmarkEnd w:id="77"/>
    <w:bookmarkStart w:id="78"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78"/>
    <w:bookmarkStart w:id="80"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9">
        <w:r>
          <w:rPr>
            <w:rStyle w:val="Hyperlink"/>
          </w:rPr>
          <w:t xml:space="preserve">https://doi.org/10.1080/16506073.2017.1401115</w:t>
        </w:r>
      </w:hyperlink>
    </w:p>
    <w:bookmarkEnd w:id="80"/>
    <w:bookmarkStart w:id="82"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81">
        <w:r>
          <w:rPr>
            <w:rStyle w:val="Hyperlink"/>
          </w:rPr>
          <w:t xml:space="preserve">https://doi.org/10.1146/annurev.psych.52.1.685</w:t>
        </w:r>
      </w:hyperlink>
    </w:p>
    <w:bookmarkEnd w:id="82"/>
    <w:bookmarkStart w:id="84"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83">
        <w:r>
          <w:rPr>
            <w:rStyle w:val="Hyperlink"/>
          </w:rPr>
          <w:t xml:space="preserve">https://doi.org/10.1016/0005-7967(86)90011-2</w:t>
        </w:r>
      </w:hyperlink>
    </w:p>
    <w:bookmarkEnd w:id="84"/>
    <w:bookmarkStart w:id="85"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85"/>
    <w:bookmarkStart w:id="87"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86">
        <w:r>
          <w:rPr>
            <w:rStyle w:val="Hyperlink"/>
          </w:rPr>
          <w:t xml:space="preserve">https://CRAN.R-project.org/package=clinicalsignificance</w:t>
        </w:r>
      </w:hyperlink>
    </w:p>
    <w:bookmarkEnd w:id="87"/>
    <w:bookmarkStart w:id="88"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8"/>
    <w:bookmarkStart w:id="90"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9">
        <w:r>
          <w:rPr>
            <w:rStyle w:val="Hyperlink"/>
          </w:rPr>
          <w:t xml:space="preserve">https://doi.org/10.1016/j.brat.2007.10.003</w:t>
        </w:r>
      </w:hyperlink>
    </w:p>
    <w:bookmarkEnd w:id="90"/>
    <w:bookmarkStart w:id="92"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91">
        <w:r>
          <w:rPr>
            <w:rStyle w:val="Hyperlink"/>
          </w:rPr>
          <w:t xml:space="preserve">https://doi.org/10.1016/j.brat.2013.03.003</w:t>
        </w:r>
      </w:hyperlink>
    </w:p>
    <w:bookmarkEnd w:id="92"/>
    <w:bookmarkStart w:id="93"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93"/>
    <w:bookmarkStart w:id="95"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94">
        <w:r>
          <w:rPr>
            <w:rStyle w:val="Hyperlink"/>
          </w:rPr>
          <w:t xml:space="preserve">https://doi.org/10.1017/S0033291701004056</w:t>
        </w:r>
      </w:hyperlink>
    </w:p>
    <w:bookmarkEnd w:id="95"/>
    <w:bookmarkStart w:id="96"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6"/>
    <w:bookmarkStart w:id="98"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7">
        <w:r>
          <w:rPr>
            <w:rStyle w:val="Hyperlink"/>
          </w:rPr>
          <w:t xml:space="preserve">https://www.random.org</w:t>
        </w:r>
      </w:hyperlink>
      <w:r>
        <w:t xml:space="preserve">.</w:t>
      </w:r>
    </w:p>
    <w:bookmarkEnd w:id="98"/>
    <w:bookmarkStart w:id="100"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9">
        <w:r>
          <w:rPr>
            <w:rStyle w:val="Hyperlink"/>
          </w:rPr>
          <w:t xml:space="preserve">https://doi.org/10.1016/S0005-7894(04)80013-3</w:t>
        </w:r>
      </w:hyperlink>
    </w:p>
    <w:bookmarkEnd w:id="100"/>
    <w:bookmarkStart w:id="102"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101">
        <w:r>
          <w:rPr>
            <w:rStyle w:val="Hyperlink"/>
          </w:rPr>
          <w:t xml:space="preserve">https://doi.org/10.1007/s10608-012-9476-1</w:t>
        </w:r>
      </w:hyperlink>
    </w:p>
    <w:bookmarkEnd w:id="102"/>
    <w:bookmarkStart w:id="103"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3"/>
    <w:bookmarkStart w:id="10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4"/>
    <w:bookmarkStart w:id="10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5">
        <w:r>
          <w:rPr>
            <w:rStyle w:val="Hyperlink"/>
          </w:rPr>
          <w:t xml:space="preserve">https://doi.org/10.1016/j.genhosppsych.2010.03.006</w:t>
        </w:r>
      </w:hyperlink>
    </w:p>
    <w:bookmarkEnd w:id="106"/>
    <w:bookmarkStart w:id="10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7">
        <w:r>
          <w:rPr>
            <w:rStyle w:val="Hyperlink"/>
          </w:rPr>
          <w:t xml:space="preserve">https://github.com/runehaubo/lmerTestR</w:t>
        </w:r>
      </w:hyperlink>
    </w:p>
    <w:bookmarkEnd w:id="108"/>
    <w:bookmarkStart w:id="11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9">
        <w:r>
          <w:rPr>
            <w:rStyle w:val="Hyperlink"/>
          </w:rPr>
          <w:t xml:space="preserve">https://cran.r-project.org/package=emmeans</w:t>
        </w:r>
      </w:hyperlink>
    </w:p>
    <w:bookmarkEnd w:id="110"/>
    <w:bookmarkStart w:id="11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11">
        <w:r>
          <w:rPr>
            <w:rStyle w:val="Hyperlink"/>
          </w:rPr>
          <w:t xml:space="preserve">https://doi.org/10.1016/B978-0-12-404480-7.50013-7</w:t>
        </w:r>
      </w:hyperlink>
    </w:p>
    <w:bookmarkEnd w:id="112"/>
    <w:bookmarkStart w:id="11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3"/>
    <w:bookmarkStart w:id="11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4">
        <w:r>
          <w:rPr>
            <w:rStyle w:val="Hyperlink"/>
          </w:rPr>
          <w:t xml:space="preserve">https://doi.org/10.21105/joss.00772</w:t>
        </w:r>
      </w:hyperlink>
    </w:p>
    <w:bookmarkEnd w:id="115"/>
    <w:bookmarkStart w:id="11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6">
        <w:r>
          <w:rPr>
            <w:rStyle w:val="Hyperlink"/>
          </w:rPr>
          <w:t xml:space="preserve">https://easystats.github.io/performance/</w:t>
        </w:r>
      </w:hyperlink>
    </w:p>
    <w:bookmarkEnd w:id="117"/>
    <w:bookmarkStart w:id="11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8">
        <w:r>
          <w:rPr>
            <w:rStyle w:val="Hyperlink"/>
          </w:rPr>
          <w:t xml:space="preserve">www.cci.health.wa.gov.au/Resources/Looking-After-Yourself/Assertiveness</w:t>
        </w:r>
      </w:hyperlink>
    </w:p>
    <w:bookmarkEnd w:id="119"/>
    <w:bookmarkStart w:id="121"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20">
        <w:r>
          <w:rPr>
            <w:rStyle w:val="Hyperlink"/>
          </w:rPr>
          <w:t xml:space="preserve">https://doi.org/10.1111/jpr.12185</w:t>
        </w:r>
      </w:hyperlink>
    </w:p>
    <w:bookmarkEnd w:id="121"/>
    <w:bookmarkStart w:id="123"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22">
        <w:r>
          <w:rPr>
            <w:rStyle w:val="Hyperlink"/>
          </w:rPr>
          <w:t xml:space="preserve">https://doi.org/10.2196/jmir.1602</w:t>
        </w:r>
      </w:hyperlink>
    </w:p>
    <w:bookmarkEnd w:id="123"/>
    <w:bookmarkStart w:id="124"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4"/>
    <w:bookmarkStart w:id="125"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5"/>
    <w:bookmarkStart w:id="127"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6">
        <w:r>
          <w:rPr>
            <w:rStyle w:val="Hyperlink"/>
          </w:rPr>
          <w:t xml:space="preserve">https://doi.org/10.1016/S0005-7894(73)80120-0</w:t>
        </w:r>
      </w:hyperlink>
    </w:p>
    <w:bookmarkEnd w:id="127"/>
    <w:bookmarkStart w:id="129"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8">
        <w:r>
          <w:rPr>
            <w:rStyle w:val="Hyperlink"/>
          </w:rPr>
          <w:t xml:space="preserve">https://doi.org/10.1037/ccp0000023</w:t>
        </w:r>
      </w:hyperlink>
    </w:p>
    <w:bookmarkEnd w:id="129"/>
    <w:bookmarkStart w:id="131"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30">
        <w:r>
          <w:rPr>
            <w:rStyle w:val="Hyperlink"/>
          </w:rPr>
          <w:t xml:space="preserve">https://doi.org/10.1016/j.brat.2017.05.015</w:t>
        </w:r>
      </w:hyperlink>
    </w:p>
    <w:bookmarkEnd w:id="131"/>
    <w:bookmarkStart w:id="132"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32"/>
    <w:bookmarkStart w:id="134"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3">
        <w:r>
          <w:rPr>
            <w:rStyle w:val="Hyperlink"/>
          </w:rPr>
          <w:t xml:space="preserve">https://sealedenvelope.com/simple-randomiser/v1</w:t>
        </w:r>
      </w:hyperlink>
      <w:r>
        <w:t xml:space="preserve">.</w:t>
      </w:r>
    </w:p>
    <w:bookmarkEnd w:id="134"/>
    <w:bookmarkStart w:id="135"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5"/>
    <w:bookmarkStart w:id="137"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6">
        <w:r>
          <w:rPr>
            <w:rStyle w:val="Hyperlink"/>
          </w:rPr>
          <w:t xml:space="preserve">https://doi.org/10.1111/cpsp.12216</w:t>
        </w:r>
      </w:hyperlink>
    </w:p>
    <w:bookmarkEnd w:id="137"/>
    <w:bookmarkStart w:id="139"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8">
        <w:r>
          <w:rPr>
            <w:rStyle w:val="Hyperlink"/>
          </w:rPr>
          <w:t xml:space="preserve">https://doi.org/10.1001/archinte.166.10.1092</w:t>
        </w:r>
      </w:hyperlink>
    </w:p>
    <w:bookmarkEnd w:id="139"/>
    <w:bookmarkStart w:id="141"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40">
        <w:r>
          <w:rPr>
            <w:rStyle w:val="Hyperlink"/>
          </w:rPr>
          <w:t xml:space="preserve">https://doi.org/10.1007/s10862-011-9226-9</w:t>
        </w:r>
      </w:hyperlink>
    </w:p>
    <w:bookmarkEnd w:id="141"/>
    <w:bookmarkStart w:id="143"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2">
        <w:r>
          <w:rPr>
            <w:rStyle w:val="Hyperlink"/>
          </w:rPr>
          <w:t xml:space="preserve">https://doi.org/10.1007/s10942-018-0296-4</w:t>
        </w:r>
      </w:hyperlink>
    </w:p>
    <w:bookmarkEnd w:id="143"/>
    <w:bookmarkStart w:id="144"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4"/>
    <w:bookmarkStart w:id="145" w:name="ref-wolpe1990practice"/>
    <w:p>
      <w:pPr>
        <w:pStyle w:val="Bibliography"/>
      </w:pPr>
      <w:r>
        <w:t xml:space="preserve">Wolpe, J. (1990).</w:t>
      </w:r>
      <w:r>
        <w:t xml:space="preserve"> </w:t>
      </w:r>
      <w:r>
        <w:rPr>
          <w:iCs/>
          <w:i/>
        </w:rPr>
        <w:t xml:space="preserve">The practice of behavior therapy</w:t>
      </w:r>
      <w:r>
        <w:t xml:space="preserve">. Pergamon Press.</w:t>
      </w:r>
    </w:p>
    <w:bookmarkEnd w:id="145"/>
    <w:bookmarkStart w:id="146"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6"/>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86" Target="https://CRAN.R-project.org/package=clinicalsignificance" TargetMode="External" /><Relationship Type="http://schemas.openxmlformats.org/officeDocument/2006/relationships/hyperlink" Id="rId109" Target="https://cran.r-project.org/package=emmeans" TargetMode="External" /><Relationship Type="http://schemas.openxmlformats.org/officeDocument/2006/relationships/hyperlink" Id="rId138" Target="https://doi.org/10.1001/archinte.166.10.1092" TargetMode="External" /><Relationship Type="http://schemas.openxmlformats.org/officeDocument/2006/relationships/hyperlink" Id="rId101" Target="https://doi.org/10.1007/s10608-012-9476-1" TargetMode="External" /><Relationship Type="http://schemas.openxmlformats.org/officeDocument/2006/relationships/hyperlink" Id="rId140" Target="https://doi.org/10.1007/s10862-011-9226-9" TargetMode="External" /><Relationship Type="http://schemas.openxmlformats.org/officeDocument/2006/relationships/hyperlink" Id="rId142" Target="https://doi.org/10.1007/s10942-018-0296-4" TargetMode="External" /><Relationship Type="http://schemas.openxmlformats.org/officeDocument/2006/relationships/hyperlink" Id="rId83" Target="https://doi.org/10.1016/0005-7967(86)90011-2" TargetMode="External" /><Relationship Type="http://schemas.openxmlformats.org/officeDocument/2006/relationships/hyperlink" Id="rId111" Target="https://doi.org/10.1016/B978-0-12-404480-7.50013-7" TargetMode="External" /><Relationship Type="http://schemas.openxmlformats.org/officeDocument/2006/relationships/hyperlink" Id="rId99" Target="https://doi.org/10.1016/S0005-7894(04)80013-3" TargetMode="External" /><Relationship Type="http://schemas.openxmlformats.org/officeDocument/2006/relationships/hyperlink" Id="rId126" Target="https://doi.org/10.1016/S0005-7894(73)80120-0" TargetMode="External" /><Relationship Type="http://schemas.openxmlformats.org/officeDocument/2006/relationships/hyperlink" Id="rId89" Target="https://doi.org/10.1016/j.brat.2007.10.003" TargetMode="External" /><Relationship Type="http://schemas.openxmlformats.org/officeDocument/2006/relationships/hyperlink" Id="rId91" Target="https://doi.org/10.1016/j.brat.2013.03.003" TargetMode="External" /><Relationship Type="http://schemas.openxmlformats.org/officeDocument/2006/relationships/hyperlink" Id="rId130" Target="https://doi.org/10.1016/j.brat.2017.05.015" TargetMode="External" /><Relationship Type="http://schemas.openxmlformats.org/officeDocument/2006/relationships/hyperlink" Id="rId105" Target="https://doi.org/10.1016/j.genhosppsych.2010.03.006" TargetMode="External" /><Relationship Type="http://schemas.openxmlformats.org/officeDocument/2006/relationships/hyperlink" Id="rId76" Target="https://doi.org/10.1016/j.invent.2014.08.003" TargetMode="External" /><Relationship Type="http://schemas.openxmlformats.org/officeDocument/2006/relationships/hyperlink" Id="rId70" Target="https://doi.org/10.1016/j.janxdis.2018.01.001" TargetMode="External" /><Relationship Type="http://schemas.openxmlformats.org/officeDocument/2006/relationships/hyperlink" Id="rId94" Target="https://doi.org/10.1017/S0033291701004056" TargetMode="External" /><Relationship Type="http://schemas.openxmlformats.org/officeDocument/2006/relationships/hyperlink" Id="rId128" Target="https://doi.org/10.1037/ccp0000023" TargetMode="External" /><Relationship Type="http://schemas.openxmlformats.org/officeDocument/2006/relationships/hyperlink" Id="rId79" Target="https://doi.org/10.1080/16506073.2017.1401115" TargetMode="External" /><Relationship Type="http://schemas.openxmlformats.org/officeDocument/2006/relationships/hyperlink" Id="rId136" Target="https://doi.org/10.1111/cpsp.12216" TargetMode="External" /><Relationship Type="http://schemas.openxmlformats.org/officeDocument/2006/relationships/hyperlink" Id="rId120" Target="https://doi.org/10.1111/jpr.12185" TargetMode="External" /><Relationship Type="http://schemas.openxmlformats.org/officeDocument/2006/relationships/hyperlink" Id="rId81" Target="https://doi.org/10.1146/annurev.psych.52.1.685" TargetMode="External" /><Relationship Type="http://schemas.openxmlformats.org/officeDocument/2006/relationships/hyperlink" Id="rId72" Target="https://doi.org/10.1371/journal.pone.0230169" TargetMode="External" /><Relationship Type="http://schemas.openxmlformats.org/officeDocument/2006/relationships/hyperlink" Id="rId114" Target="https://doi.org/10.21105/joss.00772" TargetMode="External" /><Relationship Type="http://schemas.openxmlformats.org/officeDocument/2006/relationships/hyperlink" Id="rId122" Target="https://doi.org/10.2196/jmir.1602" TargetMode="External" /><Relationship Type="http://schemas.openxmlformats.org/officeDocument/2006/relationships/hyperlink" Id="rId74" Target="https://doi.org/10.4018/978-1-4666-5942-1" TargetMode="External" /><Relationship Type="http://schemas.openxmlformats.org/officeDocument/2006/relationships/hyperlink" Id="rId11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7" Target="https://github.com/runehaubo/lmerTestR" TargetMode="External" /><Relationship Type="http://schemas.openxmlformats.org/officeDocument/2006/relationships/hyperlink" Id="rId133" Target="https://sealedenvelope.com/simple-randomiser/v1" TargetMode="External" /><Relationship Type="http://schemas.openxmlformats.org/officeDocument/2006/relationships/hyperlink" Id="rId118" Target="https://www.cci.health.wa.gov.au/Resources/Looking-After-Yourself/Assertiveness" TargetMode="External" /><Relationship Type="http://schemas.openxmlformats.org/officeDocument/2006/relationships/hyperlink" Id="rId97"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86" Target="https://CRAN.R-project.org/package=clinicalsignificance" TargetMode="External" /><Relationship Type="http://schemas.openxmlformats.org/officeDocument/2006/relationships/hyperlink" Id="rId109" Target="https://cran.r-project.org/package=emmeans" TargetMode="External" /><Relationship Type="http://schemas.openxmlformats.org/officeDocument/2006/relationships/hyperlink" Id="rId138" Target="https://doi.org/10.1001/archinte.166.10.1092" TargetMode="External" /><Relationship Type="http://schemas.openxmlformats.org/officeDocument/2006/relationships/hyperlink" Id="rId101" Target="https://doi.org/10.1007/s10608-012-9476-1" TargetMode="External" /><Relationship Type="http://schemas.openxmlformats.org/officeDocument/2006/relationships/hyperlink" Id="rId140" Target="https://doi.org/10.1007/s10862-011-9226-9" TargetMode="External" /><Relationship Type="http://schemas.openxmlformats.org/officeDocument/2006/relationships/hyperlink" Id="rId142" Target="https://doi.org/10.1007/s10942-018-0296-4" TargetMode="External" /><Relationship Type="http://schemas.openxmlformats.org/officeDocument/2006/relationships/hyperlink" Id="rId83" Target="https://doi.org/10.1016/0005-7967(86)90011-2" TargetMode="External" /><Relationship Type="http://schemas.openxmlformats.org/officeDocument/2006/relationships/hyperlink" Id="rId111" Target="https://doi.org/10.1016/B978-0-12-404480-7.50013-7" TargetMode="External" /><Relationship Type="http://schemas.openxmlformats.org/officeDocument/2006/relationships/hyperlink" Id="rId99" Target="https://doi.org/10.1016/S0005-7894(04)80013-3" TargetMode="External" /><Relationship Type="http://schemas.openxmlformats.org/officeDocument/2006/relationships/hyperlink" Id="rId126" Target="https://doi.org/10.1016/S0005-7894(73)80120-0" TargetMode="External" /><Relationship Type="http://schemas.openxmlformats.org/officeDocument/2006/relationships/hyperlink" Id="rId89" Target="https://doi.org/10.1016/j.brat.2007.10.003" TargetMode="External" /><Relationship Type="http://schemas.openxmlformats.org/officeDocument/2006/relationships/hyperlink" Id="rId91" Target="https://doi.org/10.1016/j.brat.2013.03.003" TargetMode="External" /><Relationship Type="http://schemas.openxmlformats.org/officeDocument/2006/relationships/hyperlink" Id="rId130" Target="https://doi.org/10.1016/j.brat.2017.05.015" TargetMode="External" /><Relationship Type="http://schemas.openxmlformats.org/officeDocument/2006/relationships/hyperlink" Id="rId105" Target="https://doi.org/10.1016/j.genhosppsych.2010.03.006" TargetMode="External" /><Relationship Type="http://schemas.openxmlformats.org/officeDocument/2006/relationships/hyperlink" Id="rId76" Target="https://doi.org/10.1016/j.invent.2014.08.003" TargetMode="External" /><Relationship Type="http://schemas.openxmlformats.org/officeDocument/2006/relationships/hyperlink" Id="rId70" Target="https://doi.org/10.1016/j.janxdis.2018.01.001" TargetMode="External" /><Relationship Type="http://schemas.openxmlformats.org/officeDocument/2006/relationships/hyperlink" Id="rId94" Target="https://doi.org/10.1017/S0033291701004056" TargetMode="External" /><Relationship Type="http://schemas.openxmlformats.org/officeDocument/2006/relationships/hyperlink" Id="rId128" Target="https://doi.org/10.1037/ccp0000023" TargetMode="External" /><Relationship Type="http://schemas.openxmlformats.org/officeDocument/2006/relationships/hyperlink" Id="rId79" Target="https://doi.org/10.1080/16506073.2017.1401115" TargetMode="External" /><Relationship Type="http://schemas.openxmlformats.org/officeDocument/2006/relationships/hyperlink" Id="rId136" Target="https://doi.org/10.1111/cpsp.12216" TargetMode="External" /><Relationship Type="http://schemas.openxmlformats.org/officeDocument/2006/relationships/hyperlink" Id="rId120" Target="https://doi.org/10.1111/jpr.12185" TargetMode="External" /><Relationship Type="http://schemas.openxmlformats.org/officeDocument/2006/relationships/hyperlink" Id="rId81" Target="https://doi.org/10.1146/annurev.psych.52.1.685" TargetMode="External" /><Relationship Type="http://schemas.openxmlformats.org/officeDocument/2006/relationships/hyperlink" Id="rId72" Target="https://doi.org/10.1371/journal.pone.0230169" TargetMode="External" /><Relationship Type="http://schemas.openxmlformats.org/officeDocument/2006/relationships/hyperlink" Id="rId114" Target="https://doi.org/10.21105/joss.00772" TargetMode="External" /><Relationship Type="http://schemas.openxmlformats.org/officeDocument/2006/relationships/hyperlink" Id="rId122" Target="https://doi.org/10.2196/jmir.1602" TargetMode="External" /><Relationship Type="http://schemas.openxmlformats.org/officeDocument/2006/relationships/hyperlink" Id="rId74" Target="https://doi.org/10.4018/978-1-4666-5942-1" TargetMode="External" /><Relationship Type="http://schemas.openxmlformats.org/officeDocument/2006/relationships/hyperlink" Id="rId11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7" Target="https://github.com/runehaubo/lmerTestR" TargetMode="External" /><Relationship Type="http://schemas.openxmlformats.org/officeDocument/2006/relationships/hyperlink" Id="rId133" Target="https://sealedenvelope.com/simple-randomiser/v1" TargetMode="External" /><Relationship Type="http://schemas.openxmlformats.org/officeDocument/2006/relationships/hyperlink" Id="rId118" Target="https://www.cci.health.wa.gov.au/Resources/Looking-After-Yourself/Assertiveness" TargetMode="External" /><Relationship Type="http://schemas.openxmlformats.org/officeDocument/2006/relationships/hyperlink" Id="rId97"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2022-07-23T07:52:15Z</dcterms:created>
  <dcterms:modified xsi:type="dcterms:W3CDTF">2022-07-23T07:52:15Z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23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