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2022-12-08</w:t>
      </w:r>
    </w:p>
    <w:p>
      <w:pPr>
        <w:pStyle w:val="Abstract"/>
      </w:pPr>
      <w:r>
        <w:rPr>
          <w:bCs/>
          <w:b/>
        </w:rPr>
        <w:t xml:space="preserve">Background.</w:t>
      </w:r>
      <w:r>
        <w:t xml:space="preserve"> </w:t>
      </w:r>
      <w:r>
        <w:t xml:space="preserve">Assertiveness</w:t>
      </w:r>
      <w:r>
        <w:t xml:space="preserve"> </w:t>
      </w:r>
      <w:r>
        <w:t xml:space="preserve">training</w:t>
      </w:r>
      <w:r>
        <w:t xml:space="preserve"> </w:t>
      </w:r>
      <w:r>
        <w:t xml:space="preserve">has</w:t>
      </w:r>
      <w:r>
        <w:t xml:space="preserve"> </w:t>
      </w:r>
      <w:r>
        <w:t xml:space="preserve">for</w:t>
      </w:r>
      <w:r>
        <w:t xml:space="preserve"> </w:t>
      </w:r>
      <w:r>
        <w:t xml:space="preserve">a</w:t>
      </w:r>
      <w:r>
        <w:t xml:space="preserve"> </w:t>
      </w:r>
      <w:r>
        <w:t xml:space="preserve">long</w:t>
      </w:r>
      <w:r>
        <w:t xml:space="preserve"> </w:t>
      </w:r>
      <w:r>
        <w:t xml:space="preserve">time</w:t>
      </w:r>
      <w:r>
        <w:t xml:space="preserve"> </w:t>
      </w:r>
      <w:r>
        <w:t xml:space="preserve">been</w:t>
      </w:r>
      <w:r>
        <w:t xml:space="preserve"> </w:t>
      </w:r>
      <w:r>
        <w:t xml:space="preserve">an</w:t>
      </w:r>
      <w:r>
        <w:t xml:space="preserve"> </w:t>
      </w:r>
      <w:r>
        <w:t xml:space="preserve">important</w:t>
      </w:r>
      <w:r>
        <w:t xml:space="preserve"> </w:t>
      </w:r>
      <w:r>
        <w:t xml:space="preserve">component</w:t>
      </w:r>
      <w:r>
        <w:t xml:space="preserve"> </w:t>
      </w:r>
      <w:r>
        <w:t xml:space="preserve">in</w:t>
      </w:r>
      <w:r>
        <w:t xml:space="preserve"> </w:t>
      </w:r>
      <w:r>
        <w:t xml:space="preserve">cognitive-behavioral</w:t>
      </w:r>
      <w:r>
        <w:t xml:space="preserve"> </w:t>
      </w:r>
      <w:r>
        <w:t xml:space="preserve">therapy</w:t>
      </w:r>
      <w:r>
        <w:t xml:space="preserve"> </w:t>
      </w:r>
      <w:r>
        <w:t xml:space="preserve">(CBT),</w:t>
      </w:r>
      <w:r>
        <w:t xml:space="preserve"> </w:t>
      </w:r>
      <w:r>
        <w:t xml:space="preserve">for</w:t>
      </w:r>
      <w:r>
        <w:t xml:space="preserve"> </w:t>
      </w:r>
      <w:r>
        <w:t xml:space="preserve">example</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garnered</w:t>
      </w:r>
      <w:r>
        <w:t xml:space="preserve"> </w:t>
      </w:r>
      <w:r>
        <w:t xml:space="preserve">little</w:t>
      </w:r>
      <w:r>
        <w:t xml:space="preserve"> </w:t>
      </w:r>
      <w:r>
        <w:t xml:space="preserve">attention</w:t>
      </w:r>
      <w:r>
        <w:t xml:space="preserve"> </w:t>
      </w:r>
      <w:r>
        <w:t xml:space="preserve">in</w:t>
      </w:r>
      <w:r>
        <w:t xml:space="preserve"> </w:t>
      </w:r>
      <w:r>
        <w:t xml:space="preserve">recent</w:t>
      </w:r>
      <w:r>
        <w:t xml:space="preserve"> </w:t>
      </w:r>
      <w:r>
        <w:t xml:space="preserve">clinical</w:t>
      </w:r>
      <w:r>
        <w:t xml:space="preserve"> </w:t>
      </w:r>
      <w:r>
        <w:t xml:space="preserve">research.</w:t>
      </w:r>
      <w:r>
        <w:t xml:space="preserve"> </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t xml:space="preserve"> </w:t>
      </w:r>
      <w:r>
        <w:rPr>
          <w:bCs/>
          <w:b/>
        </w:rPr>
        <w:t xml:space="preserve">Methods.</w:t>
      </w:r>
      <w:r>
        <w:t xml:space="preserve"> </w:t>
      </w:r>
      <w:r>
        <w:t xml:space="preserve">Following</w:t>
      </w:r>
      <w:r>
        <w:t xml:space="preserve"> </w:t>
      </w:r>
      <w:r>
        <w:t xml:space="preserve">inclusion,</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depression,</w:t>
      </w:r>
      <w:r>
        <w:t xml:space="preserve"> </w:t>
      </w:r>
      <w:r>
        <w:t xml:space="preserve">and</w:t>
      </w:r>
      <w:r>
        <w:t xml:space="preserve"> </w:t>
      </w:r>
      <w:r>
        <w:t xml:space="preserve">general</w:t>
      </w:r>
      <w:r>
        <w:t xml:space="preserve"> </w:t>
      </w:r>
      <w:r>
        <w:t xml:space="preserve">well-being.</w:t>
      </w:r>
      <w:r>
        <w:t xml:space="preserve"> </w:t>
      </w:r>
      <w:r>
        <w:t xml:space="preserve">We</w:t>
      </w:r>
      <w:r>
        <w:t xml:space="preserve"> </w:t>
      </w:r>
      <w:r>
        <w:t xml:space="preserve">also</w:t>
      </w:r>
      <w:r>
        <w:t xml:space="preserve"> </w:t>
      </w:r>
      <w:r>
        <w:t xml:space="preserve">assessed</w:t>
      </w:r>
      <w:r>
        <w:t xml:space="preserve"> </w:t>
      </w:r>
      <w:r>
        <w:t xml:space="preserve">reliable</w:t>
      </w:r>
      <w:r>
        <w:t xml:space="preserve"> </w:t>
      </w:r>
      <w:r>
        <w:t xml:space="preserve">clinical</w:t>
      </w:r>
      <w:r>
        <w:t xml:space="preserve"> </w:t>
      </w:r>
      <w:r>
        <w:t xml:space="preserve">change.</w:t>
      </w:r>
      <w:r>
        <w:t xml:space="preserve"> </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treatment,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increase</w:t>
      </w:r>
      <w:r>
        <w:t xml:space="preserve"> </w:t>
      </w:r>
      <w:r>
        <w:t xml:space="preserve">in</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–.62</w:t>
      </w:r>
      <w:r>
        <w:t xml:space="preserve"> </w:t>
      </w:r>
      <w:r>
        <w:t xml:space="preserve">to</w:t>
      </w:r>
      <w:r>
        <w:t xml:space="preserve"> </w:t>
      </w:r>
      <m:oMath>
        <m:r>
          <m:t>E</m:t>
        </m:r>
        <m:r>
          <m:t>S</m:t>
        </m:r>
      </m:oMath>
      <w:r>
        <w:t xml:space="preserve"> </w:t>
      </w:r>
      <w:r>
        <w:t xml:space="preserve">=</w:t>
      </w:r>
      <w:r>
        <w:t xml:space="preserve"> </w:t>
      </w:r>
      <w:r>
        <w:t xml:space="preserve">–.90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condition</w:t>
      </w:r>
      <w:r>
        <w:t xml:space="preserve"> </w:t>
      </w:r>
      <w:r>
        <w:t xml:space="preserve">at</w:t>
      </w:r>
      <w:r>
        <w:t xml:space="preserve"> </w:t>
      </w:r>
      <w:r>
        <w:t xml:space="preserve">post.</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treatment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.67</w:t>
      </w:r>
      <w:r>
        <w:t xml:space="preserve"> </w:t>
      </w:r>
      <w:r>
        <w:t xml:space="preserve">to</w:t>
      </w:r>
      <w:r>
        <w:t xml:space="preserve"> </w:t>
      </w:r>
      <m:oMath>
        <m:r>
          <m:t>E</m:t>
        </m:r>
        <m:r>
          <m:t>S</m:t>
        </m:r>
      </m:oMath>
      <w:r>
        <w:t xml:space="preserve"> </w:t>
      </w:r>
      <w:r>
        <w:t xml:space="preserve">=</w:t>
      </w:r>
      <w:r>
        <w:t xml:space="preserve"> </w:t>
      </w:r>
      <w:r>
        <w:t xml:space="preserve">.93,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For</w:t>
      </w:r>
      <w:r>
        <w:t xml:space="preserve"> </w:t>
      </w:r>
      <w:r>
        <w:t xml:space="preserve">self-assessed</w:t>
      </w:r>
      <w:r>
        <w:t xml:space="preserve"> </w:t>
      </w:r>
      <w:r>
        <w:t xml:space="preserve">well-being,</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.70</w:t>
      </w:r>
      <w:r>
        <w:t xml:space="preserve"> </w:t>
      </w:r>
      <w:r>
        <w:t xml:space="preserve">to</w:t>
      </w:r>
      <w:r>
        <w:t xml:space="preserve"> </w:t>
      </w:r>
      <m:oMath>
        <m:r>
          <m:t>E</m:t>
        </m:r>
        <m:r>
          <m:t>S</m:t>
        </m:r>
      </m:oMath>
      <w:r>
        <w:t xml:space="preserve"> </w:t>
      </w:r>
      <w:r>
        <w:t xml:space="preserve">=</w:t>
      </w:r>
      <w:r>
        <w:t xml:space="preserve"> </w:t>
      </w:r>
      <w:r>
        <w:t xml:space="preserve">1.05.</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t xml:space="preserve"> </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regardless</w:t>
      </w:r>
      <w:r>
        <w:t xml:space="preserve"> </w:t>
      </w:r>
      <w:r>
        <w:t xml:space="preserve">of</w:t>
      </w:r>
      <w:r>
        <w:t xml:space="preserve"> </w:t>
      </w:r>
      <w:r>
        <w:t xml:space="preserve">treatment</w:t>
      </w:r>
      <w:r>
        <w:t xml:space="preserve"> </w:t>
      </w:r>
      <w:r>
        <w:t xml:space="preserve">condition,</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Participation</w:t>
      </w:r>
      <w:r>
        <w:t xml:space="preserve"> </w:t>
      </w:r>
      <w:r>
        <w:t xml:space="preserve">also</w:t>
      </w:r>
      <w:r>
        <w:t xml:space="preserve"> </w:t>
      </w:r>
      <w:r>
        <w:t xml:space="preserve">improved</w:t>
      </w:r>
      <w:r>
        <w:t xml:space="preserve"> </w:t>
      </w:r>
      <w:r>
        <w:t xml:space="preserve">general</w:t>
      </w:r>
      <w:r>
        <w:t xml:space="preserve"> </w:t>
      </w:r>
      <w:r>
        <w:t xml:space="preserve">well-being.</w:t>
      </w:r>
      <w:r>
        <w:t xml:space="preserve"> </w:t>
      </w:r>
      <w:r>
        <w:t xml:space="preserve">The</w:t>
      </w:r>
      <w:r>
        <w:t xml:space="preserve"> </w:t>
      </w:r>
      <w:r>
        <w:t xml:space="preserve">findings</w:t>
      </w:r>
      <w:r>
        <w:t xml:space="preserve"> </w:t>
      </w:r>
      <w:r>
        <w:t xml:space="preserve">demonstrate</w:t>
      </w:r>
      <w:r>
        <w:t xml:space="preserve"> </w:t>
      </w:r>
      <w:r>
        <w:t xml:space="preserve">that</w:t>
      </w:r>
      <w:r>
        <w:t xml:space="preserve"> </w:t>
      </w:r>
      <w:r>
        <w:t xml:space="preserve">the</w:t>
      </w:r>
      <w:r>
        <w:t xml:space="preserve"> </w:t>
      </w:r>
      <w:r>
        <w:t xml:space="preserve">assertiveness</w:t>
      </w:r>
      <w:r>
        <w:t xml:space="preserve"> </w:t>
      </w:r>
      <w:r>
        <w:t xml:space="preserve">construct</w:t>
      </w:r>
      <w:r>
        <w:t xml:space="preserve"> </w:t>
      </w:r>
      <w:r>
        <w:t xml:space="preserve">can</w:t>
      </w:r>
      <w:r>
        <w:t xml:space="preserve"> </w:t>
      </w:r>
      <w:r>
        <w:t xml:space="preserve">be</w:t>
      </w:r>
      <w:r>
        <w:t xml:space="preserve"> </w:t>
      </w:r>
      <w:r>
        <w:t xml:space="preserve">a</w:t>
      </w:r>
      <w:r>
        <w:t xml:space="preserve"> </w:t>
      </w:r>
      <w:r>
        <w:t xml:space="preserve">suitable</w:t>
      </w:r>
      <w:r>
        <w:t xml:space="preserve"> </w:t>
      </w:r>
      <w:r>
        <w:t xml:space="preserve">target</w:t>
      </w:r>
      <w:r>
        <w:t xml:space="preserve"> </w:t>
      </w:r>
      <w:r>
        <w:t xml:space="preserve">for</w:t>
      </w:r>
      <w:r>
        <w:t xml:space="preserve"> </w:t>
      </w:r>
      <w:r>
        <w:t xml:space="preserve">intervention,</w:t>
      </w:r>
      <w:r>
        <w:t xml:space="preserve"> </w:t>
      </w:r>
      <w:r>
        <w:t xml:space="preserve">with</w:t>
      </w:r>
      <w:r>
        <w:t xml:space="preserve"> </w:t>
      </w:r>
      <w:r>
        <w:t xml:space="preserve">reductions</w:t>
      </w:r>
      <w:r>
        <w:t xml:space="preserve"> </w:t>
      </w:r>
      <w:r>
        <w:t xml:space="preserve">of</w:t>
      </w:r>
      <w:r>
        <w:t xml:space="preserve"> </w:t>
      </w:r>
      <w:r>
        <w:t xml:space="preserve">both</w:t>
      </w:r>
      <w:r>
        <w:t xml:space="preserve"> </w:t>
      </w:r>
      <w:r>
        <w:t xml:space="preserve">psychiatric</w:t>
      </w:r>
      <w:r>
        <w:t xml:space="preserve"> </w:t>
      </w:r>
      <w:r>
        <w:t xml:space="preserve">symptoms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Escape and avoidance is associated with the development of maladaptive behavior among vulnerable participants in laboratory trials</w:t>
      </w:r>
      <w:r>
        <w:t xml:space="preserve"> </w:t>
      </w:r>
      <w:r>
        <w:t xml:space="preserve">(Sheynin et al., 2014)</w:t>
      </w:r>
      <w:r>
        <w:t xml:space="preserve">, as well as psychopathologies in clinical presentations. Experiences of stress, anxiety, and depression are often associated with avoidance of constructively presenting one’s thoughts, feelings, needs, and wishes in relation to others, that is deficits in assertive behavior</w:t>
      </w:r>
      <w:r>
        <w:t xml:space="preserve"> </w:t>
      </w:r>
      <w:r>
        <w:t xml:space="preserve">(Speed et al., 2018)</w:t>
      </w:r>
      <w:r>
        <w:t xml:space="preserve">. 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conditions associated with these problems, no evidence-based interventions specifically target assertiveness for a broader population.</w:t>
      </w:r>
    </w:p>
    <w:p>
      <w:pPr>
        <w:pStyle w:val="BodyText"/>
      </w:pPr>
      <w:r>
        <w:t xml:space="preserve">Assertiveness training dates back to the very first behavioral therapies</w:t>
      </w:r>
      <w:r>
        <w:t xml:space="preserve"> </w:t>
      </w:r>
      <w:r>
        <w:t xml:space="preserve">(e.g., Salter, 1949; Wolpe and Lazarus, 1966)</w:t>
      </w:r>
      <w:r>
        <w:t xml:space="preserve">. In the 1970s, the concept was popularized in self-help books</w:t>
      </w:r>
      <w:r>
        <w:t xml:space="preserve"> </w:t>
      </w:r>
      <w:r>
        <w:t xml:space="preserve">(e.g., Alberti and Emmons, 1974; Fensterheim and Baer, 1975; Smith,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Linehan’s</w:t>
      </w:r>
      <w:r>
        <w:t xml:space="preserve"> </w:t>
      </w:r>
      <w:r>
        <w:t xml:space="preserve">(1979)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concluded that while assertiveness training is part of DBT, as well as acceptance and commitment therapy (ACT), general assertiveness training is not often mentioned in the current CBT literature. Few studies on assertiveness training have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reported a negative association between mental distress in general and assertiveness, and</w:t>
      </w:r>
      <w:r>
        <w:t xml:space="preserve"> </w:t>
      </w:r>
      <w:r>
        <w:t xml:space="preserve">Antúnez (2020)</w:t>
      </w:r>
      <w:r>
        <w:t xml:space="preserve"> </w:t>
      </w:r>
      <w:r>
        <w:t xml:space="preserve">found a link between circadian typology and level of assertiveness.</w:t>
      </w:r>
      <w:r>
        <w:t xml:space="preserve"> </w:t>
      </w:r>
      <w:r>
        <w:t xml:space="preserve">Speed et al. (2018)</w:t>
      </w:r>
      <w:r>
        <w:t xml:space="preserve"> </w:t>
      </w:r>
      <w:r>
        <w:t xml:space="preserve">further concluded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the empirical support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conduct a randomized controlled trial (RCT) on the effects of an eight-week iCBT intervention targeting unhealty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We tested the effects on measures of anxiety, depression, and well-being, as well as the difference between guided and unguided iCBT against the control group (three-armed trial).</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We randomly allocated participants to three groups: (1) guided self-help, (2) unguided self-help, and (3) eight-week wait-list control. The final sample consisted of 210 participants, with 70 participants per group. The group sizes were based on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.90</m:t>
        </m:r>
      </m:oMath>
      <w:r>
        <w:t xml:space="preserve">, alpha</w:t>
      </w:r>
      <w:r>
        <w:t xml:space="preserve"> </w:t>
      </w:r>
      <m:oMath>
        <m:r>
          <m:t>.05</m:t>
        </m:r>
      </m:oMath>
      <w:r>
        <w:t xml:space="preserve">, and a</w:t>
      </w:r>
      <w:r>
        <w:t xml:space="preserve"> </w:t>
      </w:r>
      <m:oMath>
        <m:r>
          <m:t>15</m:t>
        </m:r>
      </m:oMath>
      <w:r>
        <w:t xml:space="preserve">%</w:t>
      </w:r>
      <w:r>
        <w:t xml:space="preserve"> </w:t>
      </w:r>
      <w:r>
        <w:t xml:space="preserve">“</w:t>
      </w:r>
      <w:r>
        <w:t xml:space="preserve">worst case</w:t>
      </w:r>
      <w:r>
        <w:t xml:space="preserve">”</w:t>
      </w:r>
      <w:r>
        <w:t xml:space="preserve"> </w:t>
      </w:r>
      <w:r>
        <w:t xml:space="preserve">drop-out rate per week, with the duration of the intervention being eight weeks in total.</w:t>
      </w:r>
    </w:p>
    <w:p>
      <w:pPr>
        <w:pStyle w:val="BodyText"/>
      </w:pPr>
      <w:r>
        <w:t xml:space="preserve">The study was registered at ClinicalTrials.gov (NCT04240249). An error in the design was corrected post-registration, in that the Rathus Assertiveness Schedule (RAS) scale was moved from the secondary outcome measures category to the primary outcome measures category, as the scale captures the primary dependent variable of interest. Before recruitment started, the study received ethical approval from the Swedish Ethical Review Authority (Diary number: 2019-05165).</w:t>
      </w:r>
    </w:p>
    <w:bookmarkEnd w:id="21"/>
    <w:bookmarkStart w:id="22"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secure website</w:t>
      </w:r>
      <w:r>
        <w:t xml:space="preserve"> </w:t>
      </w:r>
      <w:r>
        <w:t xml:space="preserve">(Vlaescu et al., 2016)</w:t>
      </w:r>
      <w:r>
        <w:t xml:space="preserve"> </w:t>
      </w:r>
      <w:r>
        <w:t xml:space="preserve">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See Figure 1 for a flow-chart detailing the recruitment and randomization steps.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English-language version of the AAA-S have good internal consistency for aggressive assertiveness (</w:t>
      </w:r>
      <m:oMath>
        <m:r>
          <m:t>.88</m:t>
        </m:r>
      </m:oMath>
      <w:r>
        <w:t xml:space="preserve">), and excellent for adaptive assertiveness (</w:t>
      </w:r>
      <m:oMath>
        <m:r>
          <m:t>.93</m:t>
        </m:r>
      </m:oMath>
      <w:r>
        <w:t xml:space="preserve">),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 The original versions of the AAA-S Adaptive a of the RAS has good internal consistency (</w:t>
      </w:r>
      <m:oMath>
        <m:r>
          <m:t>.87</m:t>
        </m:r>
      </m:oMath>
      <w:r>
        <w:t xml:space="preserve">),</w:t>
      </w:r>
    </w:p>
    <w:bookmarkEnd w:id="24"/>
    <w:bookmarkStart w:id="25" w:name="secondary-measures"/>
    <w:p>
      <w:pPr>
        <w:pStyle w:val="Heading3"/>
      </w:pPr>
      <w:r>
        <w:t xml:space="preserve">Secondary measures</w:t>
      </w:r>
    </w:p>
    <w:p>
      <w:pPr>
        <w:pStyle w:val="FirstParagraph"/>
      </w:pPr>
      <w:r>
        <w:t xml:space="preserve">Depression was measured using the Patient Health Questionnaire 9-Item Scale</w:t>
      </w:r>
      <w:r>
        <w:t xml:space="preserve"> </w:t>
      </w:r>
      <w:r>
        <w:t xml:space="preserve">(PHQ-9; 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General well-being was measured using the Questionnaire on well-being</w:t>
      </w:r>
      <w:r>
        <w:t xml:space="preserve"> </w:t>
      </w:r>
      <w:r>
        <w:t xml:space="preserve">(Braconier, 2015)</w:t>
      </w:r>
      <w:r>
        <w:t xml:space="preserve">, which contains 18 items, such as</w:t>
      </w:r>
      <w:r>
        <w:t xml:space="preserve"> </w:t>
      </w:r>
      <w:r>
        <w:t xml:space="preserve">“</w:t>
      </w:r>
      <w:r>
        <w:t xml:space="preserve">To what extent during the past week have you felt calm and relaxed?</w:t>
      </w:r>
      <w:r>
        <w:t xml:space="preserve">”</w:t>
      </w:r>
      <w:r>
        <w:t xml:space="preserve"> </w:t>
      </w:r>
      <w:r>
        <w:t xml:space="preserve">(0 = never to 5 = very often). These self-report measures have reported either good or excellent internal consistency (</w:t>
      </w:r>
      <m:oMath>
        <m:r>
          <m:t>.89</m:t>
        </m:r>
      </m:oMath>
      <w:r>
        <w:t xml:space="preserve">,</w:t>
      </w:r>
      <w:r>
        <w:t xml:space="preserve"> </w:t>
      </w:r>
      <m:oMath>
        <m:r>
          <m:t>.92</m:t>
        </m:r>
      </m:oMath>
      <w:r>
        <w:t xml:space="preserve">,</w:t>
      </w:r>
      <w:r>
        <w:t xml:space="preserve"> </w:t>
      </w:r>
      <m:oMath>
        <m:r>
          <m:t>.96</m:t>
        </m:r>
      </m:oMath>
      <w:r>
        <w:t xml:space="preserve">, and</w:t>
      </w:r>
      <w:r>
        <w:t xml:space="preserve"> </w:t>
      </w:r>
      <m:oMath>
        <m:r>
          <m:t>.93</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 Wolpe’s</w:t>
      </w:r>
      <w:r>
        <w:t xml:space="preserve"> </w:t>
      </w:r>
      <w:r>
        <w:t xml:space="preserve">(1990)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r2fu-article_files/figure-docx/flowchart-dot-1.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4.2.2,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and aggressive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as well as for the general well-being measure. Participation in the unguided self-help and guided self-help conditions led to significant symptom alleviation between the pre and post time points as well as between the pre and one-year follow-up time points for depression and social anxiety. Participation in both treatment groups also led to significant increases in well-being. As with the transdiagnostic measures of assertive behavior, the differences between the post and follow-up time points were statistically inappreciable for all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1. These interactions showed that the random assignment to group conditions had an effect over time on assertive behavior. Similarly, mixed models for the syndromal symptoms revealed time–group interaction effects for all four measures of anxiety, depression, and well-being: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and the Well-being questionnaire,</w:t>
      </w:r>
      <w:r>
        <w:t xml:space="preserve"> </w:t>
      </w:r>
      <m:oMath>
        <m:r>
          <m:t>F</m:t>
        </m:r>
      </m:oMath>
      <w:r>
        <w:t xml:space="preserve">(</w:t>
      </w:r>
      <m:oMath>
        <m:r>
          <m:t>4</m:t>
        </m:r>
      </m:oMath>
      <w:r>
        <w:t xml:space="preserve">,</w:t>
      </w:r>
      <w:r>
        <w:t xml:space="preserve"> </w:t>
      </w:r>
      <m:oMath>
        <m:r>
          <m:t>313.62</m:t>
        </m:r>
      </m:oMath>
      <w:r>
        <w:t xml:space="preserve">) =</w:t>
      </w:r>
      <w:r>
        <w:t xml:space="preserve"> </w:t>
      </w:r>
      <m:oMath>
        <m:r>
          <m:t>7.5</m:t>
        </m:r>
      </m:oMath>
      <w:r>
        <w:t xml:space="preserve">,</w:t>
      </w:r>
      <w:r>
        <w:t xml:space="preserve"> </w:t>
      </w:r>
      <m:oMath>
        <m:sSub>
          <m:e>
            <m:r>
              <m:t>p</m:t>
            </m:r>
          </m:e>
          <m:sub>
            <m:r>
              <m:t>​</m:t>
            </m:r>
          </m:sub>
        </m:sSub>
      </m:oMath>
      <w:r>
        <w:t xml:space="preserve"> </w:t>
      </w:r>
      <w:r>
        <w:t xml:space="preserve">&lt;</w:t>
      </w:r>
      <w:r>
        <w:t xml:space="preserve"> </w:t>
      </w:r>
      <m:oMath>
        <m:r>
          <m:t>.001</m:t>
        </m:r>
      </m:oMath>
      <w:r>
        <w:t xml:space="preserve">; see Figure 2. The estimated mean levels of depressive mood, generalized and social anxiety, and general well-being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e0e1ead8dd8f4a0b700a0bda44dc56c970fa046"/>
    <w:p>
      <w:pPr>
        <w:pStyle w:val="Heading3"/>
      </w:pPr>
      <w:r>
        <w:t xml:space="preserve">Between-group effects on syndromal symptoms of anxiety, depression, and well-being</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compared with the most conservative value, from the during time point, for the wait-list group.</w:t>
      </w:r>
    </w:p>
    <w:p>
      <w:pPr>
        <w:pStyle w:val="BodyText"/>
      </w:pPr>
      <w:r>
        <w:t xml:space="preserve">For general well-being, moderate effects were found at post in both the unguided and the guided groups,</w:t>
      </w:r>
      <w:r>
        <w:t xml:space="preserve"> </w:t>
      </w:r>
      <m:oMath>
        <m:r>
          <m:t>Δ</m:t>
        </m:r>
        <m:r>
          <m:t>M</m:t>
        </m:r>
      </m:oMath>
      <w:r>
        <w:t xml:space="preserve"> </w:t>
      </w:r>
      <w:r>
        <w:t xml:space="preserve">=</w:t>
      </w:r>
      <w:r>
        <w:t xml:space="preserve"> </w:t>
      </w:r>
      <m:oMath>
        <m:r>
          <m:t>8.1</m:t>
        </m:r>
      </m:oMath>
      <w:r>
        <w:t xml:space="preserve">,</w:t>
      </w:r>
      <w:r>
        <w:t xml:space="preserve"> </w:t>
      </w:r>
      <m:oMath>
        <m:r>
          <m:t>t</m:t>
        </m:r>
      </m:oMath>
      <w:r>
        <w:t xml:space="preserve">(</w:t>
      </w:r>
      <m:oMath>
        <m:r>
          <m:t>443</m:t>
        </m:r>
      </m:oMath>
      <w:r>
        <w:t xml:space="preserve">) =</w:t>
      </w:r>
      <w:r>
        <w:t xml:space="preserve"> </w:t>
      </w:r>
      <m:oMath>
        <m:r>
          <m:rPr>
            <m:sty m:val="p"/>
          </m:rPr>
          <m:t>−</m:t>
        </m:r>
        <m:r>
          <m:t>3.53</m:t>
        </m:r>
      </m:oMath>
      <w:r>
        <w:t xml:space="preserve">,</w:t>
      </w:r>
      <w:r>
        <w:t xml:space="preserve"> </w:t>
      </w:r>
      <m:oMath>
        <m:sSub>
          <m:e>
            <m:r>
              <m:t>p</m:t>
            </m:r>
          </m:e>
          <m:sub>
            <m:r>
              <m:t>B</m:t>
            </m:r>
            <m:r>
              <m:t>o</m:t>
            </m:r>
            <m:r>
              <m:t>n</m:t>
            </m:r>
            <m:r>
              <m:t>f</m:t>
            </m:r>
          </m:sub>
        </m:sSub>
      </m:oMath>
      <w:r>
        <w:t xml:space="preserve"> </w:t>
      </w:r>
      <w:r>
        <w:t xml:space="preserve">=</w:t>
      </w:r>
      <w:r>
        <w:t xml:space="preserve"> </w:t>
      </w:r>
      <m:oMath>
        <m:r>
          <m:t>.026</m:t>
        </m:r>
      </m:oMath>
      <w:r>
        <w:t xml:space="preserve">,</w:t>
      </w:r>
      <w:r>
        <w:t xml:space="preserve"> </w:t>
      </w:r>
      <m:oMath>
        <m:r>
          <m:t>E</m:t>
        </m:r>
        <m:r>
          <m:t>S</m:t>
        </m:r>
      </m:oMath>
      <w:r>
        <w:t xml:space="preserve"> </w:t>
      </w:r>
      <w:r>
        <w:t xml:space="preserve">=</w:t>
      </w:r>
      <w:r>
        <w:t xml:space="preserve"> </w:t>
      </w:r>
      <m:oMath>
        <m:r>
          <m:t>.70</m:t>
        </m:r>
      </m:oMath>
      <w:r>
        <w:t xml:space="preserve">, and</w:t>
      </w:r>
      <w:r>
        <w:t xml:space="preserve"> </w:t>
      </w:r>
      <m:oMath>
        <m:r>
          <m:t>Δ</m:t>
        </m:r>
        <m:r>
          <m:t>M</m:t>
        </m:r>
      </m:oMath>
      <w:r>
        <w:t xml:space="preserve"> </w:t>
      </w:r>
      <w:r>
        <w:t xml:space="preserve">=</w:t>
      </w:r>
      <w:r>
        <w:t xml:space="preserve"> </w:t>
      </w:r>
      <m:oMath>
        <m:r>
          <m:t>8.8</m:t>
        </m:r>
      </m:oMath>
      <w:r>
        <w:t xml:space="preserve">,</w:t>
      </w:r>
      <w:r>
        <w:t xml:space="preserve"> </w:t>
      </w:r>
      <m:oMath>
        <m:r>
          <m:t>t</m:t>
        </m:r>
      </m:oMath>
      <w:r>
        <w:t xml:space="preserve">(</w:t>
      </w:r>
      <m:oMath>
        <m:r>
          <m:t>396</m:t>
        </m:r>
      </m:oMath>
      <w:r>
        <w:t xml:space="preserve">) =</w:t>
      </w:r>
      <w:r>
        <w:t xml:space="preserve"> </w:t>
      </w:r>
      <m:oMath>
        <m:r>
          <m:rPr>
            <m:sty m:val="p"/>
          </m:rPr>
          <m:t>−</m:t>
        </m:r>
        <m:r>
          <m:t>4.17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.76</m:t>
        </m:r>
      </m:oMath>
      <w:r>
        <w:t xml:space="preserve">, respectively, increasing to large effects at follow-up in both treatment groups,</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504</m:t>
        </m:r>
      </m:oMath>
      <w:r>
        <w:t xml:space="preserve">) =</w:t>
      </w:r>
      <w:r>
        <w:t xml:space="preserve"> </w:t>
      </w:r>
      <m:oMath>
        <m:r>
          <m:rPr>
            <m:sty m:val="p"/>
          </m:rPr>
          <m:t>−</m:t>
        </m:r>
        <m:r>
          <m:t>4.85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w:t>
      </w:r>
      <w:r>
        <w:t xml:space="preserve"> </w:t>
      </w:r>
      <m:oMath>
        <m:r>
          <m:t>Δ</m:t>
        </m:r>
        <m:r>
          <m:t>M</m:t>
        </m:r>
      </m:oMath>
      <w:r>
        <w:t xml:space="preserve"> </w:t>
      </w:r>
      <w:r>
        <w:t xml:space="preserve">=</w:t>
      </w:r>
      <w:r>
        <w:t xml:space="preserve"> </w:t>
      </w:r>
      <m:oMath>
        <m:r>
          <m:t>12.1</m:t>
        </m:r>
      </m:oMath>
      <w:r>
        <w:t xml:space="preserve">,</w:t>
      </w:r>
      <w:r>
        <w:t xml:space="preserve"> </w:t>
      </w:r>
      <m:oMath>
        <m:r>
          <m:t>t</m:t>
        </m:r>
      </m:oMath>
      <w:r>
        <w:t xml:space="preserve">(</w:t>
      </w:r>
      <m:oMath>
        <m:r>
          <m:t>440</m:t>
        </m:r>
      </m:oMath>
      <w:r>
        <w:t xml:space="preserve">) =</w:t>
      </w:r>
      <w:r>
        <w:t xml:space="preserve"> </w:t>
      </w:r>
      <m:oMath>
        <m:r>
          <m:rPr>
            <m:sty m:val="p"/>
          </m:rPr>
          <m:t>−</m:t>
        </m:r>
        <m:r>
          <m:t>5.41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1.04</m:t>
        </m:r>
      </m:oMath>
      <w:r>
        <w:t xml:space="preserve">, respectively.</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and on general well-being. See Table 2 for a summary of the significant effects, including 95% CIs.</w:t>
      </w:r>
    </w:p>
    <w:bookmarkEnd w:id="43"/>
    <w:bookmarkStart w:id="44" w:name="within-group-effects"/>
    <w:p>
      <w:pPr>
        <w:pStyle w:val="Heading3"/>
      </w:pPr>
      <w:r>
        <w:t xml:space="preserve">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moderate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respectively. In the unguided self-help group, no difference between the post and the follow-up time points was found for either measure,</w:t>
      </w:r>
      <w:r>
        <w:t xml:space="preserve"> </w:t>
      </w:r>
      <m:oMath>
        <m:sSub>
          <m:e>
            <m:r>
              <m:t>p</m:t>
            </m:r>
          </m:e>
          <m:sub>
            <m:r>
              <m:t>B</m:t>
            </m:r>
            <m:r>
              <m:t>o</m:t>
            </m:r>
            <m:r>
              <m:t>n</m:t>
            </m:r>
            <m:r>
              <m:t>f</m:t>
            </m:r>
          </m:sub>
        </m:sSub>
      </m:oMath>
      <w:r>
        <w:t xml:space="preserve"> </w:t>
      </w:r>
      <w:r>
        <w:t xml:space="preserve">=</w:t>
      </w:r>
      <w:r>
        <w:t xml:space="preserve"> </w:t>
      </w:r>
      <m:oMath>
        <m:r>
          <m:t>1</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no difference between the groups was found at the post time point with regard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As for general well-being,</w:t>
      </w:r>
      <w:r>
        <w:t xml:space="preserve"> </w:t>
      </w:r>
      <m:oMath>
        <m:r>
          <m:t>18</m:t>
        </m:r>
      </m:oMath>
      <w:r>
        <w:t xml:space="preserve"> </w:t>
      </w:r>
      <w:r>
        <w:t xml:space="preserve">participants (</w:t>
      </w:r>
      <m:oMath>
        <m:r>
          <m:t>26</m:t>
        </m:r>
      </m:oMath>
      <w:r>
        <w:t xml:space="preserve">%) moved into the recovered category in the guided self-help group, but none in the unguided group, again indicating a possible benefit from therapist support.</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significant differences between the groups in clinically significant change were found for the Well-being scale. Post-hoc testing revealed that the number of participants having fallen into the</w:t>
      </w:r>
      <w:r>
        <w:t xml:space="preserve"> </w:t>
      </w:r>
      <w:r>
        <w:t xml:space="preserve">“</w:t>
      </w:r>
      <w:r>
        <w:t xml:space="preserve">harmed</w:t>
      </w:r>
      <w:r>
        <w:t xml:space="preserve">”</w:t>
      </w:r>
      <w:r>
        <w:t xml:space="preserve"> </w:t>
      </w:r>
      <w:r>
        <w:t xml:space="preserve">category (</w:t>
      </w:r>
      <m:oMath>
        <m:r>
          <m:t>6</m:t>
        </m:r>
      </m:oMath>
      <w:r>
        <w:t xml:space="preserve"> </w:t>
      </w:r>
      <w:r>
        <w:t xml:space="preserve">participants;</w:t>
      </w:r>
      <w:r>
        <w:t xml:space="preserve"> </w:t>
      </w:r>
      <m:oMath>
        <m:r>
          <m:t>9</m:t>
        </m:r>
      </m:oMath>
      <w:r>
        <w:t xml:space="preserve">%) in the wait-list group, was significantly larger than in the guided group at both the post time-point</w:t>
      </w:r>
      <w:r>
        <w:t xml:space="preserve"> </w:t>
      </w:r>
      <w:r>
        <w:t xml:space="preserve"> </w:t>
      </w:r>
      <w:r>
        <w:t xml:space="preserve">and the follow-up time-point.</w:t>
      </w:r>
      <w:r>
        <w:t xml:space="preserve"> </w:t>
      </w:r>
      <w:r>
        <w:t xml:space="preserve"> </w:t>
      </w:r>
      <w:r>
        <w:t xml:space="preserve">No other instances of suspected reliable harm between the pre and the post time points or the pre to the follow-up time points were identified for either measure.</w:t>
      </w:r>
    </w:p>
    <w:p>
      <w:pPr>
        <w:pStyle w:val="BodyText"/>
      </w:pPr>
      <w:r>
        <w:t xml:space="preserve">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w:t>
      </w:r>
    </w:p>
    <w:p>
      <w:pPr>
        <w:pStyle w:val="BodyText"/>
      </w:pPr>
      <w:r>
        <w:t xml:space="preserve">In summary, these findings reveal that the non-active wait-list condition brought about adverse clinical change for</w:t>
      </w:r>
      <w:r>
        <w:t xml:space="preserve"> </w:t>
      </w:r>
      <m:oMath>
        <m:r>
          <m:t>9</m:t>
        </m:r>
      </m:oMath>
      <w:r>
        <w:t xml:space="preserve">% of the participants with regard to general well-being,</w:t>
      </w:r>
      <w:r>
        <w:t xml:space="preserve"> </w:t>
      </w:r>
      <m:oMath>
        <m:r>
          <m:t>10</m:t>
        </m:r>
      </m:oMath>
      <w:r>
        <w:t xml:space="preserve">%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tested the effects of a transdiagnostic internet intervention targeting assertiveness (Respekt</w:t>
      </w:r>
      <w:r>
        <w:rPr>
          <w:vertAlign w:val="superscript"/>
        </w:rPr>
        <w:t xml:space="preserve">2</w:t>
      </w:r>
      <w:r>
        <w:t xml:space="preserve">). The findings indicate that the treatment led to increased assertive behavior and reduced psychiatric symptoms. Having been largely ignored as a construct in clinical psychology research since the 1990s,</w:t>
      </w:r>
      <w:r>
        <w:t xml:space="preserve"> </w:t>
      </w:r>
      <w:r>
        <w:t xml:space="preserve"> </w:t>
      </w:r>
      <w:r>
        <w:t xml:space="preserve">our study provides new data on assertiveness as a viable transdiagnostic stand-alone dependent variable in psychological treatment.</w:t>
      </w:r>
    </w:p>
    <w:p>
      <w:pPr>
        <w:pStyle w:val="BodyText"/>
      </w:pPr>
      <w:r>
        <w:t xml:space="preserve">The large effects on assertiveness measured with the AAA-S Adaptive subscale are comparable to those found in clinical trials of iCBT interventions for other transdiagnostic behavioral problems. Measurement with the RAS at the follow-up confirms these effects, as does the insignificantly larger effects found for assertiveness measured with the AAA-S Adaptive subscale and the RAS in the guided self-help group. Benchmarking against procrastination</w:t>
      </w:r>
      <w:r>
        <w:t xml:space="preserve"> </w:t>
      </w:r>
      <w:r>
        <w:t xml:space="preserve">(Rozental et al., 2015)</w:t>
      </w:r>
      <w:r>
        <w:t xml:space="preserve"> </w:t>
      </w:r>
      <w:r>
        <w:t xml:space="preserve">and perfectionism</w:t>
      </w:r>
      <w:r>
        <w:t xml:space="preserve"> </w:t>
      </w:r>
      <w:r>
        <w:t xml:space="preserve">(Rozental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negative effects on aggressive assertiveness in both treatment groups, no statistically significant number of clinically worsened participants was found at either the post or the follow-up time points for the AAA-S Aggressive subscale in either group, compared to the wait-list.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 and depression are in agreement with those for iCBT in general</w:t>
      </w:r>
      <w:r>
        <w:t xml:space="preserve"> </w:t>
      </w:r>
      <w:r>
        <w:t xml:space="preserve">(Andrews et al., 2018)</w:t>
      </w:r>
      <w:r>
        <w:t xml:space="preserve">, which in turn is about the same as for face-to-face treatment</w:t>
      </w:r>
      <w:r>
        <w:t xml:space="preserve"> </w:t>
      </w:r>
      <w:r>
        <w:t xml:space="preserve">(Carlbring et al., 2018)</w:t>
      </w:r>
      <w:r>
        <w:t xml:space="preserve">, with the effects on general well-being of rounding out the picture of benefits from participation.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 For the assessment of general well-being, a more established measure than the Well-being Questionnaire should preferably be used.</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author-contributions"/>
    <w:p>
      <w:pPr>
        <w:pStyle w:val="Heading1"/>
      </w:pPr>
      <w:r>
        <w:t xml:space="preserve">Author contributions</w:t>
      </w:r>
    </w:p>
    <w:p>
      <w:pPr>
        <w:pStyle w:val="FirstParagraph"/>
      </w:pPr>
      <w:r>
        <w:t xml:space="preserve">Tobias Hagberg and Patrik Manhem performed Conceptualization, Methodology, Investigation, Data curation and Writing - Original Draft; Tobias Hagberg also Software and Formal Analysis; Martin Oscarsson performed Writing - Original Draft; Per Carlbring performed Supervision, Writing - Review &amp; Editing; Fiona Michel and Gerhard Andersson both provided Resources and performed Writing - Review &amp; Editing.</w:t>
      </w:r>
    </w:p>
    <w:bookmarkEnd w:id="53"/>
    <w:bookmarkStart w:id="54" w:name="orcid"/>
    <w:p>
      <w:pPr>
        <w:pStyle w:val="Heading1"/>
      </w:pPr>
      <w:r>
        <w:t xml:space="preserve">ORCID</w:t>
      </w:r>
    </w:p>
    <w:p>
      <w:pPr>
        <w:numPr>
          <w:ilvl w:val="0"/>
          <w:numId w:val="1001"/>
        </w:numPr>
        <w:pStyle w:val="Compact"/>
      </w:pPr>
      <w:r>
        <w:t xml:space="preserve">Tobias Hagberg,</w:t>
      </w:r>
      <w:r>
        <w:t xml:space="preserve"> </w:t>
      </w:r>
    </w:p>
    <w:p>
      <w:pPr>
        <w:numPr>
          <w:ilvl w:val="0"/>
          <w:numId w:val="1001"/>
        </w:numPr>
        <w:pStyle w:val="Compact"/>
      </w:pPr>
      <w:r>
        <w:t xml:space="preserve">Patrik Manhem,</w:t>
      </w:r>
      <w:r>
        <w:t xml:space="preserve"> </w:t>
      </w:r>
    </w:p>
    <w:p>
      <w:pPr>
        <w:numPr>
          <w:ilvl w:val="0"/>
          <w:numId w:val="1001"/>
        </w:numPr>
        <w:pStyle w:val="Compact"/>
      </w:pPr>
      <w:r>
        <w:t xml:space="preserve">Martin Oscarsson,</w:t>
      </w:r>
      <w:r>
        <w:t xml:space="preserve"> </w:t>
      </w:r>
    </w:p>
    <w:p>
      <w:pPr>
        <w:numPr>
          <w:ilvl w:val="0"/>
          <w:numId w:val="1001"/>
        </w:numPr>
        <w:pStyle w:val="Compact"/>
      </w:pPr>
      <w:r>
        <w:t xml:space="preserve">Gerhard Andersson,</w:t>
      </w:r>
      <w:r>
        <w:t xml:space="preserve"> </w:t>
      </w:r>
    </w:p>
    <w:p>
      <w:pPr>
        <w:numPr>
          <w:ilvl w:val="0"/>
          <w:numId w:val="1001"/>
        </w:numPr>
        <w:pStyle w:val="Compact"/>
      </w:pPr>
      <w:r>
        <w:t xml:space="preserve">Per Carlbring,</w:t>
      </w:r>
      <w:r>
        <w:t xml:space="preserve"> </w:t>
      </w:r>
    </w:p>
    <w:bookmarkEnd w:id="54"/>
    <w:bookmarkStart w:id="147" w:name="references"/>
    <w:p>
      <w:pPr>
        <w:pStyle w:val="Heading1"/>
      </w:pPr>
      <w:r>
        <w:t xml:space="preserve">References</w:t>
      </w:r>
    </w:p>
    <w:bookmarkStart w:id="146" w:name="refs"/>
    <w:bookmarkStart w:id="55"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5"/>
    <w:bookmarkStart w:id="56" w:name="ref-alberti1974your"/>
    <w:p>
      <w:pPr>
        <w:pStyle w:val="Bibliography"/>
      </w:pPr>
      <w:r>
        <w:t xml:space="preserve">Alberti, R., Emmons, M., 1974.</w:t>
      </w:r>
      <w:r>
        <w:t xml:space="preserve"> </w:t>
      </w:r>
      <w:r>
        <w:t xml:space="preserve">Your perfect right</w:t>
      </w:r>
      <w:r>
        <w:t xml:space="preserve">, 2nd ed. Impact, San Luis Obispo.</w:t>
      </w:r>
    </w:p>
    <w:bookmarkEnd w:id="56"/>
    <w:bookmarkStart w:id="58"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5"/>
    <w:bookmarkStart w:id="66" w:name="ref-Braconier2015"/>
    <w:p>
      <w:pPr>
        <w:pStyle w:val="Bibliography"/>
      </w:pPr>
      <w:r>
        <w:t xml:space="preserve">Braconier, A., 2015.</w:t>
      </w:r>
      <w:r>
        <w:t xml:space="preserve"> </w:t>
      </w:r>
      <w:r>
        <w:t xml:space="preserve">V</w:t>
      </w:r>
      <w:r>
        <w:t xml:space="preserve">ä</w:t>
      </w:r>
      <w:r>
        <w:t xml:space="preserve">lm</w:t>
      </w:r>
      <w:r>
        <w:t xml:space="preserve">å</w:t>
      </w:r>
      <w:r>
        <w:t xml:space="preserve">endeformul</w:t>
      </w:r>
      <w:r>
        <w:t xml:space="preserve">ä</w:t>
      </w:r>
      <w:r>
        <w:t xml:space="preserve">ret – ett m</w:t>
      </w:r>
      <w:r>
        <w:t xml:space="preserve">å</w:t>
      </w:r>
      <w:r>
        <w:t xml:space="preserve">tt p</w:t>
      </w:r>
      <w:r>
        <w:t xml:space="preserve">å</w:t>
      </w:r>
      <w:r>
        <w:t xml:space="preserve"> </w:t>
      </w:r>
      <w:r>
        <w:t xml:space="preserve">subjektivt v</w:t>
      </w:r>
      <w:r>
        <w:t xml:space="preserve">ä</w:t>
      </w:r>
      <w:r>
        <w:t xml:space="preserve">lm</w:t>
      </w:r>
      <w:r>
        <w:t xml:space="preserve">å</w:t>
      </w:r>
      <w:r>
        <w:t xml:space="preserve">ende (examensarbete)</w:t>
      </w:r>
      <w:r>
        <w:t xml:space="preserve">.</w:t>
      </w:r>
    </w:p>
    <w:bookmarkEnd w:id="66"/>
    <w:bookmarkStart w:id="68"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7">
        <w:r>
          <w:rPr>
            <w:rStyle w:val="Hyperlink"/>
          </w:rPr>
          <w:t xml:space="preserve">https://doi.org/10.1080/16506073.2017.1401115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heynin2014"/>
    <w:p>
      <w:pPr>
        <w:pStyle w:val="Bibliography"/>
      </w:pPr>
      <w:r>
        <w:t xml:space="preserve">Sheynin, J., Beck, K.D., Servatius, R.J., Myers, C.E., 2014. Acquisition and extinction of human avoidance behavior: Attenuating effect of safety signals and associations with anxiety vulnerabilities. Frontiers in Behavioral Neuroscience 8.</w:t>
      </w:r>
      <w:r>
        <w:t xml:space="preserve"> </w:t>
      </w:r>
      <w:hyperlink r:id="rId127">
        <w:r>
          <w:rPr>
            <w:rStyle w:val="Hyperlink"/>
          </w:rPr>
          <w:t xml:space="preserve">https://doi.org/10.3389/fnbeh.2014.00323</w:t>
        </w:r>
      </w:hyperlink>
    </w:p>
    <w:bookmarkEnd w:id="128"/>
    <w:bookmarkStart w:id="130" w:name="ref-Sigler2008"/>
    <w:p>
      <w:pPr>
        <w:pStyle w:val="Bibliography"/>
      </w:pPr>
      <w:r>
        <w:t xml:space="preserve">Sigler, K., Burnett, A., Child, J.T., 2008. A regional analysis of assertiveness. Journal of Intercultural Communication Research 37, 89–104.</w:t>
      </w:r>
      <w:r>
        <w:t xml:space="preserve"> </w:t>
      </w:r>
      <w:hyperlink r:id="rId129">
        <w:r>
          <w:rPr>
            <w:rStyle w:val="Hyperlink"/>
          </w:rPr>
          <w:t xml:space="preserve">https://doi.org/10.1080/17475750802533364</w:t>
        </w:r>
      </w:hyperlink>
    </w:p>
    <w:bookmarkEnd w:id="130"/>
    <w:bookmarkStart w:id="131"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31"/>
    <w:bookmarkStart w:id="133"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2">
        <w:r>
          <w:rPr>
            <w:rStyle w:val="Hyperlink"/>
          </w:rPr>
          <w:t xml:space="preserve">https://doi.org/10.1111/cpsp.12216</w:t>
        </w:r>
      </w:hyperlink>
    </w:p>
    <w:bookmarkEnd w:id="133"/>
    <w:bookmarkStart w:id="135"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4">
        <w:r>
          <w:rPr>
            <w:rStyle w:val="Hyperlink"/>
          </w:rPr>
          <w:t xml:space="preserve">https://doi.org/10.1001/archinte.166.10.1092</w:t>
        </w:r>
      </w:hyperlink>
    </w:p>
    <w:bookmarkEnd w:id="135"/>
    <w:bookmarkStart w:id="137"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6">
        <w:r>
          <w:rPr>
            <w:rStyle w:val="Hyperlink"/>
          </w:rPr>
          <w:t xml:space="preserve">https://doi.org/10.1007/s10862-011-9226-9</w:t>
        </w:r>
      </w:hyperlink>
    </w:p>
    <w:bookmarkEnd w:id="137"/>
    <w:bookmarkStart w:id="139"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8">
        <w:r>
          <w:rPr>
            <w:rStyle w:val="Hyperlink"/>
          </w:rPr>
          <w:t xml:space="preserve">https://doi.org/10.1007/s10942-018-0296-4</w:t>
        </w:r>
      </w:hyperlink>
    </w:p>
    <w:bookmarkEnd w:id="139"/>
    <w:bookmarkStart w:id="141" w:name="ref-Vlaescu2016"/>
    <w:p>
      <w:pPr>
        <w:pStyle w:val="Bibliography"/>
      </w:pPr>
      <w:r>
        <w:t xml:space="preserve">Vlaescu, G., Alasjö, A., Miloff, A., Carlbring, P., Andersson, G., 2016.</w:t>
      </w:r>
      <w:r>
        <w:t xml:space="preserve"> </w:t>
      </w:r>
      <w:r>
        <w:t xml:space="preserve">Features and functionality of the Iterapi platform for internet-based psychological treatment</w:t>
      </w:r>
      <w:r>
        <w:t xml:space="preserve">. Internet Interventions 6, 107–114.</w:t>
      </w:r>
      <w:r>
        <w:t xml:space="preserve"> </w:t>
      </w:r>
      <w:hyperlink r:id="rId140">
        <w:r>
          <w:rPr>
            <w:rStyle w:val="Hyperlink"/>
          </w:rPr>
          <w:t xml:space="preserve">https://doi.org/10.1016/j.invent.2016.09.006</w:t>
        </w:r>
      </w:hyperlink>
    </w:p>
    <w:bookmarkEnd w:id="141"/>
    <w:bookmarkStart w:id="142" w:name="ref-Wilson2010"/>
    <w:p>
      <w:pPr>
        <w:pStyle w:val="Bibliography"/>
      </w:pPr>
      <w:r>
        <w:t xml:space="preserve">Wilson, K.G., Sandoz, E.K., Kitchens, J., Roberts, M., 2010. The valued living questionnaire: Defining and measuring valued action within a behavioral framework, The Psychological Record.</w:t>
      </w:r>
    </w:p>
    <w:bookmarkEnd w:id="142"/>
    <w:bookmarkStart w:id="143" w:name="ref-wolpe1990practice"/>
    <w:p>
      <w:pPr>
        <w:pStyle w:val="Bibliography"/>
      </w:pPr>
      <w:r>
        <w:t xml:space="preserve">Wolpe, J., 1990.</w:t>
      </w:r>
      <w:r>
        <w:t xml:space="preserve"> </w:t>
      </w:r>
      <w:r>
        <w:t xml:space="preserve">The practice of behavior therapy</w:t>
      </w:r>
      <w:r>
        <w:t xml:space="preserve">. Pergamon Press, Oxford, UK.</w:t>
      </w:r>
    </w:p>
    <w:bookmarkEnd w:id="143"/>
    <w:bookmarkStart w:id="144"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4"/>
    <w:bookmarkStart w:id="145"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4"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6" Target="https://doi.org/10.1007/s10862-011-9226-9" TargetMode="External" /><Relationship Type="http://schemas.openxmlformats.org/officeDocument/2006/relationships/hyperlink" Id="rId138"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140" Target="https://doi.org/10.1016/j.invent.2016.09.006" TargetMode="External" /><Relationship Type="http://schemas.openxmlformats.org/officeDocument/2006/relationships/hyperlink" Id="rId57"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7" Target="https://doi.org/10.1080/16506073.2017.1401115" TargetMode="External" /><Relationship Type="http://schemas.openxmlformats.org/officeDocument/2006/relationships/hyperlink" Id="rId129"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2"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59"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127" Target="https://doi.org/10.3389/fnbeh.2014.00323" TargetMode="External" /><Relationship Type="http://schemas.openxmlformats.org/officeDocument/2006/relationships/hyperlink" Id="rId61"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2022-12-08T19:34:22Z</dcterms:created>
  <dcterms:modified xsi:type="dcterms:W3CDTF">2022-12-08T19:34:22Z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Assertiveness training has for a long time been an important component in cognitive-behavioral therapy (CBT), for example in the treatment of social anxiety and in dialectical behavioral therapy. However, the assertiveness construct has garnered little attention in recent clinical research. Objective. To investigate the efficacy of an eight-week transdiagnostic stand-alone internet based CBT intervention, specifically aimed at increasing levels of assertive behavior. Methods. Following inclusion,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depression, and general well-being. We also assessed reliable clinical change. Results. Compared to the wait-list at the post treatment, estimated between-group effect sizes on self-rated adaptive assertiveness were statistically equivalent for the two treatment groups both at the post and at the one-year follow-up time points, ranging from ES = .95 to ES = 1.73, with reliable clinical recovery proportions from 19% to 36%. The increase in aggressive assertiveness ranged from ES = –.62 to ES = –.90 compared to the wait-list condition at post. For social anxiety symptoms, the effects compared to the wait-list at post treatment ranged from ES = .67 to ES = .93, with reliable clinical recovery from 16% to 26%. For self-assessed well-being, the effects compared to the wait-list at post ranged from ES = .70 to ES = 1.05. No effects were observed for generalized anxiety, although within-group evidence was found for a medium effect on depression one year after treatment. Overall, the two treatment conditions produced similar effects. Conclusions. In general, participation increased healthy assertive expressions regardless of treatment condition, thereby reducing self-assessed social anxiety, and over time possibly also depression. Participation also improved general well-being. The findings demonstrate that the assertiveness construct can be a suitable target for intervention, with reductions of both psychiatric symptoms and non-syndromal problems in daily life.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vt:lpwstr>
  </property>
  <property fmtid="{D5CDD505-2E9C-101B-9397-08002B2CF9AE}" pid="6" name="csl">
    <vt:lpwstr>./elsevier-harvard.csl</vt:lpwstr>
  </property>
  <property fmtid="{D5CDD505-2E9C-101B-9397-08002B2CF9AE}" pid="7" name="date">
    <vt:lpwstr>2022-12-08</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