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2022-08-20</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the</w:t>
      </w:r>
      <w:r>
        <w:t xml:space="preserve"> </w:t>
      </w:r>
      <w:r>
        <w:t xml:space="preserve">assertiveness</w:t>
      </w:r>
      <w:r>
        <w:t xml:space="preserve"> </w:t>
      </w:r>
      <w:r>
        <w:t xml:space="preserve">construct</w:t>
      </w:r>
      <w:r>
        <w:t xml:space="preserve"> </w:t>
      </w:r>
      <w:r>
        <w:t xml:space="preserve">and</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flowchart.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those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effects on aggressive assertiveness in both treatment groups, no statistically significant number of clinically changed participants was found at either the post or the follow-up time points for the AAA-S Aggressive subscale.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 ??</w:t>
      </w:r>
    </w:p>
    <w:p>
      <w:pPr>
        <w:numPr>
          <w:ilvl w:val="0"/>
          <w:numId w:val="1002"/>
        </w:numPr>
        <w:pStyle w:val="Compact"/>
      </w:pPr>
      <w:r>
        <w:t xml:space="preserve">Martin Oscarsson,</w:t>
      </w:r>
      <w:r>
        <w:t xml:space="preserve"> </w:t>
      </w:r>
    </w:p>
    <w:p>
      <w:pPr>
        <w:numPr>
          <w:ilvl w:val="0"/>
          <w:numId w:val="1002"/>
        </w:numPr>
        <w:pStyle w:val="Compact"/>
      </w:pPr>
      <w:r>
        <w:t xml:space="preserve">Fiona Michel,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53"/>
    <w:bookmarkStart w:id="143" w:name="references"/>
    <w:p>
      <w:pPr>
        <w:pStyle w:val="Heading1"/>
      </w:pPr>
      <w:r>
        <w:t xml:space="preserve">References</w:t>
      </w:r>
    </w:p>
    <w:bookmarkStart w:id="142" w:name="refs"/>
    <w:bookmarkStart w:id="54"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4"/>
    <w:bookmarkStart w:id="55" w:name="ref-alberti1974your"/>
    <w:p>
      <w:pPr>
        <w:pStyle w:val="Bibliography"/>
      </w:pPr>
      <w:r>
        <w:t xml:space="preserve">Alberti, R., Emmons, M., 1974.</w:t>
      </w:r>
      <w:r>
        <w:t xml:space="preserve"> </w:t>
      </w:r>
      <w:r>
        <w:t xml:space="preserve">Your perfect right</w:t>
      </w:r>
      <w:r>
        <w:t xml:space="preserve">, 2nd ed. Impact, San Luis Obispo.</w:t>
      </w:r>
    </w:p>
    <w:bookmarkEnd w:id="55"/>
    <w:bookmarkStart w:id="57"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6">
        <w:r>
          <w:rPr>
            <w:rStyle w:val="Hyperlink"/>
          </w:rPr>
          <w:t xml:space="preserve">https://doi.org/10.1016/j.janxdis.2018.01.001</w:t>
        </w:r>
      </w:hyperlink>
    </w:p>
    <w:bookmarkEnd w:id="57"/>
    <w:bookmarkStart w:id="59"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8">
        <w:r>
          <w:rPr>
            <w:rStyle w:val="Hyperlink"/>
          </w:rPr>
          <w:t xml:space="preserve">https://doi.org/10.1371/journal.pone.0230169</w:t>
        </w:r>
      </w:hyperlink>
    </w:p>
    <w:bookmarkEnd w:id="59"/>
    <w:bookmarkStart w:id="61"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4"/>
    <w:bookmarkStart w:id="66"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5">
        <w:r>
          <w:rPr>
            <w:rStyle w:val="Hyperlink"/>
          </w:rPr>
          <w:t xml:space="preserve">https://doi.org/10.1080/16506073.2017.1401115</w:t>
        </w:r>
      </w:hyperlink>
    </w:p>
    <w:bookmarkEnd w:id="66"/>
    <w:bookmarkStart w:id="68"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7">
        <w:r>
          <w:rPr>
            <w:rStyle w:val="Hyperlink"/>
          </w:rPr>
          <w:t xml:space="preserve">https://doi.org/10.1146/annurev.psych.52.1.685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igler2008"/>
    <w:p>
      <w:pPr>
        <w:pStyle w:val="Bibliography"/>
      </w:pPr>
      <w:r>
        <w:t xml:space="preserve">Sigler, K., Burnett, A., Child, J.T., 2008. A regional analysis of assertiveness. Journal of Intercultural Communication Research 37, 89–104.</w:t>
      </w:r>
      <w:r>
        <w:t xml:space="preserve"> </w:t>
      </w:r>
      <w:hyperlink r:id="rId127">
        <w:r>
          <w:rPr>
            <w:rStyle w:val="Hyperlink"/>
          </w:rPr>
          <w:t xml:space="preserve">https://doi.org/10.1080/17475750802533364</w:t>
        </w:r>
      </w:hyperlink>
    </w:p>
    <w:bookmarkEnd w:id="128"/>
    <w:bookmarkStart w:id="129"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K.G., Sandoz, E.K., Kitchens, J., Roberts, M., 2010. The valued living questionnaire: Defining and measuring valued action within a behavioral framework, The Psychological Record.</w:t>
      </w:r>
    </w:p>
    <w:bookmarkEnd w:id="138"/>
    <w:bookmarkStart w:id="139" w:name="ref-wolpe1990practice"/>
    <w:p>
      <w:pPr>
        <w:pStyle w:val="Bibliography"/>
      </w:pPr>
      <w:r>
        <w:t xml:space="preserve">Wolpe, J., 1990.</w:t>
      </w:r>
      <w:r>
        <w:t xml:space="preserve"> </w:t>
      </w:r>
      <w:r>
        <w:t xml:space="preserve">The practice of behavior therapy</w:t>
      </w:r>
      <w:r>
        <w:t xml:space="preserve">. Pergamon Press, Oxford, UK.</w:t>
      </w:r>
    </w:p>
    <w:bookmarkEnd w:id="139"/>
    <w:bookmarkStart w:id="140"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0"/>
    <w:bookmarkStart w:id="141"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2022-08-20T08:02:23Z</dcterms:created>
  <dcterms:modified xsi:type="dcterms:W3CDTF">2022-08-20T08:02:23Z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research.Objective. To investigate the efficacy of an eight-week transdiagnostic stand-alone internet based CBT intervention, specifically aimed at increasing levels of assertive behavior.Methods.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and depression. We also assessed and tested reliable clinical change.Results.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effects for aggressive assertiveness ranged from ES = 0.62 to ES = 0.90 compared to the wait-list at post, with no observed reliable clinical change. For social anxiety symptoms, the effects compared to the wait-list at post ranged from ES = 0.67 to ES = 0.93, with reliable clinical recovery from 16% to 26%. No effects were observed for generalized anxiety, although tentative within-group evidence was found for a medium effect on depression one year after treatment. Overall, the two treatment conditions produced similar effects.Conclusions. In general, participation increased healthy assertive expressions, thereby reducing self-assessed social anxiety, and over time possibly also depression. The findings demonstrate the viability of the assertiveness construct and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 authoryear</vt:lpwstr>
  </property>
  <property fmtid="{D5CDD505-2E9C-101B-9397-08002B2CF9AE}" pid="6" name="csl">
    <vt:lpwstr>./elsevier-harvard.csl</vt:lpwstr>
  </property>
  <property fmtid="{D5CDD505-2E9C-101B-9397-08002B2CF9AE}" pid="7" name="date">
    <vt:lpwstr>2022-08-20</vt:lpwstr>
  </property>
  <property fmtid="{D5CDD505-2E9C-101B-9397-08002B2CF9AE}" pid="8" name="header-includes">
    <vt:lpwstr/>
  </property>
  <property fmtid="{D5CDD505-2E9C-101B-9397-08002B2CF9AE}" pid="9" name="journal">
    <vt:lpwstr>(to be decided)</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