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2023-01-02</w:t>
      </w:r>
    </w:p>
    <w:p>
      <w:pPr>
        <w:pStyle w:val="Abstract"/>
      </w:pPr>
      <w:r>
        <w:t xml:space="preserve">Assertiveness</w:t>
      </w:r>
      <w:r>
        <w:t xml:space="preserve"> </w:t>
      </w:r>
      <w:r>
        <w:t xml:space="preserve">training</w:t>
      </w:r>
      <w:r>
        <w:t xml:space="preserve"> </w:t>
      </w:r>
      <w:r>
        <w:t xml:space="preserve">has</w:t>
      </w:r>
      <w:r>
        <w:t xml:space="preserve"> </w:t>
      </w:r>
      <w:r>
        <w:t xml:space="preserve">been</w:t>
      </w:r>
      <w:r>
        <w:t xml:space="preserve"> </w:t>
      </w:r>
      <w:r>
        <w:t xml:space="preserve">an</w:t>
      </w:r>
      <w:r>
        <w:t xml:space="preserve"> </w:t>
      </w:r>
      <w:r>
        <w:t xml:space="preserve">essential</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t xml:space="preserve">The</w:t>
      </w:r>
      <w:r>
        <w:t xml:space="preserve"> </w:t>
      </w:r>
      <w:r>
        <w:t xml:space="preserve">objective</w:t>
      </w:r>
      <w:r>
        <w:t xml:space="preserve"> </w:t>
      </w:r>
      <w:r>
        <w:t xml:space="preserve">of</w:t>
      </w:r>
      <w:r>
        <w:t xml:space="preserve"> </w:t>
      </w:r>
      <w:r>
        <w:t xml:space="preserve">this</w:t>
      </w:r>
      <w:r>
        <w:t xml:space="preserve"> </w:t>
      </w:r>
      <w:r>
        <w:t xml:space="preserve">study</w:t>
      </w:r>
      <w:r>
        <w:t xml:space="preserve"> </w:t>
      </w:r>
      <w:r>
        <w:t xml:space="preserve">was</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w:r>
        <w:t xml:space="preserve">N</w:t>
      </w:r>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a</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t xml:space="preserve">Compared</w:t>
      </w:r>
      <w:r>
        <w:t xml:space="preserve"> </w:t>
      </w:r>
      <w:r>
        <w:t xml:space="preserve">to</w:t>
      </w:r>
      <w:r>
        <w:t xml:space="preserve"> </w:t>
      </w:r>
      <w:r>
        <w:t xml:space="preserve">the</w:t>
      </w:r>
      <w:r>
        <w:t xml:space="preserve"> </w:t>
      </w:r>
      <w:r>
        <w:t xml:space="preserve">wait</w:t>
      </w:r>
      <w:r>
        <w:t xml:space="preserve"> </w:t>
      </w:r>
      <w:r>
        <w:t xml:space="preserve">list</w:t>
      </w:r>
      <w:r>
        <w:t xml:space="preserve"> </w:t>
      </w:r>
      <w:r>
        <w:t xml:space="preserve">at</w:t>
      </w:r>
      <w:r>
        <w:t xml:space="preserve"> </w:t>
      </w:r>
      <w:r>
        <w:t xml:space="preserve">the</w:t>
      </w:r>
      <w:r>
        <w:t xml:space="preserve"> </w:t>
      </w:r>
      <w:r>
        <w:t xml:space="preserve">post-treatment,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w:r>
        <w:t xml:space="preserve">ES</w:t>
      </w:r>
      <w:r>
        <w:t xml:space="preserve"> </w:t>
      </w:r>
      <w:r>
        <w:t xml:space="preserve">=</w:t>
      </w:r>
      <w:r>
        <w:t xml:space="preserve"> </w:t>
      </w:r>
      <w:r>
        <w:t xml:space="preserve">0.95</w:t>
      </w:r>
      <w:r>
        <w:t xml:space="preserve"> </w:t>
      </w:r>
      <w:r>
        <w:t xml:space="preserve">to</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w:r>
        <w:t xml:space="preserve">ES</w:t>
      </w:r>
      <w:r>
        <w:t xml:space="preserve"> </w:t>
      </w:r>
      <w:r>
        <w:t xml:space="preserve">=</w:t>
      </w:r>
      <w:r>
        <w:t xml:space="preserve"> </w:t>
      </w:r>
      <w:r>
        <w:t xml:space="preserve">0.62</w:t>
      </w:r>
      <w:r>
        <w:t xml:space="preserve"> </w:t>
      </w:r>
      <w:r>
        <w:t xml:space="preserve">to</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w:t>
      </w:r>
      <w:r>
        <w:t xml:space="preserve"> </w:t>
      </w:r>
      <w:r>
        <w:t xml:space="preserve">list</w:t>
      </w:r>
      <w:r>
        <w:t xml:space="preserve"> </w:t>
      </w:r>
      <w:r>
        <w:t xml:space="preserve">at</w:t>
      </w:r>
      <w:r>
        <w:t xml:space="preserve"> </w:t>
      </w:r>
      <w:r>
        <w:t xml:space="preserve">post-treatment</w:t>
      </w:r>
      <w:r>
        <w:t xml:space="preserve"> </w:t>
      </w:r>
      <w:r>
        <w:t xml:space="preserve">ranged</w:t>
      </w:r>
      <w:r>
        <w:t xml:space="preserve"> </w:t>
      </w:r>
      <w:r>
        <w:t xml:space="preserve">from</w:t>
      </w:r>
      <w:r>
        <w:t xml:space="preserve"> </w:t>
      </w:r>
      <w:r>
        <w:t xml:space="preserve">ES</w:t>
      </w:r>
      <w:r>
        <w:t xml:space="preserve"> </w:t>
      </w:r>
      <w:r>
        <w:t xml:space="preserve">=</w:t>
      </w:r>
      <w:r>
        <w:t xml:space="preserve"> </w:t>
      </w:r>
      <w:r>
        <w:t xml:space="preserve">0.67</w:t>
      </w:r>
      <w:r>
        <w:t xml:space="preserve"> </w:t>
      </w:r>
      <w:r>
        <w:t xml:space="preserve">to</w:t>
      </w:r>
      <w:r>
        <w:t xml:space="preserve"> </w:t>
      </w:r>
      <w:r>
        <w:t xml:space="preserve">0.93,</w:t>
      </w:r>
      <w:r>
        <w:t xml:space="preserve"> </w:t>
      </w:r>
      <w:r>
        <w:t xml:space="preserve">with</w:t>
      </w:r>
      <w:r>
        <w:t xml:space="preserve"> </w:t>
      </w:r>
      <w:r>
        <w:t xml:space="preserve">a</w:t>
      </w:r>
      <w:r>
        <w:t xml:space="preserve"> </w:t>
      </w:r>
      <w:r>
        <w:t xml:space="preserve">reliable</w:t>
      </w:r>
      <w:r>
        <w:t xml:space="preserve"> </w:t>
      </w:r>
      <w:r>
        <w:t xml:space="preserve">clinical</w:t>
      </w:r>
      <w:r>
        <w:t xml:space="preserve"> </w:t>
      </w:r>
      <w:r>
        <w:t xml:space="preserve">recovery</w:t>
      </w:r>
      <w:r>
        <w:t xml:space="preserve"> </w:t>
      </w:r>
      <w:r>
        <w:t xml:space="preserve">rate</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w:t>
      </w:r>
      <w:r>
        <w:t xml:space="preserve"> </w:t>
      </w:r>
      <w:r>
        <w:t xml:space="preserve">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w:r>
        <w:t xml:space="preserve">ES</w:t>
      </w:r>
      <w:r>
        <w:t xml:space="preserve"> </w:t>
      </w:r>
      <w:r>
        <w:t xml:space="preserve">=</w:t>
      </w:r>
      <w:r>
        <w:t xml:space="preserve"> </w:t>
      </w:r>
      <w:r>
        <w:t xml:space="preserve">0.70</w:t>
      </w:r>
      <w:r>
        <w:t xml:space="preserve"> </w:t>
      </w:r>
      <w:r>
        <w:t xml:space="preserve">to</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included in the follow-up measurement since they had been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3.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negative effects at the post time point were found for aggressive assertiveness as measured with the AAA-S Aggressive subscale,</w:t>
      </w:r>
      <w:r>
        <w:t xml:space="preserve"> </w:t>
      </w:r>
      <m:oMath>
        <m:r>
          <m:t>Δ</m:t>
        </m:r>
        <m:r>
          <m:t>M</m:t>
        </m:r>
      </m:oMath>
      <w:r>
        <w:t xml:space="preserve"> </w:t>
      </w:r>
      <w:r>
        <w:t xml:space="preserve">=</w:t>
      </w:r>
      <w:r>
        <w:t xml:space="preserve"> </w:t>
      </w:r>
      <m:oMath>
        <m:r>
          <m:rPr>
            <m:sty m:val="p"/>
          </m:rPr>
          <m:t>−</m:t>
        </m:r>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rPr>
            <m:sty m:val="p"/>
          </m:rPr>
          <m:t>−</m:t>
        </m:r>
        <m:r>
          <m:t>0.72</m:t>
        </m:r>
      </m:oMath>
      <w:r>
        <w:t xml:space="preserve">, and at the follow-up,</w:t>
      </w:r>
      <w:r>
        <w:t xml:space="preserve"> </w:t>
      </w:r>
      <m:oMath>
        <m:r>
          <m:t>Δ</m:t>
        </m:r>
        <m:r>
          <m:t>M</m:t>
        </m:r>
      </m:oMath>
      <w:r>
        <w:t xml:space="preserve"> </w:t>
      </w:r>
      <w:r>
        <w:t xml:space="preserve">=</w:t>
      </w:r>
      <w:r>
        <w:t xml:space="preserve"> </w:t>
      </w:r>
      <m:oMath>
        <m:r>
          <m:rPr>
            <m:sty m:val="p"/>
          </m:rPr>
          <m:t>−</m:t>
        </m:r>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negative effects at the post time point were identified for the AAA-S Aggressive subscale,</w:t>
      </w:r>
      <w:r>
        <w:t xml:space="preserve"> </w:t>
      </w:r>
      <m:oMath>
        <m:r>
          <m:t>Δ</m:t>
        </m:r>
        <m:r>
          <m:t>M</m:t>
        </m:r>
      </m:oMath>
      <w:r>
        <w:t xml:space="preserve"> </w:t>
      </w:r>
      <w:r>
        <w:t xml:space="preserve">=</w:t>
      </w:r>
      <w:r>
        <w:t xml:space="preserve"> </w:t>
      </w:r>
      <m:oMath>
        <m:r>
          <m:rPr>
            <m:sty m:val="p"/>
          </m:rPr>
          <m:t>−</m:t>
        </m:r>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rPr>
            <m:sty m:val="p"/>
          </m:rPr>
          <m:t>−</m:t>
        </m:r>
        <m:r>
          <m:t>0.62</m:t>
        </m:r>
      </m:oMath>
      <w:r>
        <w:t xml:space="preserve">, and at the follow-up,</w:t>
      </w:r>
      <w:r>
        <w:t xml:space="preserve"> </w:t>
      </w:r>
      <m:oMath>
        <m:r>
          <m:t>Δ</m:t>
        </m:r>
        <m:r>
          <m:t>M</m:t>
        </m:r>
      </m:oMath>
      <w:r>
        <w:t xml:space="preserve"> </w:t>
      </w:r>
      <w:r>
        <w:t xml:space="preserve">=</w:t>
      </w:r>
      <w:r>
        <w:t xml:space="preserve"> </w:t>
      </w:r>
      <m:oMath>
        <m:r>
          <m:rPr>
            <m:sty m:val="p"/>
          </m:rPr>
          <m:t>−</m:t>
        </m:r>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0.84</m:t>
        </m:r>
      </m:oMath>
      <w:r>
        <w:t xml:space="preserve">. Large effects were also found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the Well-being Questionnaire,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TH also Software and Formal Analysis; Martin Oscarsson performed Writing - Original Draft; Per Carlbring performed Supervision, Writing - Review &amp; Editing; Fiona Michel and Gerhard Andersson both provided Resources and performed Writing - Review &amp; Editing.</w:t>
      </w:r>
    </w:p>
    <w:bookmarkEnd w:id="53"/>
    <w:bookmarkStart w:id="54"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54"/>
    <w:bookmarkStart w:id="147" w:name="references"/>
    <w:p>
      <w:pPr>
        <w:pStyle w:val="Heading1"/>
      </w:pPr>
      <w:r>
        <w:t xml:space="preserve">References</w:t>
      </w:r>
    </w:p>
    <w:bookmarkStart w:id="146" w:name="refs"/>
    <w:bookmarkStart w:id="55"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5"/>
    <w:bookmarkStart w:id="56" w:name="ref-alberti1974your"/>
    <w:p>
      <w:pPr>
        <w:pStyle w:val="Bibliography"/>
      </w:pPr>
      <w:r>
        <w:t xml:space="preserve">Alberti, R., Emmons, M., 1974.</w:t>
      </w:r>
      <w:r>
        <w:t xml:space="preserve"> </w:t>
      </w:r>
      <w:r>
        <w:t xml:space="preserve">Your perfect right</w:t>
      </w:r>
      <w:r>
        <w:t xml:space="preserve">, 2nd ed. Impact, San Luis Obispo.</w:t>
      </w:r>
    </w:p>
    <w:bookmarkEnd w:id="56"/>
    <w:bookmarkStart w:id="58"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5"/>
    <w:bookmarkStart w:id="66"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6"/>
    <w:bookmarkStart w:id="68"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7">
        <w:r>
          <w:rPr>
            <w:rStyle w:val="Hyperlink"/>
          </w:rPr>
          <w:t xml:space="preserve">https://doi.org/10.1080/16506073.2017.1401115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27">
        <w:r>
          <w:rPr>
            <w:rStyle w:val="Hyperlink"/>
          </w:rPr>
          <w:t xml:space="preserve">https://doi.org/10.3389/fnbeh.2014.00323</w:t>
        </w:r>
      </w:hyperlink>
    </w:p>
    <w:bookmarkEnd w:id="128"/>
    <w:bookmarkStart w:id="130" w:name="ref-Sigler2008"/>
    <w:p>
      <w:pPr>
        <w:pStyle w:val="Bibliography"/>
      </w:pPr>
      <w:r>
        <w:t xml:space="preserve">Sigler, K., Burnett, A., Child, J.T., 2008. A regional analysis of assertiveness. Journal of Intercultural Communication Research 37,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8">
        <w:r>
          <w:rPr>
            <w:rStyle w:val="Hyperlink"/>
          </w:rPr>
          <w:t xml:space="preserve">https://doi.org/10.1007/s10942-018-0296-4</w:t>
        </w:r>
      </w:hyperlink>
    </w:p>
    <w:bookmarkEnd w:id="139"/>
    <w:bookmarkStart w:id="141"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40">
        <w:r>
          <w:rPr>
            <w:rStyle w:val="Hyperlink"/>
          </w:rPr>
          <w:t xml:space="preserve">https://doi.org/10.1016/j.invent.2016.09.006</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2023-01-02T16:44:06Z</dcterms:created>
  <dcterms:modified xsi:type="dcterms:W3CDTF">2023-01-02T16:44:06Z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Assertiveness training has been an essential component in cognitive-behavioral therapy (CBT), for example, in the treatment of social anxiety and in dialectical behavioral therapy. However, the assertiveness construct has garnered little attention in recent clinical research. The objective of this study was to investigate the efficacy of an eight-week transdiagnostic stand-alone internet-based CBT intervention specifically aimed at increasing levels of assertive behavior. Following inclusion, we randomized N = 210 participants into three groups: therapist-guided self-help, unguided self-help, and a wait-list control condition. After a one-year follow-up, we employed a linear mixed model to estimate the effects at both post-test and follow-up for the primary outcome measures of assertiveness, Adaptive and Aggressive Assertiveness Scales, the Rathus Assertiveness Schedule, and secondary outcome measures of anxiety, depression, and general well-being. We also assessed reliable clinical change. Compared to the wait list at the post-treatment, estimated between-group effect sizes on self-rated adaptive assertiveness were statistically equivalent for the two treatment groups both at the post and at the one-year follow-up time points, ranging from ES = 0.95 to 1.73, with reliable clinical recovery proportions from 19% to 36%. The increase in aggressive assertiveness ranged from ES = 0.62 to 0.90 compared to the wait-list condition at post. For social anxiety symptoms, the effects compared to the wait list at post-treatment ranged from ES = 0.67 to 0.93, with a reliable clinical recovery rate from 16% to 26%. For self-assessed well-being, the effects compared to the wait list at post ranged from ES = 0.70 to 1.05. No effects were observed for generalized anxiety, although within-group evidence was found for a medium effect on depression one year after treatment. Overall, the two treatment conditions produced similar effects.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preprint, 3p, times, endfloat, longtitle</vt:lpwstr>
  </property>
  <property fmtid="{D5CDD505-2E9C-101B-9397-08002B2CF9AE}" pid="6" name="csl">
    <vt:lpwstr>./elsevier-harvard.csl</vt:lpwstr>
  </property>
  <property fmtid="{D5CDD505-2E9C-101B-9397-08002B2CF9AE}" pid="7" name="date">
    <vt:lpwstr>2023-01-02</vt:lpwstr>
  </property>
  <property fmtid="{D5CDD505-2E9C-101B-9397-08002B2CF9AE}" pid="8" name="header-includes">
    <vt:lpwstr/>
  </property>
  <property fmtid="{D5CDD505-2E9C-101B-9397-08002B2CF9AE}" pid="9" name="journal">
    <vt:lpwstr>Internet Interventions</vt:lpwstr>
  </property>
  <property fmtid="{D5CDD505-2E9C-101B-9397-08002B2CF9AE}" pid="10" name="knit">
    <vt:lpwstr>(function(inputFile, encoding){rmarkdown::render(inputFile, encoding = encoding, output_format = “all”) })</vt:lpwstr>
  </property>
  <property fmtid="{D5CDD505-2E9C-101B-9397-08002B2CF9AE}" pid="11" name="linenumbers">
    <vt:lpwstr>False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