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2022-08-28</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feeling rejected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dot-ex-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3" w:name="references"/>
    <w:p>
      <w:pPr>
        <w:pStyle w:val="Heading1"/>
      </w:pPr>
      <w:r>
        <w:t xml:space="preserve">References</w:t>
      </w:r>
    </w:p>
    <w:bookmarkStart w:id="142"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6"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7">
        <w:r>
          <w:rPr>
            <w:rStyle w:val="Hyperlink"/>
          </w:rPr>
          <w:t xml:space="preserve">https://doi.org/10.1146/annurev.psych.52.1.685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igler2008"/>
    <w:p>
      <w:pPr>
        <w:pStyle w:val="Bibliography"/>
      </w:pPr>
      <w:r>
        <w:t xml:space="preserve">Sigler, K., Burnett, A., Child, J.T., 2008. A regional analysis of assertiveness. Journal of Intercultural Communication Research 37,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K.G., Sandoz, E.K., Kitchens, J., Roberts, M., 2010. The valued living questionnaire: Defining and measuring valued action within a behavioral framework, The Psychological Record.</w:t>
      </w:r>
    </w:p>
    <w:bookmarkEnd w:id="138"/>
    <w:bookmarkStart w:id="139" w:name="ref-wolpe1990practice"/>
    <w:p>
      <w:pPr>
        <w:pStyle w:val="Bibliography"/>
      </w:pPr>
      <w:r>
        <w:t xml:space="preserve">Wolpe, J., 1990.</w:t>
      </w:r>
      <w:r>
        <w:t xml:space="preserve"> </w:t>
      </w:r>
      <w:r>
        <w:t xml:space="preserve">The practice of behavior therapy</w:t>
      </w:r>
      <w:r>
        <w:t xml:space="preserve">. Pergamon Press, Oxford, UK.</w:t>
      </w:r>
    </w:p>
    <w:bookmarkEnd w:id="139"/>
    <w:bookmarkStart w:id="14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0"/>
    <w:bookmarkStart w:id="14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2022-08-28T07:30:27Z</dcterms:created>
  <dcterms:modified xsi:type="dcterms:W3CDTF">2022-08-28T07:30:27Z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