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26</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regards to both the importance of the relationship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Assertive behavior, using this definition, can be thought of as the product of respect for the rights of others, and respect for the rights of oneself. This definition is non-normative and offers plenty of opportunities for idiographic and contextual descriptions of assertion in therapy, i.e. when designing in vivo behavioral experiments, regardless of cultural influences on what is considered to be acceptable behavior (within a family, community, society, et.c.)</w:t>
      </w:r>
      <w:r>
        <w:t xml:space="preserve"> </w:t>
      </w:r>
      <w:r>
        <w:t xml:space="preserve">(</w:t>
      </w:r>
      <w:hyperlink w:anchor="ref-Mitamura2018">
        <w:r>
          <w:rPr>
            <w:rStyle w:val="Hyperlink"/>
          </w:rPr>
          <w:t xml:space="preserve">Mitamura, 2018</w:t>
        </w:r>
      </w:hyperlink>
      <w:r>
        <w:t xml:space="preserve">)</w:t>
      </w:r>
      <w:r>
        <w:t xml:space="preserve">.</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with packages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values were filled in with the value from the previous time point.</w:t>
      </w:r>
    </w:p>
    <w:bookmarkEnd w:id="41"/>
    <w:bookmarkEnd w:id="42"/>
    <w:bookmarkStart w:id="57"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s. Participants’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measures.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w:t>
      </w:r>
    </w:p>
    <w:bookmarkStart w:id="56"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behaviors.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time-points.</w:t>
      </w:r>
    </w:p>
    <w:bookmarkStart w:id="49" w:name="X259a991c260b889c05c789cd47bdeff41252dda"/>
    <w:p>
      <w:pPr>
        <w:pStyle w:val="Heading3"/>
      </w:pPr>
      <w:r>
        <w:t xml:space="preserve">Between-group effects on assertive behaviors</w:t>
      </w:r>
    </w:p>
    <w:p>
      <w:pPr>
        <w:pStyle w:val="FirstParagraph"/>
      </w:pPr>
      <w:r>
        <w:t xml:space="preserve">Follow-up testing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signigificant effects at Follow-up, that is 1 year after end of treatment, comparing against the Post time-point for the Waitlist condition.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as well as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Post-treatment,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at 1-year Follow-up having grown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Large effects at Post were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 measure</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the Guided self-help treatment conditions, there was no significant difference neither at Post nor at Follow-up, revealing that participants working through the intervention on their own fared just as well as those who were supported by a therapist.</w:t>
      </w:r>
    </w:p>
    <w:bookmarkEnd w:id="49"/>
    <w:bookmarkStart w:id="50" w:name="X32f89f68c5936d30db2416b5e7d82b70ea5932b"/>
    <w:p>
      <w:pPr>
        <w:pStyle w:val="Heading3"/>
      </w:pPr>
      <w:r>
        <w:t xml:space="preserve">Between-group effects on syndromal symptoms of anxiety and depression</w:t>
      </w:r>
    </w:p>
    <w:p>
      <w:pPr>
        <w:pStyle w:val="FirstParagraph"/>
      </w:pPr>
      <w:r>
        <w:t xml:space="preserve">In post-hoc testing, no effect on alleviation of depressive symptoms measured with PHQ-9 at the Post time-point was found comparing the Waitlist and the Unguided self-help groups. Tentative evidence was found for support by therapists benefiting depressed participants,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time-point; see Figure 3 for a visual exploration of a possible nocebo effect, that is symptomatic worsening over time due to self-fulfilling expectations of low mood among participants waiting in line for treatment.</w:t>
      </w:r>
    </w:p>
    <w:p>
      <w:pPr>
        <w:pStyle w:val="BodyText"/>
      </w:pPr>
      <w:r>
        <w:t xml:space="preserve">No between-group effects were found for GAD-7, comparing treatment groups against Waitlist. Also, there was no significant effect of the Unguided self-help condition on reduction of social anxiety symptoms measured with LSAS-SR at Post-treatment.</w:t>
      </w:r>
      <w:r>
        <w:t xml:space="preserve"> </w:t>
      </w:r>
      <w:r>
        <w:t xml:space="preserve"> </w:t>
      </w:r>
      <w:r>
        <w:t xml:space="preserve">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that is at During, half-way through the intervention; see Figure 3 for identification of time point. For the Guided self-help group, a moderate effect was found at Post,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and a large effect at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comparing against the most conservative time-point, During, for the Waitlist.</w:t>
      </w:r>
    </w:p>
    <w:p>
      <w:pPr>
        <w:pStyle w:val="BodyText"/>
      </w:pPr>
      <w:r>
        <w:t xml:space="preserve">Thus, the 8-week Respekt</w:t>
      </w:r>
      <w:r>
        <w:rPr>
          <w:vertAlign w:val="superscript"/>
        </w:rPr>
        <w:t xml:space="preserve">2</w:t>
      </w:r>
      <w:r>
        <w:t xml:space="preserve"> </w:t>
      </w:r>
      <w:r>
        <w:t xml:space="preserve">intervention had no effect on either depression or generalized anxiety. However, it did have a pronounced effect on social anxiety. See table 2 for a summary of significant effects, including 95% CIs.</w:t>
      </w:r>
    </w:p>
    <w:bookmarkEnd w:id="50"/>
    <w:bookmarkStart w:id="51"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1 year Follow-up when compared to the Pre-treatment measurement time point, measured with AAA-S Adaptive, AAA-S Aggressive and the RAS, revealing that assertive behaviors were still manifest well beyond the end of participation in the intervention. However, significant effects between the Post to Follow-up time-points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time points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evidencing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had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51"/>
    <w:bookmarkStart w:id="55" w:name="clinical-significant-change"/>
    <w:p>
      <w:pPr>
        <w:pStyle w:val="Heading3"/>
      </w:pPr>
      <w:r>
        <w:t xml:space="preserve">Clinical significant change</w:t>
      </w:r>
    </w:p>
    <w:bookmarkStart w:id="52" w:name="Xa39b37f015a18bad044b28713fcb26b136ecfc9"/>
    <w:p>
      <w:pPr>
        <w:pStyle w:val="Heading4"/>
      </w:pPr>
      <w:r>
        <w:t xml:space="preserve">Reliable recovery with regards to assertive behaviors</w:t>
      </w:r>
    </w:p>
    <w:p>
      <w:pPr>
        <w:pStyle w:val="FirstParagraph"/>
      </w:pPr>
      <w:r>
        <w:t xml:space="preserve">Adding to the picture that assertive behaviors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not difference in the proportions of recovered participants with regards to AAA-S Aggressive at either time-point.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w:t>
      </w:r>
      <w:r>
        <w:t xml:space="preserve">in the Unguided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.019</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For assertiveness assessed with the RAS, the corresponding numbers (and percentages)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.007</m:t>
        </m:r>
      </m:oMath>
      <w:r>
        <w:t xml:space="preserve"> </w:t>
      </w:r>
      <w:r>
        <w:t xml:space="preserve">for the Unguided self-help condition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for the Guided self-help condition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Pre to Post, and beyond, while deviating with regards to aggressive expressions.</w:t>
      </w:r>
    </w:p>
    <w:bookmarkEnd w:id="52"/>
    <w:bookmarkStart w:id="53"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of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recovery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but not so in Unguided self-help group, pointing to that interaction with therapists contributes to faster recovery for depressed participants. In addition, a significant number of participants in the Unguided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.045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at Follow-up. These clinical findings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53"/>
    <w:bookmarkStart w:id="54" w:name="reliable-deterioration-and-harm"/>
    <w:p>
      <w:pPr>
        <w:pStyle w:val="Heading4"/>
      </w:pPr>
      <w:r>
        <w:t xml:space="preserve">Reliable deterioration and harm</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Unguided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4"/>
    <w:bookmarkEnd w:id="55"/>
    <w:bookmarkEnd w:id="56"/>
    <w:bookmarkEnd w:id="57"/>
    <w:bookmarkStart w:id="139" w:name="discussion"/>
    <w:p>
      <w:pPr>
        <w:pStyle w:val="Heading1"/>
      </w:pPr>
      <w:r>
        <w:t xml:space="preserve">Discussion</w:t>
      </w:r>
    </w:p>
    <w:p>
      <w:pPr>
        <w:pStyle w:val="FirstParagraph"/>
      </w:pPr>
      <w:r>
        <w:t xml:space="preserve">This randomized control trial brings up-to-date empirical data about a trans-diagnostic intervention targeting assertiveness, Respekt</w:t>
      </w:r>
      <w:r>
        <w:rPr>
          <w:vertAlign w:val="superscript"/>
        </w:rPr>
        <w:t xml:space="preserve">2</w:t>
      </w:r>
      <w:r>
        <w:t xml:space="preserve">, providing evidence for its effects on assertive behaviors and on symptoms of psychiatric disorders. Having been mostly ignored as a construct in clincical research since the 1990’ies, despite its rich history as the target in the very first behavioral therapies of the 1950’ies,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p>
      <w:pPr>
        <w:pStyle w:val="BodyText"/>
      </w:pPr>
      <w:r>
        <w:t xml:space="preserve">The moderate to large between-group effects on assertiveness found in Respekt</w:t>
      </w:r>
      <w:r>
        <w:rPr>
          <w:vertAlign w:val="superscript"/>
        </w:rPr>
        <w:t xml:space="preserve">2</w:t>
      </w:r>
      <w:r>
        <w:t xml:space="preserve"> </w:t>
      </w:r>
      <w:r>
        <w:t xml:space="preserve">at Post in the Unguided self-help condition, from</w:t>
      </w:r>
      <w:r>
        <w:t xml:space="preserve"> </w:t>
      </w:r>
      <m:oMath>
        <m:r>
          <m:t>E</m:t>
        </m:r>
        <m:r>
          <m:t>S</m:t>
        </m:r>
      </m:oMath>
      <w:r>
        <w:t xml:space="preserve"> </w:t>
      </w:r>
      <w:r>
        <w:t xml:space="preserve">=</w:t>
      </w:r>
      <w:r>
        <w:t xml:space="preserve"> </w:t>
      </w:r>
      <m:oMath>
        <m:r>
          <m:t>.72</m:t>
        </m:r>
      </m:oMath>
      <w:r>
        <w:t xml:space="preserve"> </w:t>
      </w:r>
      <w:r>
        <w:t xml:space="preserve">to</w:t>
      </w:r>
      <w:r>
        <w:t xml:space="preserve"> </w:t>
      </w:r>
      <m:oMath>
        <m:r>
          <m:t>E</m:t>
        </m:r>
        <m:r>
          <m:t>S</m:t>
        </m:r>
      </m:oMath>
      <w:r>
        <w:t xml:space="preserve"> </w:t>
      </w:r>
      <w:r>
        <w:t xml:space="preserve">=</w:t>
      </w:r>
      <w:r>
        <w:t xml:space="preserve"> </w:t>
      </w:r>
      <m:oMath>
        <m:r>
          <m:t>1.02</m:t>
        </m:r>
      </m:oMath>
      <w:r>
        <w:t xml:space="preserve"> </w:t>
      </w:r>
      <w:r>
        <w:t xml:space="preserve">(with slightly but insignificantly larger effects in the Guided group), are comparable to those found in clinical trails of iCBT interventions for other trans-diagnostic behavioral targets such as procrastination (</w:t>
      </w:r>
      <m:oMath>
        <m:r>
          <m:t>d</m:t>
        </m:r>
      </m:oMath>
      <w:r>
        <w:t xml:space="preserve"> </w:t>
      </w:r>
      <w:r>
        <w:t xml:space="preserve">= ??)</w:t>
      </w:r>
      <w:r>
        <w:t xml:space="preserve"> </w:t>
      </w:r>
      <w:r>
        <w:t xml:space="preserve">(</w:t>
      </w:r>
      <w:hyperlink w:anchor="ref-Rozental2015">
        <w:r>
          <w:rPr>
            <w:rStyle w:val="Hyperlink"/>
          </w:rPr>
          <w:t xml:space="preserve">Rozental et al., 2015</w:t>
        </w:r>
      </w:hyperlink>
      <w:r>
        <w:t xml:space="preserve">)</w:t>
      </w:r>
      <w:r>
        <w:t xml:space="preserve">, and perfectionism (</w:t>
      </w:r>
      <m:oMath>
        <m:r>
          <m:t>d</m:t>
        </m:r>
      </m:oMath>
      <w:r>
        <w:t xml:space="preserve"> </w:t>
      </w:r>
      <w:r>
        <w:t xml:space="preserve">= ??)</w:t>
      </w:r>
      <w:r>
        <w:t xml:space="preserve"> </w:t>
      </w:r>
      <w:r>
        <w:t xml:space="preserve">(</w:t>
      </w:r>
      <w:hyperlink w:anchor="ref-Rozental2017">
        <w:r>
          <w:rPr>
            <w:rStyle w:val="Hyperlink"/>
          </w:rPr>
          <w:t xml:space="preserve">Rozental et al., 2017</w:t>
        </w:r>
      </w:hyperlink>
      <w:r>
        <w:t xml:space="preserve">)</w:t>
      </w:r>
      <w:r>
        <w:t xml:space="preserve">, showing that the</w:t>
      </w:r>
      <w:r>
        <w:t xml:space="preserve"> </w:t>
      </w:r>
      <w:r>
        <w:t xml:space="preserve">‘</w:t>
      </w:r>
      <w:r>
        <w:t xml:space="preserve">assertiveness</w:t>
      </w:r>
      <w:r>
        <w:t xml:space="preserve">’</w:t>
      </w:r>
      <w:r>
        <w:t xml:space="preserve"> </w:t>
      </w:r>
      <w:r>
        <w:t xml:space="preserve">construct can be used successfully as a target in behavior therapy, helping participants appreciate and self-report meaningful change in their daily lives.</w:t>
      </w:r>
      <w:r>
        <w:t xml:space="preserve"> </w:t>
      </w:r>
      <w:r>
        <w:t xml:space="preserve">(Also, compare w/ frequencies or reliable change, e.g.</w:t>
      </w:r>
      <w:r>
        <w:t xml:space="preserve"> </w:t>
      </w:r>
      <w:hyperlink w:anchor="ref-Rozental2015">
        <w:r>
          <w:rPr>
            <w:rStyle w:val="Hyperlink"/>
          </w:rPr>
          <w:t xml:space="preserve">Rozental et al., 2015</w:t>
        </w:r>
      </w:hyperlink>
      <w:r>
        <w:t xml:space="preserve">.)</w:t>
      </w:r>
    </w:p>
    <w:p>
      <w:pPr>
        <w:pStyle w:val="BodyText"/>
      </w:pPr>
      <w:r>
        <w:t xml:space="preserve">The delayed 1-year Follow-up effects on social anxiety symptoms,</w:t>
      </w:r>
      <w:r>
        <w:t xml:space="preserve"> </w:t>
      </w:r>
      <m:oMath>
        <m:r>
          <m:t>E</m:t>
        </m:r>
        <m:r>
          <m:t>S</m:t>
        </m:r>
      </m:oMath>
      <w:r>
        <w:t xml:space="preserve"> </w:t>
      </w:r>
      <w:r>
        <w:t xml:space="preserve">=</w:t>
      </w:r>
      <w:r>
        <w:t xml:space="preserve"> </w:t>
      </w:r>
      <m:oMath>
        <m:r>
          <m:t>.90</m:t>
        </m:r>
      </m:oMath>
      <w:r>
        <w:t xml:space="preserve"> </w:t>
      </w:r>
      <w:r>
        <w:t xml:space="preserve">and</w:t>
      </w:r>
      <w:r>
        <w:t xml:space="preserve"> </w:t>
      </w:r>
      <m:oMath>
        <m:r>
          <m:t>E</m:t>
        </m:r>
        <m:r>
          <m:t>S</m:t>
        </m:r>
      </m:oMath>
      <w:r>
        <w:t xml:space="preserve"> </w:t>
      </w:r>
      <w:r>
        <w:t xml:space="preserve">=</w:t>
      </w:r>
      <w:r>
        <w:t xml:space="preserve"> </w:t>
      </w:r>
      <m:oMath>
        <m:r>
          <m:t>.93</m:t>
        </m:r>
      </m:oMath>
      <w:r>
        <w:t xml:space="preserve"> </w:t>
      </w:r>
      <w:r>
        <w:t xml:space="preserve">are also comparable to those found for treatments tailored to social anxiety [REF], as are those on depression,</w:t>
      </w:r>
      <w:r>
        <w:t xml:space="preserve"> </w:t>
      </w:r>
      <m:oMath>
        <m:r>
          <m:t>E</m:t>
        </m:r>
        <m:r>
          <m:t>S</m:t>
        </m:r>
      </m:oMath>
      <w:r>
        <w:t xml:space="preserve"> </w:t>
      </w:r>
      <w:r>
        <w:t xml:space="preserve">=</w:t>
      </w:r>
      <w:r>
        <w:t xml:space="preserve"> </w:t>
      </w:r>
      <m:oMath>
        <m:r>
          <m:t>.75</m:t>
        </m:r>
      </m:oMath>
      <w:r>
        <w:t xml:space="preserve"> </w:t>
      </w:r>
      <w:r>
        <w:t xml:space="preserve">and</w:t>
      </w:r>
      <w:r>
        <w:t xml:space="preserve"> </w:t>
      </w:r>
      <m:oMath>
        <m:r>
          <m:t>E</m:t>
        </m:r>
        <m:r>
          <m:t>S</m:t>
        </m:r>
      </m:oMath>
      <w:r>
        <w:t xml:space="preserve"> </w:t>
      </w:r>
      <w:r>
        <w:t xml:space="preserve">=</w:t>
      </w:r>
      <w:r>
        <w:t xml:space="preserve"> </w:t>
      </w:r>
      <m:oMath>
        <m:r>
          <m:t>.84</m:t>
        </m:r>
      </m:oMath>
      <w:r>
        <w:t xml:space="preserve">, pointing to the usefulness of assertiveness as a trans-diagnostic target. These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w:t>
      </w:r>
      <w:r>
        <w:t xml:space="preserve"> </w:t>
      </w:r>
      <w:r>
        <w:t xml:space="preserve">(Also, compare w/ frequencies or reliable change, e.g.</w:t>
      </w:r>
      <w:r>
        <w:t xml:space="preserve"> </w:t>
      </w:r>
      <w:hyperlink w:anchor="ref-Rozental2015">
        <w:r>
          <w:rPr>
            <w:rStyle w:val="Hyperlink"/>
          </w:rPr>
          <w:t xml:space="preserve">Rozental et al., 2015</w:t>
        </w:r>
      </w:hyperlink>
      <w:r>
        <w:t xml:space="preserve">.)</w:t>
      </w:r>
    </w:p>
    <w:p>
      <w:pPr>
        <w:pStyle w:val="BodyText"/>
      </w:pPr>
      <w:r>
        <w:t xml:space="preserve">The intervention was insufficient in ameliorating symptoms of generalized anxiety, which can be understood as a disorder of attentional/cognitive and behavioral rigidity</w:t>
      </w:r>
      <w:r>
        <w:t xml:space="preserve"> </w:t>
      </w:r>
      <w:r>
        <w:t xml:space="preserve">(</w:t>
      </w:r>
      <w:hyperlink w:anchor="ref-Hayes2004a">
        <w:r>
          <w:rPr>
            <w:rStyle w:val="Hyperlink"/>
          </w:rPr>
          <w:t xml:space="preserve">Hayes, 2004</w:t>
        </w:r>
      </w:hyperlink>
      <w:r>
        <w:t xml:space="preserve">)</w:t>
      </w:r>
      <w:r>
        <w:t xml:space="preserve">. Most likely, the overall structure of the Respekt</w:t>
      </w:r>
      <w:r>
        <w:rPr>
          <w:vertAlign w:val="superscript"/>
        </w:rPr>
        <w:t xml:space="preserve">2</w:t>
      </w:r>
      <w:r>
        <w:t xml:space="preserve"> </w:t>
      </w:r>
      <w:r>
        <w:t xml:space="preserve">intervention, with its emphasis on cheer-leading participants in design and performing in-vivo behavioral experiments early on in treatment was not adequate in addressing GAD symptoms where non-commitment to exposure often is an important first hurdle to overcome. (To be investigated.)</w:t>
      </w:r>
    </w:p>
    <w:p>
      <w:pPr>
        <w:pStyle w:val="BodyText"/>
      </w:pPr>
      <w:r>
        <w:t xml:space="preserve">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w:t>
      </w:r>
      <w:r>
        <w:t xml:space="preserve"> </w:t>
      </w:r>
    </w:p>
    <w:p>
      <w:pPr>
        <w:pStyle w:val="BodyText"/>
      </w:pPr>
      <w:r>
        <w:t xml:space="preserve">Although there was no between group difference between treatment conditions at Post or Follow-up in the current study, some within-group evidence was found that being guided by a therapist could entail some advantages for participants in iCBT, in line with</w:t>
      </w:r>
      <w:r>
        <w:t xml:space="preserve"> </w:t>
      </w:r>
      <w:r>
        <w:t xml:space="preserve">Baumeister et al. (</w:t>
      </w:r>
      <w:hyperlink w:anchor="ref-Baumeister2014a">
        <w:r>
          <w:rPr>
            <w:rStyle w:val="Hyperlink"/>
          </w:rPr>
          <w:t xml:space="preserve">2014</w:t>
        </w:r>
      </w:hyperlink>
      <w:r>
        <w:t xml:space="preserve">)</w:t>
      </w:r>
      <w:r>
        <w:t xml:space="preserve">, especially with regards to long-term outcomes. In the Guided self-help group, assertiveness (both in general and of the adaptive type) had increased significantly between end of treatment and one-year Follow-up. Also, in the Guided self-help condition analysis of both within-group effects and of clinical change indicated that depression had decreased from pre-treatment to 1-year Follow-up both. Corresponding phenomena were not observed in the group where the participants were engaging with the intervention on their own. The presence of human support during treatment could increase adherence to the intervention through increased levels of accountability, as suggested by</w:t>
      </w:r>
      <w:r>
        <w:t xml:space="preserve"> </w:t>
      </w:r>
      <w:r>
        <w:t xml:space="preserve">Mohr et al. (</w:t>
      </w:r>
      <w:hyperlink w:anchor="ref-Mohr2011">
        <w:r>
          <w:rPr>
            <w:rStyle w:val="Hyperlink"/>
          </w:rPr>
          <w:t xml:space="preserve">2011</w:t>
        </w:r>
      </w:hyperlink>
      <w:r>
        <w:t xml:space="preserve">)</w:t>
      </w:r>
      <w:r>
        <w:t xml:space="preserve">. Speculatively, accountability towards a therapist could be associated with an increased willingness to take part in behavioral experiments, an increased ability to engage in behavioral experiments through active and collaborative problem solving, or increased compliance to homework and therefore an increased ability to generalize adaptive behaviors – or a combination of such mechanisms.</w:t>
      </w:r>
    </w:p>
    <w:bookmarkStart w:id="58" w:name="limitations"/>
    <w:p>
      <w:pPr>
        <w:pStyle w:val="Heading2"/>
      </w:pPr>
      <w:r>
        <w:t xml:space="preserve">Limitations</w:t>
      </w:r>
    </w:p>
    <w:p>
      <w:pPr>
        <w:pStyle w:val="FirstParagraph"/>
      </w:pPr>
      <w:r>
        <w:t xml:space="preserve">The study design has a number of limitations that impairs the generalizibility of the findings to the population at large, of which the recruitment method is one of the most important. The recruitment was performed via advertising in social media, where the presentation of the ads by design was skewed to maximize click-throughs (and to provide maximal</w:t>
      </w:r>
      <w:r>
        <w:t xml:space="preserve"> </w:t>
      </w:r>
      <w:r>
        <w:t xml:space="preserve">“</w:t>
      </w:r>
      <w:r>
        <w:t xml:space="preserve">bang for the buck</w:t>
      </w:r>
      <w:r>
        <w:t xml:space="preserve">”</w:t>
      </w:r>
      <w:r>
        <w:t xml:space="preserve"> </w:t>
      </w:r>
      <w:r>
        <w:t xml:space="preserve">for the advertising budget) by the algorithms employed by the respective ad networks. We achieved distributions with regards to sex (X % female participants), previous participation in therapy (x %) and use of psychotrophic medicine (X %) that were probably far apart from the ones expected had the sampling been random. These distributions probably affected the effects in different ways. For instance, it is easy to imagine that for participants that had previously taken part in CBT, the R</w:t>
      </w:r>
      <w:r>
        <w:rPr>
          <w:vertAlign w:val="superscript"/>
        </w:rPr>
        <w:t xml:space="preserve">2</w:t>
      </w:r>
      <w:r>
        <w:t xml:space="preserve"> </w:t>
      </w:r>
      <w:r>
        <w:t xml:space="preserve">intervention effectively acted as a booster providing opportunities for re-acquisition of assertiveness skills. Any findings using this sample need to be treated with caution before being confirmed with other samples in future studies. Likewise, since this sample was non-clinical, a trial using a purely clinical sample is also called for.</w:t>
      </w:r>
    </w:p>
    <w:p>
      <w:pPr>
        <w:pStyle w:val="BodyText"/>
      </w:pPr>
      <w:r>
        <w:t xml:space="preserve">Another methodological drawback of the current study is that some of the measurement scales were recently translated into Swedish, without back-translation, somewhat impairing the ability to compare findings with norms found for the original english-speaking populations where the original scaled were validated. The Swedish adaptations of the RAS and AAA-S scales should to be quality controlled with back-translation prior to future usage, and if possible also validated for Swedish clinical and non-clinical populations.</w:t>
      </w:r>
    </w:p>
    <w:bookmarkEnd w:id="58"/>
    <w:bookmarkStart w:id="138" w:name="references"/>
    <w:p>
      <w:pPr>
        <w:pStyle w:val="Heading2"/>
      </w:pPr>
      <w:r>
        <w:t xml:space="preserve">References</w:t>
      </w:r>
    </w:p>
    <w:bookmarkStart w:id="137" w:name="refs"/>
    <w:bookmarkStart w:id="59"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9"/>
    <w:bookmarkStart w:id="60"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0"/>
    <w:bookmarkStart w:id="62"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1">
        <w:r>
          <w:rPr>
            <w:rStyle w:val="Hyperlink"/>
          </w:rPr>
          <w:t xml:space="preserve">https://doi.org/10.1016/j.janxdis.2018.01.001</w:t>
        </w:r>
      </w:hyperlink>
    </w:p>
    <w:bookmarkEnd w:id="62"/>
    <w:bookmarkStart w:id="64"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3">
        <w:r>
          <w:rPr>
            <w:rStyle w:val="Hyperlink"/>
          </w:rPr>
          <w:t xml:space="preserve">https://doi.org/10.1371/journal.pone.0230169</w:t>
        </w:r>
      </w:hyperlink>
    </w:p>
    <w:bookmarkEnd w:id="64"/>
    <w:bookmarkStart w:id="66"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5">
        <w:r>
          <w:rPr>
            <w:rStyle w:val="Hyperlink"/>
          </w:rPr>
          <w:t xml:space="preserve">https://doi.org/10.4018/978-1-4666-5942-1</w:t>
        </w:r>
      </w:hyperlink>
    </w:p>
    <w:bookmarkEnd w:id="66"/>
    <w:bookmarkStart w:id="68"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7">
        <w:r>
          <w:rPr>
            <w:rStyle w:val="Hyperlink"/>
          </w:rPr>
          <w:t xml:space="preserve">https://doi.org/10.1016/j.invent.2014.08.003</w:t>
        </w:r>
      </w:hyperlink>
    </w:p>
    <w:bookmarkEnd w:id="68"/>
    <w:bookmarkStart w:id="69"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9"/>
    <w:bookmarkStart w:id="71"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0">
        <w:r>
          <w:rPr>
            <w:rStyle w:val="Hyperlink"/>
          </w:rPr>
          <w:t xml:space="preserve">https://doi.org/10.1080/16506073.2017.1401115</w:t>
        </w:r>
      </w:hyperlink>
    </w:p>
    <w:bookmarkEnd w:id="71"/>
    <w:bookmarkStart w:id="73"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2">
        <w:r>
          <w:rPr>
            <w:rStyle w:val="Hyperlink"/>
          </w:rPr>
          <w:t xml:space="preserve">https://doi.org/10.1146/annurev.psych.52.1.685</w:t>
        </w:r>
      </w:hyperlink>
    </w:p>
    <w:bookmarkEnd w:id="73"/>
    <w:bookmarkStart w:id="75"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4">
        <w:r>
          <w:rPr>
            <w:rStyle w:val="Hyperlink"/>
          </w:rPr>
          <w:t xml:space="preserve">https://doi.org/10.1016/0005-7967(86)90011-2</w:t>
        </w:r>
      </w:hyperlink>
    </w:p>
    <w:bookmarkEnd w:id="75"/>
    <w:bookmarkStart w:id="76"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6"/>
    <w:bookmarkStart w:id="78"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7">
        <w:r>
          <w:rPr>
            <w:rStyle w:val="Hyperlink"/>
          </w:rPr>
          <w:t xml:space="preserve">https://CRAN.R-project.org/package=clinicalsignificance</w:t>
        </w:r>
      </w:hyperlink>
    </w:p>
    <w:bookmarkEnd w:id="78"/>
    <w:bookmarkStart w:id="79"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9"/>
    <w:bookmarkStart w:id="81"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0">
        <w:r>
          <w:rPr>
            <w:rStyle w:val="Hyperlink"/>
          </w:rPr>
          <w:t xml:space="preserve">https://doi.org/10.1016/j.brat.2007.10.003</w:t>
        </w:r>
      </w:hyperlink>
    </w:p>
    <w:bookmarkEnd w:id="81"/>
    <w:bookmarkStart w:id="83"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2">
        <w:r>
          <w:rPr>
            <w:rStyle w:val="Hyperlink"/>
          </w:rPr>
          <w:t xml:space="preserve">https://doi.org/10.1016/j.brat.2013.03.003</w:t>
        </w:r>
      </w:hyperlink>
    </w:p>
    <w:bookmarkEnd w:id="83"/>
    <w:bookmarkStart w:id="84"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4"/>
    <w:bookmarkStart w:id="86"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5">
        <w:r>
          <w:rPr>
            <w:rStyle w:val="Hyperlink"/>
          </w:rPr>
          <w:t xml:space="preserve">https://doi.org/10.1017/S0033291701004056</w:t>
        </w:r>
      </w:hyperlink>
    </w:p>
    <w:bookmarkEnd w:id="86"/>
    <w:bookmarkStart w:id="87"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7"/>
    <w:bookmarkStart w:id="89"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8">
        <w:r>
          <w:rPr>
            <w:rStyle w:val="Hyperlink"/>
          </w:rPr>
          <w:t xml:space="preserve">https://www.random.org</w:t>
        </w:r>
      </w:hyperlink>
      <w:r>
        <w:t xml:space="preserve">.</w:t>
      </w:r>
    </w:p>
    <w:bookmarkEnd w:id="89"/>
    <w:bookmarkStart w:id="91"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0">
        <w:r>
          <w:rPr>
            <w:rStyle w:val="Hyperlink"/>
          </w:rPr>
          <w:t xml:space="preserve">https://doi.org/10.1016/S0005-7894(04)80013-3</w:t>
        </w:r>
      </w:hyperlink>
    </w:p>
    <w:bookmarkEnd w:id="91"/>
    <w:bookmarkStart w:id="93"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2">
        <w:r>
          <w:rPr>
            <w:rStyle w:val="Hyperlink"/>
          </w:rPr>
          <w:t xml:space="preserve">https://doi.org/10.1007/s10608-012-9476-1</w:t>
        </w:r>
      </w:hyperlink>
    </w:p>
    <w:bookmarkEnd w:id="93"/>
    <w:bookmarkStart w:id="94"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4"/>
    <w:bookmarkStart w:id="96"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5">
        <w:r>
          <w:rPr>
            <w:rStyle w:val="Hyperlink"/>
          </w:rPr>
          <w:t xml:space="preserve">https://doi.org/10.1016/j.genhosppsych.2010.03.006</w:t>
        </w:r>
      </w:hyperlink>
    </w:p>
    <w:bookmarkEnd w:id="96"/>
    <w:bookmarkStart w:id="98"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7">
        <w:r>
          <w:rPr>
            <w:rStyle w:val="Hyperlink"/>
          </w:rPr>
          <w:t xml:space="preserve">https://github.com/runehaubo/lmerTestR</w:t>
        </w:r>
      </w:hyperlink>
    </w:p>
    <w:bookmarkEnd w:id="98"/>
    <w:bookmarkStart w:id="100"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9">
        <w:r>
          <w:rPr>
            <w:rStyle w:val="Hyperlink"/>
          </w:rPr>
          <w:t xml:space="preserve">https://cran.r-project.org/package=emmeans</w:t>
        </w:r>
      </w:hyperlink>
    </w:p>
    <w:bookmarkEnd w:id="100"/>
    <w:bookmarkStart w:id="102"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1">
        <w:r>
          <w:rPr>
            <w:rStyle w:val="Hyperlink"/>
          </w:rPr>
          <w:t xml:space="preserve">https://doi.org/10.1016/B978-0-12-404480-7.50013-7</w:t>
        </w:r>
      </w:hyperlink>
    </w:p>
    <w:bookmarkEnd w:id="102"/>
    <w:bookmarkStart w:id="103"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3"/>
    <w:bookmarkStart w:id="105"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4">
        <w:r>
          <w:rPr>
            <w:rStyle w:val="Hyperlink"/>
          </w:rPr>
          <w:t xml:space="preserve">https://doi.org/10.21105/joss.00772</w:t>
        </w:r>
      </w:hyperlink>
    </w:p>
    <w:bookmarkEnd w:id="105"/>
    <w:bookmarkStart w:id="107"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6">
        <w:r>
          <w:rPr>
            <w:rStyle w:val="Hyperlink"/>
          </w:rPr>
          <w:t xml:space="preserve">https://easystats.github.io/performance/</w:t>
        </w:r>
      </w:hyperlink>
    </w:p>
    <w:bookmarkEnd w:id="107"/>
    <w:bookmarkStart w:id="109"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8">
        <w:r>
          <w:rPr>
            <w:rStyle w:val="Hyperlink"/>
          </w:rPr>
          <w:t xml:space="preserve">www.cci.health.wa.gov.au/Resources/Looking-After-Yourself/Assertiveness</w:t>
        </w:r>
      </w:hyperlink>
    </w:p>
    <w:bookmarkEnd w:id="109"/>
    <w:bookmarkStart w:id="111"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10">
        <w:r>
          <w:rPr>
            <w:rStyle w:val="Hyperlink"/>
          </w:rPr>
          <w:t xml:space="preserve">https://doi.org/10.1111/jpr.12185</w:t>
        </w:r>
      </w:hyperlink>
    </w:p>
    <w:bookmarkEnd w:id="111"/>
    <w:bookmarkStart w:id="113"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2">
        <w:r>
          <w:rPr>
            <w:rStyle w:val="Hyperlink"/>
          </w:rPr>
          <w:t xml:space="preserve">https://doi.org/10.2196/jmir.1602</w:t>
        </w:r>
      </w:hyperlink>
    </w:p>
    <w:bookmarkEnd w:id="113"/>
    <w:bookmarkStart w:id="114"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4"/>
    <w:bookmarkStart w:id="115"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5"/>
    <w:bookmarkStart w:id="117"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6">
        <w:r>
          <w:rPr>
            <w:rStyle w:val="Hyperlink"/>
          </w:rPr>
          <w:t xml:space="preserve">https://doi.org/10.1016/S0005-7894(73)80120-0</w:t>
        </w:r>
      </w:hyperlink>
    </w:p>
    <w:bookmarkEnd w:id="117"/>
    <w:bookmarkStart w:id="119"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8">
        <w:r>
          <w:rPr>
            <w:rStyle w:val="Hyperlink"/>
          </w:rPr>
          <w:t xml:space="preserve">https://doi.org/10.1037/ccp0000023</w:t>
        </w:r>
      </w:hyperlink>
    </w:p>
    <w:bookmarkEnd w:id="119"/>
    <w:bookmarkStart w:id="121"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20">
        <w:r>
          <w:rPr>
            <w:rStyle w:val="Hyperlink"/>
          </w:rPr>
          <w:t xml:space="preserve">https://doi.org/10.1016/j.brat.2017.05.015</w:t>
        </w:r>
      </w:hyperlink>
    </w:p>
    <w:bookmarkEnd w:id="121"/>
    <w:bookmarkStart w:id="122"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2"/>
    <w:bookmarkStart w:id="124"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3">
        <w:r>
          <w:rPr>
            <w:rStyle w:val="Hyperlink"/>
          </w:rPr>
          <w:t xml:space="preserve">https://sealedenvelope.com/simple-randomiser/v1</w:t>
        </w:r>
      </w:hyperlink>
      <w:r>
        <w:t xml:space="preserve">.</w:t>
      </w:r>
    </w:p>
    <w:bookmarkEnd w:id="124"/>
    <w:bookmarkStart w:id="125"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5"/>
    <w:bookmarkStart w:id="127"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6">
        <w:r>
          <w:rPr>
            <w:rStyle w:val="Hyperlink"/>
          </w:rPr>
          <w:t xml:space="preserve">https://doi.org/10.1111/cpsp.12216</w:t>
        </w:r>
      </w:hyperlink>
    </w:p>
    <w:bookmarkEnd w:id="127"/>
    <w:bookmarkStart w:id="129"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8">
        <w:r>
          <w:rPr>
            <w:rStyle w:val="Hyperlink"/>
          </w:rPr>
          <w:t xml:space="preserve">https://doi.org/10.1001/archinte.166.10.1092</w:t>
        </w:r>
      </w:hyperlink>
    </w:p>
    <w:bookmarkEnd w:id="129"/>
    <w:bookmarkStart w:id="131"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30">
        <w:r>
          <w:rPr>
            <w:rStyle w:val="Hyperlink"/>
          </w:rPr>
          <w:t xml:space="preserve">https://doi.org/10.1007/s10862-011-9226-9</w:t>
        </w:r>
      </w:hyperlink>
    </w:p>
    <w:bookmarkEnd w:id="131"/>
    <w:bookmarkStart w:id="133"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2">
        <w:r>
          <w:rPr>
            <w:rStyle w:val="Hyperlink"/>
          </w:rPr>
          <w:t xml:space="preserve">https://doi.org/10.1007/s10942-018-0296-4</w:t>
        </w:r>
      </w:hyperlink>
    </w:p>
    <w:bookmarkEnd w:id="133"/>
    <w:bookmarkStart w:id="134"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4"/>
    <w:bookmarkStart w:id="135" w:name="ref-wolpe1990practice"/>
    <w:p>
      <w:pPr>
        <w:pStyle w:val="Bibliography"/>
      </w:pPr>
      <w:r>
        <w:t xml:space="preserve">Wolpe, J. (1990).</w:t>
      </w:r>
      <w:r>
        <w:t xml:space="preserve"> </w:t>
      </w:r>
      <w:r>
        <w:rPr>
          <w:iCs/>
          <w:i/>
        </w:rPr>
        <w:t xml:space="preserve">The practice of behavior therapy</w:t>
      </w:r>
      <w:r>
        <w:t xml:space="preserve">. Pergamon Press.</w:t>
      </w:r>
    </w:p>
    <w:bookmarkEnd w:id="135"/>
    <w:bookmarkStart w:id="136"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6"/>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7"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8" Target="https://doi.org/10.1001/archinte.166.10.1092" TargetMode="External" /><Relationship Type="http://schemas.openxmlformats.org/officeDocument/2006/relationships/hyperlink" Id="rId92" Target="https://doi.org/10.1007/s10608-012-9476-1" TargetMode="External" /><Relationship Type="http://schemas.openxmlformats.org/officeDocument/2006/relationships/hyperlink" Id="rId130" Target="https://doi.org/10.1007/s10862-011-9226-9" TargetMode="External" /><Relationship Type="http://schemas.openxmlformats.org/officeDocument/2006/relationships/hyperlink" Id="rId132" Target="https://doi.org/10.1007/s10942-018-0296-4" TargetMode="External" /><Relationship Type="http://schemas.openxmlformats.org/officeDocument/2006/relationships/hyperlink" Id="rId74"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6" Target="https://doi.org/10.1016/S0005-7894(73)80120-0" TargetMode="External" /><Relationship Type="http://schemas.openxmlformats.org/officeDocument/2006/relationships/hyperlink" Id="rId80" Target="https://doi.org/10.1016/j.brat.2007.10.003" TargetMode="External" /><Relationship Type="http://schemas.openxmlformats.org/officeDocument/2006/relationships/hyperlink" Id="rId82" Target="https://doi.org/10.1016/j.brat.2013.03.003" TargetMode="External" /><Relationship Type="http://schemas.openxmlformats.org/officeDocument/2006/relationships/hyperlink" Id="rId120"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61" Target="https://doi.org/10.1016/j.janxdis.2018.01.001" TargetMode="External" /><Relationship Type="http://schemas.openxmlformats.org/officeDocument/2006/relationships/hyperlink" Id="rId85" Target="https://doi.org/10.1017/S0033291701004056" TargetMode="External" /><Relationship Type="http://schemas.openxmlformats.org/officeDocument/2006/relationships/hyperlink" Id="rId118" Target="https://doi.org/10.1037/ccp0000023" TargetMode="External" /><Relationship Type="http://schemas.openxmlformats.org/officeDocument/2006/relationships/hyperlink" Id="rId70" Target="https://doi.org/10.1080/16506073.2017.1401115" TargetMode="External" /><Relationship Type="http://schemas.openxmlformats.org/officeDocument/2006/relationships/hyperlink" Id="rId126" Target="https://doi.org/10.1111/cpsp.12216" TargetMode="External" /><Relationship Type="http://schemas.openxmlformats.org/officeDocument/2006/relationships/hyperlink" Id="rId110"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2" Target="https://doi.org/10.2196/jmir.1602" TargetMode="External" /><Relationship Type="http://schemas.openxmlformats.org/officeDocument/2006/relationships/hyperlink" Id="rId65"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3"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7"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8" Target="https://doi.org/10.1001/archinte.166.10.1092" TargetMode="External" /><Relationship Type="http://schemas.openxmlformats.org/officeDocument/2006/relationships/hyperlink" Id="rId92" Target="https://doi.org/10.1007/s10608-012-9476-1" TargetMode="External" /><Relationship Type="http://schemas.openxmlformats.org/officeDocument/2006/relationships/hyperlink" Id="rId130" Target="https://doi.org/10.1007/s10862-011-9226-9" TargetMode="External" /><Relationship Type="http://schemas.openxmlformats.org/officeDocument/2006/relationships/hyperlink" Id="rId132" Target="https://doi.org/10.1007/s10942-018-0296-4" TargetMode="External" /><Relationship Type="http://schemas.openxmlformats.org/officeDocument/2006/relationships/hyperlink" Id="rId74"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6" Target="https://doi.org/10.1016/S0005-7894(73)80120-0" TargetMode="External" /><Relationship Type="http://schemas.openxmlformats.org/officeDocument/2006/relationships/hyperlink" Id="rId80" Target="https://doi.org/10.1016/j.brat.2007.10.003" TargetMode="External" /><Relationship Type="http://schemas.openxmlformats.org/officeDocument/2006/relationships/hyperlink" Id="rId82" Target="https://doi.org/10.1016/j.brat.2013.03.003" TargetMode="External" /><Relationship Type="http://schemas.openxmlformats.org/officeDocument/2006/relationships/hyperlink" Id="rId120"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61" Target="https://doi.org/10.1016/j.janxdis.2018.01.001" TargetMode="External" /><Relationship Type="http://schemas.openxmlformats.org/officeDocument/2006/relationships/hyperlink" Id="rId85" Target="https://doi.org/10.1017/S0033291701004056" TargetMode="External" /><Relationship Type="http://schemas.openxmlformats.org/officeDocument/2006/relationships/hyperlink" Id="rId118" Target="https://doi.org/10.1037/ccp0000023" TargetMode="External" /><Relationship Type="http://schemas.openxmlformats.org/officeDocument/2006/relationships/hyperlink" Id="rId70" Target="https://doi.org/10.1080/16506073.2017.1401115" TargetMode="External" /><Relationship Type="http://schemas.openxmlformats.org/officeDocument/2006/relationships/hyperlink" Id="rId126" Target="https://doi.org/10.1111/cpsp.12216" TargetMode="External" /><Relationship Type="http://schemas.openxmlformats.org/officeDocument/2006/relationships/hyperlink" Id="rId110"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2" Target="https://doi.org/10.2196/jmir.1602" TargetMode="External" /><Relationship Type="http://schemas.openxmlformats.org/officeDocument/2006/relationships/hyperlink" Id="rId65"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3"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2022-07-26T18:09:34Z</dcterms:created>
  <dcterms:modified xsi:type="dcterms:W3CDTF">2022-07-26T18:09:34Z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26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