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29</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(random intercept),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4267200"/>
            <wp:effectExtent b="0" l="0" r="0" t="0"/>
            <wp:docPr descr="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w:t>
      </w:r>
    </w:p>
    <w:p>
      <w:pPr>
        <w:pStyle w:val="CaptionedFigure"/>
      </w:pPr>
      <w:r>
        <w:drawing>
          <wp:inline>
            <wp:extent cx="5334000" cy="4267200"/>
            <wp:effectExtent b="0" l="0" r="0" t="0"/>
            <wp:docPr descr="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2"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for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For the other comparisons, there was no difference between Post and Follow-up time points in either group, from</w:t>
      </w:r>
      <w:r>
        <w:t xml:space="preserve"> </w:t>
      </w:r>
      <m:oMath>
        <m:r>
          <m:t>p</m:t>
        </m:r>
      </m:oMath>
      <w:r>
        <w:t xml:space="preserve"> </w:t>
      </w:r>
      <w:r>
        <w:t xml:space="preserve">&lt;</w:t>
      </w:r>
      <w:r>
        <w:t xml:space="preserve"> </w:t>
      </w:r>
      <m:oMath>
        <m:r>
          <m:t>0.001</m:t>
        </m:r>
      </m:oMath>
      <w:r>
        <w:t xml:space="preserve"> </w:t>
      </w:r>
      <w:r>
        <w:t xml:space="preserve">to</w:t>
      </w:r>
      <w:r>
        <w:t xml:space="preserve"> </w:t>
      </w:r>
      <m:oMath>
        <m:r>
          <m:t>p</m:t>
        </m:r>
      </m:oMath>
      <w:r>
        <w:t xml:space="preserve"> </w:t>
      </w:r>
      <w:r>
        <w:t xml:space="preserve">NA.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0.04</m:t>
        </m:r>
      </m:oMath>
      <w:r>
        <w:t xml:space="preserve">,</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&lt;</w:t>
      </w:r>
      <w:r>
        <w:t xml:space="preserve"> </w:t>
      </w:r>
      <m:oMath>
        <m:r>
          <m:t>0.001</m:t>
        </m:r>
      </m:oMath>
      <w:r>
        <w:t xml:space="preserve"> </w:t>
      </w:r>
      <w:r>
        <w:t xml:space="preserve">for Self-help and</w:t>
      </w:r>
      <w:r>
        <w:t xml:space="preserve"> </w:t>
      </w:r>
      <m:oMath>
        <m:r>
          <m:t>p</m:t>
        </m:r>
      </m:oMath>
      <w:r>
        <w:t xml:space="preserve"> </w:t>
      </w:r>
      <w:r>
        <w:t xml:space="preserve">NA 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0.08</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0.21</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0.02</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0.02</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0.91</m:t>
        </m:r>
      </m:oMath>
      <w:r>
        <w:t xml:space="preserve">, PHQ-9,</w:t>
      </w:r>
      <w:r>
        <w:t xml:space="preserve"> </w:t>
      </w:r>
      <m:oMath>
        <m:r>
          <m:t>p</m:t>
        </m:r>
      </m:oMath>
      <w:r>
        <w:t xml:space="preserve"> </w:t>
      </w:r>
      <w:r>
        <w:t xml:space="preserve">=</w:t>
      </w:r>
      <w:r>
        <w:t xml:space="preserve"> </w:t>
      </w:r>
      <m:oMath>
        <m:r>
          <m:t>0.008</m:t>
        </m:r>
      </m:oMath>
      <w:r>
        <w:t xml:space="preserve">, or GAD-7,</w:t>
      </w:r>
      <w:r>
        <w:t xml:space="preserve"> </w:t>
      </w:r>
      <m:oMath>
        <m:r>
          <m:t>p</m:t>
        </m:r>
      </m:oMath>
      <w:r>
        <w:t xml:space="preserve"> </w:t>
      </w:r>
      <w:r>
        <w:t xml:space="preserve">=</w:t>
      </w:r>
      <w:r>
        <w:t xml:space="preserve"> </w:t>
      </w:r>
      <m:oMath>
        <m:r>
          <m:t>0.36</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0.001</m:t>
        </m:r>
      </m:oMath>
      <w:r>
        <w:t xml:space="preserve">; but not for AAA-S Aggressive,</w:t>
      </w:r>
      <w:r>
        <w:t xml:space="preserve"> </w:t>
      </w:r>
      <m:oMath>
        <m:r>
          <m:t>p</m:t>
        </m:r>
      </m:oMath>
      <w:r>
        <w:t xml:space="preserve"> </w:t>
      </w:r>
      <w:r>
        <w:t xml:space="preserve">=</w:t>
      </w:r>
      <w:r>
        <w:t xml:space="preserve"> </w:t>
      </w:r>
      <m:oMath>
        <m:r>
          <m:t>0.42</m:t>
        </m:r>
      </m:oMath>
      <w:r>
        <w:t xml:space="preserve"> </w:t>
      </w:r>
      <w:r>
        <w:t xml:space="preserve">or GAD-7,</w:t>
      </w:r>
      <w:r>
        <w:t xml:space="preserve"> </w:t>
      </w:r>
      <m:oMath>
        <m:r>
          <m:t>p</m:t>
        </m:r>
      </m:oMath>
      <w:r>
        <w:t xml:space="preserve"> </w:t>
      </w:r>
      <w:r>
        <w:t xml:space="preserve">=</w:t>
      </w:r>
      <w:r>
        <w:t xml:space="preserve"> </w:t>
      </w:r>
      <m:oMath>
        <m:r>
          <m:t>0.077</m:t>
        </m:r>
      </m:oMath>
      <w:r>
        <w:t xml:space="preserve">. See Table 2 for a summary of clinical recovery rates and the significance of pairwise tests against Waitlist. 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0.01</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0.001</m:t>
        </m:r>
      </m:oMath>
      <w:r>
        <w:t xml:space="preserve">. For assertiveness assessed with the RAS, the corresponding number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0.02</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0.001</m:t>
        </m:r>
      </m:oMath>
      <w:r>
        <w:t xml:space="preserve"> </w:t>
      </w:r>
      <w:r>
        <w:t xml:space="preserve">at Follow-up. These clinical findings seem to pick up that symptoms of social anxiety continued to subside in the year following treatment to the point that some participants had recovered clinically. Combined with the clinically relevant recovery for assertive behaviors measured with AAA-S Adaptive and RAS, this could be a sign of generalization of assertive behaviors having continued to occur after the end of treatment, facilitating extinction of those anxiety responses that were captured with LSAS-SR.</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2022-06-28T22:54:19Z</dcterms:created>
  <dcterms:modified xsi:type="dcterms:W3CDTF">2022-06-28T22:54:19Z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29 June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