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01</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was collected using the below measures at four time points: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sSub>
          <m:e>
            <m:r>
              <m:t>p</m:t>
            </m:r>
          </m:e>
          <m:sub>
            <m:r>
              <m:t>B</m:t>
            </m:r>
            <m:r>
              <m:t>o</m:t>
            </m:r>
            <m:r>
              <m:t>n</m:t>
            </m:r>
            <m:r>
              <m:t>f</m:t>
            </m:r>
          </m:sub>
        </m:sSub>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sSub>
          <m:e>
            <m:r>
              <m:t>p</m:t>
            </m:r>
          </m:e>
          <m:sub>
            <m:r>
              <m:t>B</m:t>
            </m:r>
            <m:r>
              <m:t>o</m:t>
            </m:r>
            <m:r>
              <m:t>n</m:t>
            </m:r>
            <m:r>
              <m:t>f</m:t>
            </m:r>
          </m:sub>
        </m:sSub>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Self-help group, there was no difference between Post and Follow-up time points for either measure, from</w:t>
      </w:r>
      <w:r>
        <w:t xml:space="preserve"> </w:t>
      </w:r>
      <m:oMath>
        <m:sSub>
          <m:e>
            <m:r>
              <m:t>p</m:t>
            </m:r>
          </m:e>
          <m:sub>
            <m:r>
              <m:t>B</m:t>
            </m:r>
            <m:r>
              <m:t>o</m:t>
            </m:r>
            <m:r>
              <m:t>n</m:t>
            </m:r>
            <m:r>
              <m:t>f</m:t>
            </m:r>
          </m:sub>
        </m:sSub>
      </m:oMath>
      <w:r>
        <w:t xml:space="preserve"> </w:t>
      </w:r>
      <w:r>
        <w:t xml:space="preserve">=</w:t>
      </w:r>
      <w:r>
        <w:t xml:space="preserve"> </w:t>
      </w:r>
      <m:oMath>
        <m:r>
          <m:t>.731</m:t>
        </m:r>
      </m:oMath>
      <w:r>
        <w:t xml:space="preserve"> </w:t>
      </w:r>
      <w:r>
        <w:t xml:space="preserve">to</w:t>
      </w:r>
      <w:r>
        <w:t xml:space="preserve"> </w:t>
      </w:r>
      <m:oMath>
        <m:sSub>
          <m:e>
            <m:r>
              <m:t>p</m:t>
            </m:r>
          </m:e>
          <m:sub>
            <m:r>
              <m:t>B</m:t>
            </m:r>
            <m:r>
              <m:t>o</m:t>
            </m:r>
            <m:r>
              <m:t>n</m:t>
            </m:r>
            <m:r>
              <m:t>f</m:t>
            </m:r>
          </m:sub>
        </m:sSub>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2 summarizes significance tests of estimated marginal mean differences and effect sizes, including 95% confidence intervals.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LSAS-SR was larger Pre–Follow-up than Pre–Post, there was no significant difference between Post and Follow-up in either group,</w:t>
      </w:r>
      <w:r>
        <w:t xml:space="preserve"> </w:t>
      </w:r>
      <m:oMath>
        <m:sSub>
          <m:e>
            <m:r>
              <m:t>p</m:t>
            </m:r>
          </m:e>
          <m:sub>
            <m:r>
              <m:t>B</m:t>
            </m:r>
            <m:r>
              <m:t>o</m:t>
            </m:r>
            <m:r>
              <m:t>n</m:t>
            </m:r>
            <m:r>
              <m:t>f</m:t>
            </m:r>
          </m:sub>
        </m:sSub>
      </m:oMath>
      <w:r>
        <w:t xml:space="preserve"> </w:t>
      </w:r>
      <w:r>
        <w:t xml:space="preserve">=</w:t>
      </w:r>
      <w:r>
        <w:t xml:space="preserve"> </w:t>
      </w:r>
      <m:oMath>
        <m:r>
          <m:t>.328</m:t>
        </m:r>
      </m:oMath>
      <w:r>
        <w:t xml:space="preserve"> </w:t>
      </w:r>
      <w:r>
        <w:t xml:space="preserve">for Self-help and</w:t>
      </w:r>
      <w:r>
        <w:t xml:space="preserve"> </w:t>
      </w:r>
      <m:oMath>
        <m:sSub>
          <m:e>
            <m:r>
              <m:t>p</m:t>
            </m:r>
          </m:e>
          <m:sub>
            <m:r>
              <m:t>B</m:t>
            </m:r>
            <m:r>
              <m:t>o</m:t>
            </m:r>
            <m:r>
              <m:t>n</m:t>
            </m:r>
            <m:r>
              <m:t>f</m:t>
            </m:r>
          </m:sub>
        </m:sSub>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w:t>
      </w:r>
      <w:r>
        <w:t xml:space="preserve">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sSub>
          <m:e>
            <m:r>
              <m:t>p</m:t>
            </m:r>
          </m:e>
          <m:sub>
            <m:r>
              <m:t>B</m:t>
            </m:r>
            <m:r>
              <m:t>o</m:t>
            </m:r>
            <m:r>
              <m:t>n</m:t>
            </m:r>
            <m:r>
              <m:t>f</m:t>
            </m:r>
          </m:sub>
        </m:sSub>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sSub>
          <m:e>
            <m:r>
              <m:t>p</m:t>
            </m:r>
          </m:e>
          <m:sub>
            <m:r>
              <m:t>B</m:t>
            </m:r>
            <m:r>
              <m:t>o</m:t>
            </m:r>
            <m:r>
              <m:t>n</m:t>
            </m:r>
            <m:r>
              <m:t>f</m:t>
            </m:r>
          </m:sub>
        </m:sSub>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B</m:t>
            </m:r>
            <m:r>
              <m:t>o</m:t>
            </m:r>
            <m:r>
              <m:t>n</m:t>
            </m:r>
            <m:r>
              <m:t>f</m:t>
            </m:r>
          </m:sub>
        </m:sSub>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sSub>
          <m:e>
            <m:r>
              <m:t>p</m:t>
            </m:r>
          </m:e>
          <m:sub>
            <m:r>
              <m:t>B</m:t>
            </m:r>
            <m:r>
              <m:t>o</m:t>
            </m:r>
            <m:r>
              <m:t>n</m:t>
            </m:r>
            <m:r>
              <m:t>f</m:t>
            </m:r>
          </m:sub>
        </m:sSub>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sSub>
          <m:e>
            <m:r>
              <m:t>p</m:t>
            </m:r>
          </m:e>
          <m:sub>
            <m:r>
              <m:t>B</m:t>
            </m:r>
            <m:r>
              <m:t>o</m:t>
            </m:r>
            <m:r>
              <m:t>n</m:t>
            </m:r>
            <m:r>
              <m:t>f</m:t>
            </m:r>
          </m:sub>
        </m:sSub>
      </m:oMath>
      <w:r>
        <w:t xml:space="preserve"> </w:t>
      </w:r>
      <w:r>
        <w:t xml:space="preserve">=</w:t>
      </w:r>
      <w:r>
        <w:t xml:space="preserve"> </w:t>
      </w:r>
      <m:oMath>
        <m:r>
          <m:t>.023</m:t>
        </m:r>
      </m:oMath>
      <w:r>
        <w:t xml:space="preserve">. However, there was no difference between groups at Post with regards to AAA-S Aggressive,</w:t>
      </w:r>
      <w:r>
        <w:t xml:space="preserve"> </w:t>
      </w:r>
      <m:oMath>
        <m:sSub>
          <m:e>
            <m:r>
              <m:t>p</m:t>
            </m:r>
          </m:e>
          <m:sub>
            <m:r>
              <m:t>B</m:t>
            </m:r>
            <m:r>
              <m:t>o</m:t>
            </m:r>
            <m:r>
              <m:t>n</m:t>
            </m:r>
            <m:r>
              <m:t>f</m:t>
            </m:r>
          </m:sub>
        </m:sSub>
      </m:oMath>
      <w:r>
        <w:t xml:space="preserve"> </w:t>
      </w:r>
      <w:r>
        <w:t xml:space="preserve">=</w:t>
      </w:r>
      <w:r>
        <w:t xml:space="preserve"> </w:t>
      </w:r>
      <m:oMath>
        <m:r>
          <m:t>.912</m:t>
        </m:r>
      </m:oMath>
      <w:r>
        <w:t xml:space="preserve">, PHQ-9,</w:t>
      </w:r>
      <w:r>
        <w:t xml:space="preserve"> </w:t>
      </w:r>
      <m:oMath>
        <m:sSub>
          <m:e>
            <m:r>
              <m:t>p</m:t>
            </m:r>
          </m:e>
          <m:sub>
            <m:r>
              <m:t>B</m:t>
            </m:r>
            <m:r>
              <m:t>o</m:t>
            </m:r>
            <m:r>
              <m:t>n</m:t>
            </m:r>
            <m:r>
              <m:t>f</m:t>
            </m:r>
          </m:sub>
        </m:sSub>
      </m:oMath>
      <w:r>
        <w:t xml:space="preserve"> </w:t>
      </w:r>
      <w:r>
        <w:t xml:space="preserve">=</w:t>
      </w:r>
      <w:r>
        <w:t xml:space="preserve"> </w:t>
      </w:r>
      <m:oMath>
        <m:r>
          <m:t>.008</m:t>
        </m:r>
      </m:oMath>
      <w:r>
        <w:t xml:space="preserve">, or GAD-7,</w:t>
      </w:r>
      <w:r>
        <w:t xml:space="preserve"> </w:t>
      </w:r>
      <m:oMath>
        <m:sSub>
          <m:e>
            <m:r>
              <m:t>p</m:t>
            </m:r>
          </m:e>
          <m:sub>
            <m:r>
              <m:t>B</m:t>
            </m:r>
            <m:r>
              <m:t>o</m:t>
            </m:r>
            <m:r>
              <m:t>n</m:t>
            </m:r>
            <m:r>
              <m:t>f</m:t>
            </m:r>
          </m:sub>
        </m:sSub>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sSub>
          <m:e>
            <m:r>
              <m:t>p</m:t>
            </m:r>
          </m:e>
          <m:sub>
            <m:r>
              <m:t>B</m:t>
            </m:r>
            <m:r>
              <m:t>o</m:t>
            </m:r>
            <m:r>
              <m:t>n</m:t>
            </m:r>
            <m:r>
              <m:t>f</m:t>
            </m:r>
          </m:sub>
        </m:sSub>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sSub>
          <m:e>
            <m:r>
              <m:t>p</m:t>
            </m:r>
          </m:e>
          <m:sub>
            <m:r>
              <m:t>B</m:t>
            </m:r>
            <m:r>
              <m:t>o</m:t>
            </m:r>
            <m:r>
              <m:t>n</m:t>
            </m:r>
            <m:r>
              <m:t>f</m:t>
            </m:r>
          </m:sub>
        </m:sSub>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sSub>
          <m:e>
            <m:r>
              <m:t>p</m:t>
            </m:r>
          </m:e>
          <m:sub>
            <m:r>
              <m:t>B</m:t>
            </m:r>
            <m:r>
              <m:t>o</m:t>
            </m:r>
            <m:r>
              <m:t>n</m:t>
            </m:r>
            <m:r>
              <m:t>f</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B</m:t>
            </m:r>
            <m:r>
              <m:t>o</m:t>
            </m:r>
            <m:r>
              <m:t>n</m:t>
            </m:r>
            <m:r>
              <m:t>f</m:t>
            </m:r>
          </m:sub>
        </m:sSub>
      </m:oMath>
      <w:r>
        <w:t xml:space="preserve"> </w:t>
      </w:r>
      <w:r>
        <w:t xml:space="preserve">&lt;</w:t>
      </w:r>
      <w:r>
        <w:t xml:space="preserve"> </w:t>
      </w:r>
      <m:oMath>
        <m:r>
          <m:t>.001</m:t>
        </m:r>
      </m:oMath>
      <w:r>
        <w:t xml:space="preserve">; but not for AAA-S Aggressive,</w:t>
      </w:r>
      <w:r>
        <w:t xml:space="preserve"> </w:t>
      </w:r>
      <m:oMath>
        <m:sSub>
          <m:e>
            <m:r>
              <m:t>p</m:t>
            </m:r>
          </m:e>
          <m:sub>
            <m:r>
              <m:t>B</m:t>
            </m:r>
            <m:r>
              <m:t>o</m:t>
            </m:r>
            <m:r>
              <m:t>n</m:t>
            </m:r>
            <m:r>
              <m:t>f</m:t>
            </m:r>
          </m:sub>
        </m:sSub>
      </m:oMath>
      <w:r>
        <w:t xml:space="preserve"> </w:t>
      </w:r>
      <w:r>
        <w:t xml:space="preserve">=</w:t>
      </w:r>
      <w:r>
        <w:t xml:space="preserve"> </w:t>
      </w:r>
      <m:oMath>
        <m:r>
          <m:t>.421</m:t>
        </m:r>
      </m:oMath>
      <w:r>
        <w:t xml:space="preserve"> </w:t>
      </w:r>
      <w:r>
        <w:t xml:space="preserve">or GAD-7,</w:t>
      </w:r>
      <w:r>
        <w:t xml:space="preserve"> </w:t>
      </w:r>
      <m:oMath>
        <m:sSub>
          <m:e>
            <m:r>
              <m:t>p</m:t>
            </m:r>
          </m:e>
          <m:sub>
            <m:r>
              <m:t>B</m:t>
            </m:r>
            <m:r>
              <m:t>o</m:t>
            </m:r>
            <m:r>
              <m:t>n</m:t>
            </m:r>
            <m:r>
              <m:t>f</m:t>
            </m:r>
          </m:sub>
        </m:sSub>
      </m:oMath>
      <w:r>
        <w:t xml:space="preserve"> </w:t>
      </w:r>
      <w:r>
        <w:t xml:space="preserve">=</w:t>
      </w:r>
      <w:r>
        <w:t xml:space="preserve"> </w:t>
      </w:r>
      <m:oMath>
        <m:r>
          <m:t>.077</m:t>
        </m:r>
      </m:oMath>
      <w:r>
        <w:t xml:space="preserve">. See Table 3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 and/or reducing avoidance and escape behaviors from them.</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B</m:t>
            </m:r>
            <m:r>
              <m:t>o</m:t>
            </m:r>
            <m:r>
              <m:t>n</m:t>
            </m:r>
            <m:r>
              <m:t>f</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B</m:t>
            </m:r>
            <m:r>
              <m:t>o</m:t>
            </m:r>
            <m:r>
              <m:t>n</m:t>
            </m:r>
            <m:r>
              <m:t>f</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B</m:t>
            </m:r>
            <m:r>
              <m:t>o</m:t>
            </m:r>
            <m:r>
              <m:t>n</m:t>
            </m:r>
            <m:r>
              <m:t>f</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B</m:t>
            </m:r>
            <m:r>
              <m:t>o</m:t>
            </m:r>
            <m:r>
              <m:t>n</m:t>
            </m:r>
            <m:r>
              <m:t>f</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End w:id="53"/>
    <w:bookmarkEnd w:id="54"/>
    <w:bookmarkStart w:id="138" w:name="discussion"/>
    <w:p>
      <w:pPr>
        <w:pStyle w:val="Heading1"/>
      </w:pPr>
      <w:r>
        <w:t xml:space="preserve">Discussion</w:t>
      </w:r>
    </w:p>
    <w:p>
      <w:pPr>
        <w:pStyle w:val="FirstParagraph"/>
      </w:pPr>
      <w:r>
        <w:t xml:space="preserve">The present study advances current knowledge about a stand-alone transdiagnostic intervention targeting assertiveness, Respekt</w:t>
      </w:r>
      <w:r>
        <w:rPr>
          <w:vertAlign w:val="superscript"/>
        </w:rPr>
        <w:t xml:space="preserve">2</w:t>
      </w:r>
      <w:r>
        <w:t xml:space="preserve">, providing evidence for its effects on levels of assertive behaviors, and in turn their effects on symptoms of common psychiatric disorders of anxiety and depression. Having been more or less ignored as a construct in clincical research since the 1990’ies, despite its history as a target for the very first behavioral therapies in the 1950’ies</w:t>
      </w:r>
      <w:r>
        <w:t xml:space="preserve"> </w:t>
      </w:r>
      <w:r>
        <w:t xml:space="preserve">(</w:t>
      </w:r>
      <w:hyperlink w:anchor="ref-Speed2018a">
        <w:r>
          <w:rPr>
            <w:rStyle w:val="Hyperlink"/>
          </w:rPr>
          <w:t xml:space="preserve">Speed et al., 2018</w:t>
        </w:r>
      </w:hyperlink>
      <w:r>
        <w:t xml:space="preserve">)</w:t>
      </w:r>
      <w:r>
        <w:t xml:space="preserve">, this study brings some much-needed and up-to-date data for assertiveness as a viable transdiagnostic goal in the treatment of various clincial problems.</w:t>
      </w:r>
    </w:p>
    <w:p>
      <w:pPr>
        <w:pStyle w:val="BodyText"/>
      </w:pPr>
      <w:r>
        <w:t xml:space="preserve">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help participants act more assertively, while not acting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p>
    <w:p>
      <w:pPr>
        <w:pStyle w:val="BodyText"/>
      </w:pPr>
      <w:r>
        <w:t xml:space="preserve">(Compare effects with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 Also, compare w/ frequencies or reliable change, e.g.</w:t>
      </w:r>
      <w:r>
        <w:t xml:space="preserve"> </w:t>
      </w:r>
      <w:r>
        <w:t xml:space="preserve">Rozental et al. (</w:t>
      </w:r>
      <w:hyperlink w:anchor="ref-Rozental2015">
        <w:r>
          <w:rPr>
            <w:rStyle w:val="Hyperlink"/>
          </w:rPr>
          <w:t xml:space="preserve">2015</w:t>
        </w:r>
      </w:hyperlink>
      <w:r>
        <w:t xml:space="preserve">)</w:t>
      </w:r>
      <w:r>
        <w:t xml:space="preserve">.)</w:t>
      </w:r>
    </w:p>
    <w:p>
      <w:pPr>
        <w:pStyle w:val="BodyText"/>
      </w:pPr>
      <w:r>
        <w:t xml:space="preserve">(Discuss effects as they related to sociodemographic baseline characteristics – 60% having previously been in therapy; Respekt</w:t>
      </w:r>
      <w:r>
        <w:rPr>
          <w:vertAlign w:val="superscript"/>
        </w:rPr>
        <w:t xml:space="preserve">2</w:t>
      </w:r>
      <w:r>
        <w:t xml:space="preserve"> </w:t>
      </w:r>
      <w:r>
        <w:t xml:space="preserve">possibly acting as a booster …, also a very pronounced sex difference, also level of use of medication.)</w:t>
      </w:r>
    </w:p>
    <w:p>
      <w:pPr>
        <w:pStyle w:val="BodyText"/>
      </w:pPr>
      <w:r>
        <w:t xml:space="preserve">In line with</w:t>
      </w:r>
      <w:r>
        <w:t xml:space="preserve"> </w:t>
      </w:r>
      <w:r>
        <w:t xml:space="preserve">Baumeister et al. (</w:t>
      </w:r>
      <w:hyperlink w:anchor="ref-Baumeister2014a">
        <w:r>
          <w:rPr>
            <w:rStyle w:val="Hyperlink"/>
          </w:rPr>
          <w:t xml:space="preserve">2014</w:t>
        </w:r>
      </w:hyperlink>
      <w:r>
        <w:t xml:space="preserve">)</w:t>
      </w:r>
      <w:r>
        <w:t xml:space="preserve">, the results of the current study suggest that while effects at Post and Follow-up between groups are comparable for all measures, being guided by a therapist in iCBT could entail some advantages, especially for longer-term outcomes. In the Guided self-help group, adaptive assertiveness had increased between end of treatment and 1-year Follow-up, and both analysis within-groups and of statistical change indicated that depression had decreased from pre-treatment to 1-year Follow-up both. These phenomena were not observed in the group where the participants were engaging with the intervention on their own. Speculatively, this might be explained by either increased willingness to participate in behavioral experiments through the effects of coaching, an increased ability to engage in behavioral experiments through active problem solving with the therapist, or increased ability to generalize findings from such experiments through better compliance to homework assignments, or any combination thereof. While the mechanisms of mediation and moderation remain to unravel, the presence of human support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w:t>
      </w:r>
    </w:p>
    <w:p>
      <w:pPr>
        <w:pStyle w:val="BodyText"/>
      </w:pPr>
      <w:r>
        <w:t xml:space="preserve">(Discuss reasons for non-responding with regards to GAD-7? Relate to the sample.)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Z (biased recruitment), Å (unclear operationalization of</w:t>
      </w:r>
      <w:r>
        <w:t xml:space="preserve"> </w:t>
      </w:r>
      <w:r>
        <w:t xml:space="preserve">‘</w:t>
      </w:r>
      <w:r>
        <w:t xml:space="preserve">assertiveness</w:t>
      </w:r>
      <w:r>
        <w:t xml:space="preserve">’</w:t>
      </w:r>
      <w:r>
        <w:t xml:space="preserve">), Ä (no validated scales), Ö (waitlist as control, related to reliable harm).</w:t>
      </w:r>
    </w:p>
    <w:p>
      <w:pPr>
        <w:pStyle w:val="BodyText"/>
      </w:pPr>
      <w:r>
        <w:t xml:space="preserve">Future research: However, it is intriguing that …, and merits further investigation. Directions for future research could include … (how does assertiveness relate to relationship problems and work-related stress?)</w:t>
      </w:r>
    </w:p>
    <w:p>
      <w:pPr>
        <w:pStyle w:val="BodyText"/>
      </w:pPr>
      <w:r>
        <w:t xml:space="preserve">Apart from psychiatric syndromes, assertiveness has been linked to relationship problems and with work-related stress</w:t>
      </w:r>
      <w:r>
        <w:t xml:space="preserve"> </w:t>
      </w:r>
      <w:r>
        <w:t xml:space="preserve">(</w:t>
      </w:r>
      <w:hyperlink w:anchor="ref-Speed2018a">
        <w:r>
          <w:rPr>
            <w:rStyle w:val="Hyperlink"/>
          </w:rPr>
          <w:t xml:space="preserve">Speed et al., 2018</w:t>
        </w:r>
      </w:hyperlink>
      <w:r>
        <w:t xml:space="preserve">)</w:t>
      </w:r>
      <w:r>
        <w:t xml:space="preserve">. For future research, we propose investigations of links between unassertiveness and these issues, that are sometimes non-clinical but nevertheless are associated with suffering and problems in living. Furthermore, investigations on clinical populations are merited, comparing the effects of Respekt</w:t>
      </w:r>
      <w:r>
        <w:rPr>
          <w:vertAlign w:val="superscript"/>
        </w:rPr>
        <w:t xml:space="preserve">2</w:t>
      </w:r>
      <w:r>
        <w:t xml:space="preserve"> </w:t>
      </w:r>
      <w:r>
        <w:t xml:space="preserve">with manualized treatments commonly deployed in psychiatric settings for syndromes that are associated with lack of assertiveness. On the other end of the spectrum, a trial assessing the viability and acceptability of the assertiveness construct as a target in a preventive intervention for both clinical and non-clincial problems is warranted; assertiveness as a transdiagnostic construct could be used flexibly in a multitude of settings and with a multitude of populations. Lastly, we propose a follow-up to the present study, in which the intervention would again be administered to a non-clinical audience, this time using an extended battery of measures, including scales capturing positively formulated transdiagnostic behaviors such as the Valued Living Questionnaire</w:t>
      </w:r>
      <w:r>
        <w:t xml:space="preserve"> </w:t>
      </w:r>
      <w:r>
        <w:t xml:space="preserve">(VLQ; Wilson et al.</w:t>
      </w:r>
      <w:r>
        <w:t xml:space="preserve"> </w:t>
      </w:r>
      <w:hyperlink w:anchor="ref-Wilson2010">
        <w:r>
          <w:rPr>
            <w:rStyle w:val="Hyperlink"/>
          </w:rPr>
          <w:t xml:space="preserve">2010</w:t>
        </w:r>
      </w:hyperlink>
      <w:r>
        <w:t xml:space="preserve">)</w:t>
      </w:r>
      <w:r>
        <w:t xml:space="preserve"> </w:t>
      </w:r>
      <w:r>
        <w:t xml:space="preserve">and the Acceptance and Action Questionnaire (AAQ-II; ref).</w:t>
      </w:r>
    </w:p>
    <w:p>
      <w:pPr>
        <w:pStyle w:val="BodyText"/>
      </w:pPr>
      <w:r>
        <w:t xml:space="preserve">Lösrykta tankar/stycken att eventuellt utveckla:</w:t>
      </w:r>
    </w:p>
    <w:p>
      <w:pPr>
        <w:numPr>
          <w:ilvl w:val="0"/>
          <w:numId w:val="1002"/>
        </w:numPr>
      </w:pPr>
      <w:r>
        <w:t xml:space="preserve">Jämföra engagemang mellan grupperna? Antal inloggningar? Antal gjorda hemuppgifter?</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Behöver testas med en klinisk population, inte bara allmänhet rekryterade via sociala medier.</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7" w:name="references"/>
    <w:p>
      <w:pPr>
        <w:pStyle w:val="Heading2"/>
      </w:pPr>
      <w:r>
        <w:t xml:space="preserve">References</w:t>
      </w:r>
    </w:p>
    <w:bookmarkStart w:id="136"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5"/>
    <w:bookmarkStart w:id="67"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6">
        <w:r>
          <w:rPr>
            <w:rStyle w:val="Hyperlink"/>
          </w:rPr>
          <w:t xml:space="preserve">https://doi.org/10.1080/16506073.2017.1401115</w:t>
        </w:r>
      </w:hyperlink>
    </w:p>
    <w:bookmarkEnd w:id="67"/>
    <w:bookmarkStart w:id="69"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8">
        <w:r>
          <w:rPr>
            <w:rStyle w:val="Hyperlink"/>
          </w:rPr>
          <w:t xml:space="preserve">https://doi.org/10.1146/annurev.psych.52.1.685</w:t>
        </w:r>
      </w:hyperlink>
    </w:p>
    <w:bookmarkEnd w:id="69"/>
    <w:bookmarkStart w:id="71"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0">
        <w:r>
          <w:rPr>
            <w:rStyle w:val="Hyperlink"/>
          </w:rPr>
          <w:t xml:space="preserve">https://doi.org/10.1016/0005-7967(86)90011-2</w:t>
        </w:r>
      </w:hyperlink>
    </w:p>
    <w:bookmarkEnd w:id="71"/>
    <w:bookmarkStart w:id="72"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2"/>
    <w:bookmarkStart w:id="74"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3">
        <w:r>
          <w:rPr>
            <w:rStyle w:val="Hyperlink"/>
          </w:rPr>
          <w:t xml:space="preserve">https://CRAN.R-project.org/package=clinicalsignificance</w:t>
        </w:r>
      </w:hyperlink>
    </w:p>
    <w:bookmarkEnd w:id="74"/>
    <w:bookmarkStart w:id="75"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5"/>
    <w:bookmarkStart w:id="77"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6">
        <w:r>
          <w:rPr>
            <w:rStyle w:val="Hyperlink"/>
          </w:rPr>
          <w:t xml:space="preserve">https://doi.org/10.1016/j.brat.2007.10.003</w:t>
        </w:r>
      </w:hyperlink>
    </w:p>
    <w:bookmarkEnd w:id="77"/>
    <w:bookmarkStart w:id="79"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8">
        <w:r>
          <w:rPr>
            <w:rStyle w:val="Hyperlink"/>
          </w:rPr>
          <w:t xml:space="preserve">https://doi.org/10.1002/wps.20346</w:t>
        </w:r>
      </w:hyperlink>
    </w:p>
    <w:bookmarkEnd w:id="79"/>
    <w:bookmarkStart w:id="81"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0">
        <w:r>
          <w:rPr>
            <w:rStyle w:val="Hyperlink"/>
          </w:rPr>
          <w:t xml:space="preserve">https://doi.org/10.1016/j.brat.2013.03.003</w:t>
        </w:r>
      </w:hyperlink>
    </w:p>
    <w:bookmarkEnd w:id="81"/>
    <w:bookmarkStart w:id="82"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2"/>
    <w:bookmarkStart w:id="84"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3">
        <w:r>
          <w:rPr>
            <w:rStyle w:val="Hyperlink"/>
          </w:rPr>
          <w:t xml:space="preserve">https://doi.org/10.1017/S0033291701004056</w:t>
        </w:r>
      </w:hyperlink>
    </w:p>
    <w:bookmarkEnd w:id="84"/>
    <w:bookmarkStart w:id="86"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5">
        <w:r>
          <w:rPr>
            <w:rStyle w:val="Hyperlink"/>
          </w:rPr>
          <w:t xml:space="preserve">https://doi.org/10.1111/acps.12275</w:t>
        </w:r>
      </w:hyperlink>
    </w:p>
    <w:bookmarkEnd w:id="86"/>
    <w:bookmarkStart w:id="87"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7"/>
    <w:bookmarkStart w:id="89"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8">
        <w:r>
          <w:rPr>
            <w:rStyle w:val="Hyperlink"/>
          </w:rPr>
          <w:t xml:space="preserve">https://www.random.org</w:t>
        </w:r>
      </w:hyperlink>
      <w:r>
        <w:t xml:space="preserve">.</w:t>
      </w:r>
    </w:p>
    <w:bookmarkEnd w:id="89"/>
    <w:bookmarkStart w:id="91"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0">
        <w:r>
          <w:rPr>
            <w:rStyle w:val="Hyperlink"/>
          </w:rPr>
          <w:t xml:space="preserve">https://doi.org/10.1016/S0005-7894(04)80013-3</w:t>
        </w:r>
      </w:hyperlink>
    </w:p>
    <w:bookmarkEnd w:id="91"/>
    <w:bookmarkStart w:id="93"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2">
        <w:r>
          <w:rPr>
            <w:rStyle w:val="Hyperlink"/>
          </w:rPr>
          <w:t xml:space="preserve">https://doi.org/10.1007/s10608-012-9476-1</w:t>
        </w:r>
      </w:hyperlink>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1">
        <w:r>
          <w:rPr>
            <w:rStyle w:val="Hyperlink"/>
          </w:rPr>
          <w:t xml:space="preserve">https://doi.org/10.1016/B978-0-12-404480-7.50013-7</w:t>
        </w:r>
      </w:hyperlink>
    </w:p>
    <w:bookmarkEnd w:id="102"/>
    <w:bookmarkStart w:id="103"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3"/>
    <w:bookmarkStart w:id="105"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4">
        <w:r>
          <w:rPr>
            <w:rStyle w:val="Hyperlink"/>
          </w:rPr>
          <w:t xml:space="preserve">https://doi.org/10.21105/joss.00772</w:t>
        </w:r>
      </w:hyperlink>
    </w:p>
    <w:bookmarkEnd w:id="105"/>
    <w:bookmarkStart w:id="107"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6">
        <w:r>
          <w:rPr>
            <w:rStyle w:val="Hyperlink"/>
          </w:rPr>
          <w:t xml:space="preserve">https://easystats.github.io/performance/</w:t>
        </w:r>
      </w:hyperlink>
    </w:p>
    <w:bookmarkEnd w:id="107"/>
    <w:bookmarkStart w:id="10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8">
        <w:r>
          <w:rPr>
            <w:rStyle w:val="Hyperlink"/>
          </w:rPr>
          <w:t xml:space="preserve">www.cci.health.wa.gov.au/Resources/Looking-After-Yourself/Assertiveness</w:t>
        </w:r>
      </w:hyperlink>
    </w:p>
    <w:bookmarkEnd w:id="109"/>
    <w:bookmarkStart w:id="111"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0">
        <w:r>
          <w:rPr>
            <w:rStyle w:val="Hyperlink"/>
          </w:rPr>
          <w:t xml:space="preserve">https://doi.org/10.2196/jmir.1602</w:t>
        </w:r>
      </w:hyperlink>
    </w:p>
    <w:bookmarkEnd w:id="111"/>
    <w:bookmarkStart w:id="112"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2"/>
    <w:bookmarkStart w:id="113"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3"/>
    <w:bookmarkStart w:id="115"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4">
        <w:r>
          <w:rPr>
            <w:rStyle w:val="Hyperlink"/>
          </w:rPr>
          <w:t xml:space="preserve">https://doi.org/10.1016/S0005-7894(73)80120-0</w:t>
        </w:r>
      </w:hyperlink>
    </w:p>
    <w:bookmarkEnd w:id="115"/>
    <w:bookmarkStart w:id="117"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6">
        <w:r>
          <w:rPr>
            <w:rStyle w:val="Hyperlink"/>
          </w:rPr>
          <w:t xml:space="preserve">https://doi.org/10.1037/ccp0000023</w:t>
        </w:r>
      </w:hyperlink>
    </w:p>
    <w:bookmarkEnd w:id="117"/>
    <w:bookmarkStart w:id="119"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8">
        <w:r>
          <w:rPr>
            <w:rStyle w:val="Hyperlink"/>
          </w:rPr>
          <w:t xml:space="preserve">https://doi.org/10.1016/j.brat.2017.05.015</w:t>
        </w:r>
      </w:hyperlink>
    </w:p>
    <w:bookmarkEnd w:id="119"/>
    <w:bookmarkStart w:id="120"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0"/>
    <w:bookmarkStart w:id="122"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1">
        <w:r>
          <w:rPr>
            <w:rStyle w:val="Hyperlink"/>
          </w:rPr>
          <w:t xml:space="preserve">https://sealedenvelope.com/simple-randomiser/v1</w:t>
        </w:r>
      </w:hyperlink>
      <w:r>
        <w:t xml:space="preserve">.</w:t>
      </w:r>
    </w:p>
    <w:bookmarkEnd w:id="122"/>
    <w:bookmarkStart w:id="123"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3"/>
    <w:bookmarkStart w:id="125"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4">
        <w:r>
          <w:rPr>
            <w:rStyle w:val="Hyperlink"/>
          </w:rPr>
          <w:t xml:space="preserve">https://doi.org/10.1111/cpsp.12216</w:t>
        </w:r>
      </w:hyperlink>
    </w:p>
    <w:bookmarkEnd w:id="125"/>
    <w:bookmarkStart w:id="127"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6">
        <w:r>
          <w:rPr>
            <w:rStyle w:val="Hyperlink"/>
          </w:rPr>
          <w:t xml:space="preserve">https://doi.org/10.1001/archinte.166.10.1092</w:t>
        </w:r>
      </w:hyperlink>
    </w:p>
    <w:bookmarkEnd w:id="127"/>
    <w:bookmarkStart w:id="129"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8">
        <w:r>
          <w:rPr>
            <w:rStyle w:val="Hyperlink"/>
          </w:rPr>
          <w:t xml:space="preserve">https://doi.org/10.1007/s10862-011-9226-9</w:t>
        </w:r>
      </w:hyperlink>
    </w:p>
    <w:bookmarkEnd w:id="129"/>
    <w:bookmarkStart w:id="131"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0">
        <w:r>
          <w:rPr>
            <w:rStyle w:val="Hyperlink"/>
          </w:rPr>
          <w:t xml:space="preserve">https://doi.org/10.1007/s10942-018-0296-4</w:t>
        </w:r>
      </w:hyperlink>
    </w:p>
    <w:bookmarkEnd w:id="131"/>
    <w:bookmarkStart w:id="132"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32"/>
    <w:bookmarkStart w:id="133"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3"/>
    <w:bookmarkStart w:id="134" w:name="ref-wolpe1990practice"/>
    <w:p>
      <w:pPr>
        <w:pStyle w:val="Bibliography"/>
      </w:pPr>
      <w:r>
        <w:t xml:space="preserve">Wolpe, J. (1990).</w:t>
      </w:r>
      <w:r>
        <w:t xml:space="preserve"> </w:t>
      </w:r>
      <w:r>
        <w:rPr>
          <w:iCs/>
          <w:i/>
        </w:rPr>
        <w:t xml:space="preserve">The practice of behavior therapy</w:t>
      </w:r>
      <w:r>
        <w:t xml:space="preserve">. Pergamon Press.</w:t>
      </w:r>
    </w:p>
    <w:bookmarkEnd w:id="134"/>
    <w:bookmarkStart w:id="135"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5"/>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2022-07-01T13:26:06Z</dcterms:created>
  <dcterms:modified xsi:type="dcterms:W3CDTF">2022-07-01T13:26:06Z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01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