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9"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44"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compare favorably to those found in clinical trails of iCBT interventions for other trans-diagnostic behavioral targets such as procrastination (</w:t>
      </w:r>
      <m:oMath>
        <m:r>
          <m:t>d</m:t>
        </m:r>
      </m:oMath>
      <w:r>
        <w:t xml:space="preserve"> </w:t>
      </w:r>
      <w:r>
        <w:t xml:space="preserve">=</w:t>
      </w:r>
      <w:r>
        <w:t xml:space="preserve"> </w:t>
      </w:r>
      <m:oMath>
        <m:r>
          <m:t>.5</m:t>
        </m:r>
      </m:oMath>
      <w:r>
        <w:t xml:space="preserve"> </w:t>
      </w:r>
      <w:r>
        <w:t xml:space="preserve">to</w:t>
      </w:r>
      <w:r>
        <w:t xml:space="preserve"> </w:t>
      </w:r>
      <m:oMath>
        <m:r>
          <m:t>d</m:t>
        </m:r>
      </m:oMath>
      <w:r>
        <w:t xml:space="preserve"> </w:t>
      </w:r>
      <w:r>
        <w:t xml:space="preserve">=</w:t>
      </w:r>
      <w:r>
        <w:t xml:space="preserve"> </w:t>
      </w:r>
      <m:oMath>
        <m:r>
          <m:t>.69</m:t>
        </m:r>
      </m:oMath>
      <w:r>
        <w:t xml:space="preserve"> </w:t>
      </w:r>
      <w:r>
        <w:t xml:space="preserve">for an unguided condition and</w:t>
      </w:r>
      <w:r>
        <w:t xml:space="preserve"> </w:t>
      </w:r>
      <m:oMath>
        <m:r>
          <m:t>d</m:t>
        </m:r>
      </m:oMath>
      <w:r>
        <w:t xml:space="preserve"> </w:t>
      </w:r>
      <w:r>
        <w:t xml:space="preserve">=</w:t>
      </w:r>
      <w:r>
        <w:t xml:space="preserve"> </w:t>
      </w:r>
      <m:oMath>
        <m:r>
          <m:t>.7</m:t>
        </m:r>
      </m:oMath>
      <w:r>
        <w:t xml:space="preserve"> </w:t>
      </w:r>
      <w:r>
        <w:t xml:space="preserve">to</w:t>
      </w:r>
      <w:r>
        <w:t xml:space="preserve"> </w:t>
      </w:r>
      <m:oMath>
        <m:r>
          <m:t>d</m:t>
        </m:r>
      </m:oMath>
      <w:r>
        <w:t xml:space="preserve"> </w:t>
      </w:r>
      <w:r>
        <w:t xml:space="preserve">=</w:t>
      </w:r>
      <w:r>
        <w:t xml:space="preserve"> </w:t>
      </w:r>
      <m:oMath>
        <m:r>
          <m:t>.81</m:t>
        </m:r>
      </m:oMath>
      <w:r>
        <w:t xml:space="preserve"> </w:t>
      </w:r>
      <w:r>
        <w:t xml:space="preserve">for a guided condition)</w:t>
      </w:r>
      <w:r>
        <w:t xml:space="preserve"> </w:t>
      </w:r>
      <w:r>
        <w:t xml:space="preserve">(</w:t>
      </w:r>
      <w:hyperlink w:anchor="ref-Rozental2015">
        <w:r>
          <w:rPr>
            <w:rStyle w:val="Hyperlink"/>
          </w:rPr>
          <w:t xml:space="preserve">Rozental et al., 2015</w:t>
        </w:r>
      </w:hyperlink>
      <w:r>
        <w:t xml:space="preserve">)</w:t>
      </w:r>
      <w:r>
        <w:t xml:space="preserve">, and perfectionism (from</w:t>
      </w:r>
      <w:r>
        <w:t xml:space="preserve"> </w:t>
      </w:r>
      <m:oMath>
        <m:r>
          <m:t>d</m:t>
        </m:r>
      </m:oMath>
      <w:r>
        <w:t xml:space="preserve"> </w:t>
      </w:r>
      <w:r>
        <w:t xml:space="preserve">=</w:t>
      </w:r>
      <w:r>
        <w:t xml:space="preserve"> </w:t>
      </w:r>
      <m:oMath>
        <m:r>
          <m:t>.68</m:t>
        </m:r>
      </m:oMath>
      <w:r>
        <w:t xml:space="preserve"> </w:t>
      </w:r>
      <w:r>
        <w:t xml:space="preserve">to</w:t>
      </w:r>
      <w:r>
        <w:t xml:space="preserve"> </w:t>
      </w:r>
      <m:oMath>
        <m:r>
          <m:t>d</m:t>
        </m:r>
      </m:oMath>
      <w:r>
        <w:t xml:space="preserve"> </w:t>
      </w:r>
      <w:r>
        <w:t xml:space="preserve">=</w:t>
      </w:r>
      <w:r>
        <w:t xml:space="preserve"> </w:t>
      </w:r>
      <m:oMath>
        <m:r>
          <m:t>1.00</m:t>
        </m:r>
      </m:oMath>
      <w:r>
        <w:t xml:space="preserve">, both for a guided condition)</w:t>
      </w:r>
      <w:r>
        <w:t xml:space="preserve"> </w:t>
      </w:r>
      <w:r>
        <w:t xml:space="preserve">(</w:t>
      </w:r>
      <w:hyperlink w:anchor="ref-Rozental2017">
        <w:r>
          <w:rPr>
            <w:rStyle w:val="Hyperlink"/>
          </w:rPr>
          <w:t xml:space="preserve">Rozental et al., 2017</w:t>
        </w:r>
      </w:hyperlink>
      <w:r>
        <w:t xml:space="preserve">)</w:t>
      </w:r>
      <w:r>
        <w:t xml:space="preserve">, showing that the</w:t>
      </w:r>
      <w:r>
        <w:t xml:space="preserve"> </w:t>
      </w:r>
      <w:r>
        <w:t xml:space="preserve">‘</w:t>
      </w:r>
      <w:r>
        <w:t xml:space="preserve">assertiveness</w:t>
      </w:r>
      <w:r>
        <w:t xml:space="preserve">’</w:t>
      </w:r>
      <w:r>
        <w:t xml:space="preserve"> </w:t>
      </w:r>
      <w:r>
        <w:t xml:space="preserve">construct can be used successfully as a target in behavior therapy with various clinical presentations, helping participants appreciate and self-report meaningful change in their daily lives.</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delayed 1-year Follow-up effects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are also comparable to those found for treatments tailored to social anxiety [REF], as are those on depression [REF],</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pointing to the usefulness of assertiveness as a trans-diagnostic target.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was not adequate in addressing GAD symptoms where non-commitment to exposure often is an important first hurdle to overcome. (To be investigated.)</w:t>
      </w:r>
    </w:p>
    <w:p>
      <w:pPr>
        <w:pStyle w:val="BodyText"/>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 This demonstrates that assertiveness has a potential as a target in CBT and iCBT, in the treatment of both psychiatric syndromes and non-syndromal problems in living, calling for more research on the construct, and its application.</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booster sessions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p>
      <w:pPr>
        <w:pStyle w:val="BodyText"/>
      </w:pPr>
      <w:r>
        <w:t xml:space="preserve">It is also noteworthy that the PHQ-9 mean of the non-active Waitlist control group increases as the participants wait in line to begin treatment; this might be due to the nocebo or ”reverse placebo” effect</w:t>
      </w:r>
      <w:r>
        <w:t xml:space="preserve"> </w:t>
      </w:r>
      <w:r>
        <w:t xml:space="preserve">(</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To cancel any possible nocebo effect, the most conservative estimated marginal mean from either the Pre, During, Post time points was used for all within group pairwise comparisons for each scale. In a possible future study, researchers would be wise to use an active wait list condition, such as participation in a discussion forum, to mitigate the problem</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Building on this foundation, future studies could further investigate clinical populations,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such as social phobia, generalized anxiety, emotional instability, schizophrenia, and depression. Apart from psychiatric syndromes, assertiveness has been linked to work-related stress, work–private life balance issues, and relationship problems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non-clinical problems that nevertheless are associated with suffering and problems in living.</w:t>
      </w:r>
    </w:p>
    <w:p>
      <w:pPr>
        <w:pStyle w:val="BodyText"/>
      </w:pPr>
      <w:r>
        <w:t xml:space="preserve">Healthy assertiveness as a transdiagnostic construct holds the potential to be a flexible target in a multitude of settings and with a multitude of populations. The authors of the current study would also like to test the effect of Respekt</w:t>
      </w:r>
      <w:r>
        <w:rPr>
          <w:vertAlign w:val="superscript"/>
        </w:rPr>
        <w:t xml:space="preserve">2</w:t>
      </w:r>
      <w:r>
        <w:t xml:space="preserve"> </w:t>
      </w:r>
      <w:r>
        <w:t xml:space="preserve">on other positively formulated trans-diagnostic behavioral approach goals such as those captured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 (AAQ-II;</w:t>
      </w:r>
      <w:r>
        <w:t xml:space="preserve"> </w:t>
      </w:r>
      <w:r>
        <w:t xml:space="preserve">Lundgren &amp; Parling (</w:t>
      </w:r>
      <w:hyperlink w:anchor="ref-Lundgren2016">
        <w:r>
          <w:rPr>
            <w:rStyle w:val="Hyperlink"/>
          </w:rPr>
          <w:t xml:space="preserve">2017</w:t>
        </w:r>
      </w:hyperlink>
      <w:r>
        <w:t xml:space="preserve">)</w:t>
      </w:r>
      <w:r>
        <w:t xml:space="preserve">). Further exploration of how the assertiveness relates to these and other constructs could illuminate what goals are best suited for what patient populations, in order to find the best targets to</w:t>
      </w:r>
      <w:r>
        <w:t xml:space="preserve"> </w:t>
      </w:r>
      <w:r>
        <w:t xml:space="preserve">“</w:t>
      </w:r>
      <w:r>
        <w:t xml:space="preserve">short circuit</w:t>
      </w:r>
      <w:r>
        <w:t xml:space="preserve">”</w:t>
      </w:r>
      <w:r>
        <w:t xml:space="preserve"> </w:t>
      </w:r>
      <w:r>
        <w:t xml:space="preserve">verbally expressed defenses and thus increase willingness to engage new learning as quickly as possible.</w:t>
      </w:r>
    </w:p>
    <w:p>
      <w:pPr>
        <w:pStyle w:val="BodyText"/>
      </w:pPr>
      <w:r>
        <w:t xml:space="preserve">Any future replication or extended version of the current study should collect data at more time-points, allowing fitting of data not only to random intercepts (controlling for/capturing initial differences between subjects), but also to random slopes (controlling for/capturing different trajectories), and possibly also additional levels, i.e. to to quantify therapist factors.</w:t>
      </w:r>
    </w:p>
    <w:bookmarkEnd w:id="58"/>
    <w:bookmarkStart w:id="143" w:name="references"/>
    <w:p>
      <w:pPr>
        <w:pStyle w:val="Heading2"/>
      </w:pPr>
      <w:r>
        <w:t xml:space="preserve">References</w:t>
      </w:r>
    </w:p>
    <w:bookmarkStart w:id="142"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7">
        <w:r>
          <w:rPr>
            <w:rStyle w:val="Hyperlink"/>
          </w:rPr>
          <w:t xml:space="preserve">https://doi.org/10.1017/S0033291701004056</w:t>
        </w:r>
      </w:hyperlink>
    </w:p>
    <w:bookmarkEnd w:id="88"/>
    <w:bookmarkStart w:id="90"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9">
        <w:r>
          <w:rPr>
            <w:rStyle w:val="Hyperlink"/>
          </w:rPr>
          <w:t xml:space="preserve">https://doi.org/10.1111/acps.12275</w:t>
        </w:r>
      </w:hyperlink>
    </w:p>
    <w:bookmarkEnd w:id="90"/>
    <w:bookmarkStart w:id="91"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1"/>
    <w:bookmarkStart w:id="93"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2">
        <w:r>
          <w:rPr>
            <w:rStyle w:val="Hyperlink"/>
          </w:rPr>
          <w:t xml:space="preserve">https://www.random.org</w:t>
        </w:r>
      </w:hyperlink>
      <w:r>
        <w:t xml:space="preserve">.</w:t>
      </w:r>
    </w:p>
    <w:bookmarkEnd w:id="93"/>
    <w:bookmarkStart w:id="95"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4">
        <w:r>
          <w:rPr>
            <w:rStyle w:val="Hyperlink"/>
          </w:rPr>
          <w:t xml:space="preserve">https://doi.org/10.1016/S0005-7894(04)80013-3</w:t>
        </w:r>
      </w:hyperlink>
    </w:p>
    <w:bookmarkEnd w:id="95"/>
    <w:bookmarkStart w:id="97"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6">
        <w:r>
          <w:rPr>
            <w:rStyle w:val="Hyperlink"/>
          </w:rPr>
          <w:t xml:space="preserve">https://doi.org/10.1007/s10608-012-9476-1</w:t>
        </w:r>
      </w:hyperlink>
    </w:p>
    <w:bookmarkEnd w:id="97"/>
    <w:bookmarkStart w:id="98"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8"/>
    <w:bookmarkStart w:id="100"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9">
        <w:r>
          <w:rPr>
            <w:rStyle w:val="Hyperlink"/>
          </w:rPr>
          <w:t xml:space="preserve">https://doi.org/10.1016/j.genhosppsych.2010.03.006</w:t>
        </w:r>
      </w:hyperlink>
    </w:p>
    <w:bookmarkEnd w:id="100"/>
    <w:bookmarkStart w:id="102"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1">
        <w:r>
          <w:rPr>
            <w:rStyle w:val="Hyperlink"/>
          </w:rPr>
          <w:t xml:space="preserve">https://github.com/runehaubo/lmerTestR</w:t>
        </w:r>
      </w:hyperlink>
    </w:p>
    <w:bookmarkEnd w:id="102"/>
    <w:bookmarkStart w:id="104"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3">
        <w:r>
          <w:rPr>
            <w:rStyle w:val="Hyperlink"/>
          </w:rPr>
          <w:t xml:space="preserve">https://cran.r-project.org/package=emmeans</w:t>
        </w:r>
      </w:hyperlink>
    </w:p>
    <w:bookmarkEnd w:id="104"/>
    <w:bookmarkStart w:id="106"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5">
        <w:r>
          <w:rPr>
            <w:rStyle w:val="Hyperlink"/>
          </w:rPr>
          <w:t xml:space="preserve">https://doi.org/10.1016/B978-0-12-404480-7.50013-7</w:t>
        </w:r>
      </w:hyperlink>
    </w:p>
    <w:bookmarkEnd w:id="106"/>
    <w:bookmarkStart w:id="107"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7"/>
    <w:bookmarkStart w:id="109"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8">
        <w:r>
          <w:rPr>
            <w:rStyle w:val="Hyperlink"/>
          </w:rPr>
          <w:t xml:space="preserve">https://doi.org/10.21105/joss.00772</w:t>
        </w:r>
      </w:hyperlink>
    </w:p>
    <w:bookmarkEnd w:id="109"/>
    <w:bookmarkStart w:id="111"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0">
        <w:r>
          <w:rPr>
            <w:rStyle w:val="Hyperlink"/>
          </w:rPr>
          <w:t xml:space="preserve">https://easystats.github.io/performance/</w:t>
        </w:r>
      </w:hyperlink>
    </w:p>
    <w:bookmarkEnd w:id="111"/>
    <w:bookmarkStart w:id="113"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2">
        <w:r>
          <w:rPr>
            <w:rStyle w:val="Hyperlink"/>
          </w:rPr>
          <w:t xml:space="preserve">https://doi.org/10.1080/16506073.2016.1250228</w:t>
        </w:r>
      </w:hyperlink>
    </w:p>
    <w:bookmarkEnd w:id="113"/>
    <w:bookmarkStart w:id="115"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4">
        <w:r>
          <w:rPr>
            <w:rStyle w:val="Hyperlink"/>
          </w:rPr>
          <w:t xml:space="preserve">www.cci.health.wa.gov.au/Resources/Looking-After-Yourself/Assertiveness</w:t>
        </w:r>
      </w:hyperlink>
    </w:p>
    <w:bookmarkEnd w:id="115"/>
    <w:bookmarkStart w:id="117"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6">
        <w:r>
          <w:rPr>
            <w:rStyle w:val="Hyperlink"/>
          </w:rPr>
          <w:t xml:space="preserve">https://doi.org/10.1111/jpr.12185</w:t>
        </w:r>
      </w:hyperlink>
    </w:p>
    <w:bookmarkEnd w:id="117"/>
    <w:bookmarkStart w:id="11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8"/>
    <w:bookmarkStart w:id="11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9"/>
    <w:bookmarkStart w:id="12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0">
        <w:r>
          <w:rPr>
            <w:rStyle w:val="Hyperlink"/>
          </w:rPr>
          <w:t xml:space="preserve">https://doi.org/10.1016/S0005-7894(73)80120-0</w:t>
        </w:r>
      </w:hyperlink>
    </w:p>
    <w:bookmarkEnd w:id="121"/>
    <w:bookmarkStart w:id="12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2">
        <w:r>
          <w:rPr>
            <w:rStyle w:val="Hyperlink"/>
          </w:rPr>
          <w:t xml:space="preserve">https://doi.org/10.1037/ccp0000023</w:t>
        </w:r>
      </w:hyperlink>
    </w:p>
    <w:bookmarkEnd w:id="123"/>
    <w:bookmarkStart w:id="12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4">
        <w:r>
          <w:rPr>
            <w:rStyle w:val="Hyperlink"/>
          </w:rPr>
          <w:t xml:space="preserve">https://doi.org/10.1016/j.brat.2017.05.015</w:t>
        </w:r>
      </w:hyperlink>
    </w:p>
    <w:bookmarkEnd w:id="125"/>
    <w:bookmarkStart w:id="12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6"/>
    <w:bookmarkStart w:id="12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7">
        <w:r>
          <w:rPr>
            <w:rStyle w:val="Hyperlink"/>
          </w:rPr>
          <w:t xml:space="preserve">https://sealedenvelope.com/simple-randomiser/v1</w:t>
        </w:r>
      </w:hyperlink>
      <w:r>
        <w:t xml:space="preserve">.</w:t>
      </w:r>
    </w:p>
    <w:bookmarkEnd w:id="128"/>
    <w:bookmarkStart w:id="12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8"/>
    <w:bookmarkStart w:id="13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9"/>
    <w:bookmarkStart w:id="140" w:name="ref-wolpe1990practice"/>
    <w:p>
      <w:pPr>
        <w:pStyle w:val="Bibliography"/>
      </w:pPr>
      <w:r>
        <w:t xml:space="preserve">Wolpe, J. (1990).</w:t>
      </w:r>
      <w:r>
        <w:t xml:space="preserve"> </w:t>
      </w:r>
      <w:r>
        <w:rPr>
          <w:iCs/>
          <w:i/>
        </w:rPr>
        <w:t xml:space="preserve">The practice of behavior therapy</w:t>
      </w:r>
      <w:r>
        <w:t xml:space="preserve">. Pergamon Press.</w:t>
      </w:r>
    </w:p>
    <w:bookmarkEnd w:id="140"/>
    <w:bookmarkStart w:id="14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1"/>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4" Target="https://www.cci.health.wa.gov.au/Resources/Looking-After-Yourself/Assertiveness" TargetMode="External" /><Relationship Type="http://schemas.openxmlformats.org/officeDocument/2006/relationships/hyperlink" Id="rId92"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4" Target="https://www.cci.health.wa.gov.au/Resources/Looking-After-Yourself/Assertiveness" TargetMode="External" /><Relationship Type="http://schemas.openxmlformats.org/officeDocument/2006/relationships/hyperlink" Id="rId92"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2022-07-27T16:34:38Z</dcterms:created>
  <dcterms:modified xsi:type="dcterms:W3CDTF">2022-07-27T16:34:38Z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