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1.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26</w:t>
      </w:r>
      <w:r>
        <w:t xml:space="preserve"> </w:t>
      </w:r>
      <w:r>
        <w:t xml:space="preserve">July</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for fear of being put down if the friend does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w:t>
      </w:r>
      <w:r>
        <w:t xml:space="preserve"> </w:t>
      </w:r>
      <w:r>
        <w:t xml:space="preserve">(</w:t>
      </w:r>
      <w:hyperlink w:anchor="ref-LINEHAN1979">
        <w:r>
          <w:rPr>
            <w:rStyle w:val="Hyperlink"/>
          </w:rPr>
          <w:t xml:space="preserve">Linehan, 1979</w:t>
        </w:r>
      </w:hyperlink>
      <w:r>
        <w:t xml:space="preserve">)</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hyperlink w:anchor="ref-salter1949conditioned">
        <w:r>
          <w:rPr>
            <w:rStyle w:val="Hyperlink"/>
          </w:rPr>
          <w:t xml:space="preserve">Salter</w:t>
        </w:r>
      </w:hyperlink>
      <w:r>
        <w:t xml:space="preserve"> </w:t>
      </w:r>
      <w:r>
        <w:t xml:space="preserve">(</w:t>
      </w:r>
      <w:hyperlink w:anchor="ref-salter1949conditioned">
        <w:r>
          <w:rPr>
            <w:rStyle w:val="Hyperlink"/>
          </w:rPr>
          <w:t xml:space="preserve">1949</w:t>
        </w:r>
      </w:hyperlink>
      <w:r>
        <w:t xml:space="preserve">)</w:t>
      </w:r>
      <w:r>
        <w:t xml:space="preserve"> </w:t>
      </w:r>
      <w:r>
        <w:t xml:space="preserve">or</w:t>
      </w:r>
      <w:r>
        <w:t xml:space="preserve"> </w:t>
      </w:r>
      <w:hyperlink w:anchor="ref-Wolpe1966">
        <w:r>
          <w:rPr>
            <w:rStyle w:val="Hyperlink"/>
          </w:rPr>
          <w:t xml:space="preserve">Wolpe &amp; Lazarus</w:t>
        </w:r>
      </w:hyperlink>
      <w:r>
        <w:t xml:space="preserve"> </w:t>
      </w:r>
      <w:r>
        <w:t xml:space="preserve">(</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hyperlink w:anchor="ref-alberti1974your">
        <w:r>
          <w:rPr>
            <w:rStyle w:val="Hyperlink"/>
          </w:rPr>
          <w:t xml:space="preserve">Alberti &amp; Emmons</w:t>
        </w:r>
      </w:hyperlink>
      <w:r>
        <w:t xml:space="preserve"> </w:t>
      </w:r>
      <w:r>
        <w:t xml:space="preserve">(</w:t>
      </w:r>
      <w:hyperlink w:anchor="ref-alberti1974your">
        <w:r>
          <w:rPr>
            <w:rStyle w:val="Hyperlink"/>
          </w:rPr>
          <w:t xml:space="preserve">1974</w:t>
        </w:r>
      </w:hyperlink>
      <w:r>
        <w:t xml:space="preserve">)</w:t>
      </w:r>
      <w:r>
        <w:t xml:space="preserve">,</w:t>
      </w:r>
      <w:r>
        <w:t xml:space="preserve"> </w:t>
      </w:r>
      <w:hyperlink w:anchor="ref-smith1975say">
        <w:r>
          <w:rPr>
            <w:rStyle w:val="Hyperlink"/>
          </w:rPr>
          <w:t xml:space="preserve">Smith</w:t>
        </w:r>
      </w:hyperlink>
      <w:r>
        <w:t xml:space="preserve"> </w:t>
      </w:r>
      <w:r>
        <w:t xml:space="preserve">(</w:t>
      </w:r>
      <w:hyperlink w:anchor="ref-smith1975say">
        <w:r>
          <w:rPr>
            <w:rStyle w:val="Hyperlink"/>
          </w:rPr>
          <w:t xml:space="preserve">1975</w:t>
        </w:r>
      </w:hyperlink>
      <w:r>
        <w:t xml:space="preserve">)</w:t>
      </w:r>
      <w:r>
        <w:t xml:space="preserve">, as well as</w:t>
      </w:r>
      <w:r>
        <w:t xml:space="preserve"> </w:t>
      </w:r>
      <w:hyperlink w:anchor="ref-fensterheim1975don">
        <w:r>
          <w:rPr>
            <w:rStyle w:val="Hyperlink"/>
          </w:rPr>
          <w:t xml:space="preserve">Fensterheim &amp; Baer</w:t>
        </w:r>
      </w:hyperlink>
      <w:r>
        <w:t xml:space="preserve"> </w:t>
      </w:r>
      <w:r>
        <w:t xml:space="preserve">(</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hyperlink w:anchor="ref-LINEHAN1979">
        <w:r>
          <w:rPr>
            <w:rStyle w:val="Hyperlink"/>
          </w:rPr>
          <w:t xml:space="preserve">Linehan</w:t>
        </w:r>
      </w:hyperlink>
      <w:r>
        <w:t xml:space="preserve"> </w:t>
      </w:r>
      <w:r>
        <w:t xml:space="preserve">(</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hyperlink w:anchor="ref-linehan1993skills">
        <w:r>
          <w:rPr>
            <w:rStyle w:val="Hyperlink"/>
          </w:rPr>
          <w:t xml:space="preserve">Linehan</w:t>
        </w:r>
      </w:hyperlink>
      <w:r>
        <w:t xml:space="preserve"> </w:t>
      </w:r>
      <w:r>
        <w:t xml:space="preserve">(</w:t>
      </w:r>
      <w:hyperlink w:anchor="ref-linehan1993skills">
        <w:r>
          <w:rPr>
            <w:rStyle w:val="Hyperlink"/>
          </w:rPr>
          <w:t xml:space="preserve">1993</w:t>
        </w:r>
      </w:hyperlink>
      <w:r>
        <w:t xml:space="preserve">)</w:t>
      </w:r>
      <w:r>
        <w:t xml:space="preserve">.</w:t>
      </w:r>
    </w:p>
    <w:p>
      <w:pPr>
        <w:pStyle w:val="BodyText"/>
      </w:pPr>
      <w:r>
        <w:t xml:space="preserve">Building on the definition from</w:t>
      </w:r>
      <w:r>
        <w:t xml:space="preserve"> </w:t>
      </w:r>
      <w:hyperlink w:anchor="ref-alberti2017your">
        <w:r>
          <w:rPr>
            <w:rStyle w:val="Hyperlink"/>
          </w:rPr>
          <w:t xml:space="preserve">Alberti &amp; Emmons</w:t>
        </w:r>
      </w:hyperlink>
      <w:r>
        <w:t xml:space="preserve"> </w:t>
      </w:r>
      <w:r>
        <w:t xml:space="preserve">(</w:t>
      </w:r>
      <w:hyperlink w:anchor="ref-alberti2017your">
        <w:r>
          <w:rPr>
            <w:rStyle w:val="Hyperlink"/>
          </w:rPr>
          <w:t xml:space="preserve">2017</w:t>
        </w:r>
      </w:hyperlink>
      <w:r>
        <w:t xml:space="preserve">)</w:t>
      </w:r>
      <w:r>
        <w:t xml:space="preserve">, assertiveness can be operationalized as acting with respect to personal rights without infringing on the rights of others. A constructive assertion takes into account both the desired result of the interaction (e.g. having said no to someone else’s demand, or having made a request) and the intensity of the interaction, where the latter is calibrated with regards to both the importance of the relationship and what</w:t>
      </w:r>
      <w:r>
        <w:t xml:space="preserve"> </w:t>
      </w:r>
      <w:hyperlink w:anchor="ref-linehan1993skills">
        <w:r>
          <w:rPr>
            <w:rStyle w:val="Hyperlink"/>
          </w:rPr>
          <w:t xml:space="preserve">Linehan</w:t>
        </w:r>
      </w:hyperlink>
      <w:r>
        <w:t xml:space="preserve"> </w:t>
      </w:r>
      <w:r>
        <w:t xml:space="preserve">(</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w:t>
      </w:r>
      <w:r>
        <w:t xml:space="preserve">Assertive behavior, using this definition, can be thought of as the product of respect for the rights of others, and respect for the rights of oneself. This definition is non-normative and offers plenty of opportunities for idiographic and contextual descriptions of assertion in therapy, i.e. when designing in vivo behavioral experiments, regardless of cultural influences on what is considered to be acceptable behavior (within a family, community, society, et.c.)</w:t>
      </w:r>
      <w:r>
        <w:t xml:space="preserve"> </w:t>
      </w:r>
      <w:r>
        <w:t xml:space="preserve">(</w:t>
      </w:r>
      <w:hyperlink w:anchor="ref-Mitamura2018">
        <w:r>
          <w:rPr>
            <w:rStyle w:val="Hyperlink"/>
          </w:rPr>
          <w:t xml:space="preserve">Mitamura, 2018</w:t>
        </w:r>
      </w:hyperlink>
      <w:r>
        <w:t xml:space="preserve">)</w:t>
      </w:r>
      <w:r>
        <w:t xml:space="preserve">.</w:t>
      </w:r>
    </w:p>
    <w:p>
      <w:pPr>
        <w:pStyle w:val="BodyText"/>
      </w:pPr>
      <w:hyperlink w:anchor="ref-Speed2018a">
        <w:r>
          <w:rPr>
            <w:rStyle w:val="Hyperlink"/>
          </w:rPr>
          <w:t xml:space="preserve">Speed et al.</w:t>
        </w:r>
      </w:hyperlink>
      <w:r>
        <w:t xml:space="preserve"> </w:t>
      </w:r>
      <w:r>
        <w:t xml:space="preserve">(</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by the wayside in favor of interventions designed for specific psychiatric disorders. Very little research on assertiveness training has been published since the early 1980s. Recent exceptions include</w:t>
      </w:r>
      <w:r>
        <w:t xml:space="preserve"> </w:t>
      </w:r>
      <w:hyperlink w:anchor="ref-Baker2015">
        <w:r>
          <w:rPr>
            <w:rStyle w:val="Hyperlink"/>
          </w:rPr>
          <w:t xml:space="preserve">Baker &amp; Jeske</w:t>
        </w:r>
      </w:hyperlink>
      <w:r>
        <w:t xml:space="preserve"> </w:t>
      </w:r>
      <w:r>
        <w:t xml:space="preserve">(</w:t>
      </w:r>
      <w:hyperlink w:anchor="ref-Baker2015">
        <w:r>
          <w:rPr>
            <w:rStyle w:val="Hyperlink"/>
          </w:rPr>
          <w:t xml:space="preserve">2015</w:t>
        </w:r>
      </w:hyperlink>
      <w:r>
        <w:t xml:space="preserve">)</w:t>
      </w:r>
      <w:r>
        <w:t xml:space="preserve">, showing a negative relationship between social anxiety and assertiveness,</w:t>
      </w:r>
      <w:r>
        <w:t xml:space="preserve"> </w:t>
      </w:r>
      <w:hyperlink w:anchor="ref-Vagos2019">
        <w:r>
          <w:rPr>
            <w:rStyle w:val="Hyperlink"/>
          </w:rPr>
          <w:t xml:space="preserve">Vagos &amp; Pereira</w:t>
        </w:r>
      </w:hyperlink>
      <w:r>
        <w:t xml:space="preserve"> </w:t>
      </w:r>
      <w:r>
        <w:t xml:space="preserve">(</w:t>
      </w:r>
      <w:hyperlink w:anchor="ref-Vagos2019">
        <w:r>
          <w:rPr>
            <w:rStyle w:val="Hyperlink"/>
          </w:rPr>
          <w:t xml:space="preserve">2019</w:t>
        </w:r>
      </w:hyperlink>
      <w:r>
        <w:t xml:space="preserve">)</w:t>
      </w:r>
      <w:r>
        <w:t xml:space="preserve"> </w:t>
      </w:r>
      <w:r>
        <w:t xml:space="preserve">showing a negative relationship between mental distress in general and assertiveness, and</w:t>
      </w:r>
      <w:r>
        <w:t xml:space="preserve"> </w:t>
      </w:r>
      <w:hyperlink w:anchor="ref-Antunez2020">
        <w:r>
          <w:rPr>
            <w:rStyle w:val="Hyperlink"/>
          </w:rPr>
          <w:t xml:space="preserve">Antúnez</w:t>
        </w:r>
      </w:hyperlink>
      <w:r>
        <w:t xml:space="preserve"> </w:t>
      </w:r>
      <w:r>
        <w:t xml:space="preserve">(</w:t>
      </w:r>
      <w:hyperlink w:anchor="ref-Antunez2020">
        <w:r>
          <w:rPr>
            <w:rStyle w:val="Hyperlink"/>
          </w:rPr>
          <w:t xml:space="preserve">2020</w:t>
        </w:r>
      </w:hyperlink>
      <w:r>
        <w:t xml:space="preserve">)</w:t>
      </w:r>
      <w:r>
        <w:t xml:space="preserve">, highlighting a link between circadian typology and different constructs related to mental health, among them levels of assertiveness.</w:t>
      </w:r>
      <w:r>
        <w:t xml:space="preserve"> </w:t>
      </w:r>
      <w:hyperlink w:anchor="ref-Speed2018a">
        <w:r>
          <w:rPr>
            <w:rStyle w:val="Hyperlink"/>
          </w:rPr>
          <w:t xml:space="preserve">Speed et al.</w:t>
        </w:r>
      </w:hyperlink>
      <w:r>
        <w:t xml:space="preserve"> </w:t>
      </w:r>
      <w:r>
        <w:t xml:space="preserve">(</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hyperlink w:anchor="ref-Hofmann2012">
        <w:r>
          <w:rPr>
            <w:rStyle w:val="Hyperlink"/>
          </w:rPr>
          <w:t xml:space="preserve">Hofmann et al.</w:t>
        </w:r>
      </w:hyperlink>
      <w:r>
        <w:t xml:space="preserve"> </w:t>
      </w:r>
      <w:r>
        <w:t xml:space="preserve">(</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hyperlink w:anchor="ref-Andrews2018">
        <w:r>
          <w:rPr>
            <w:rStyle w:val="Hyperlink"/>
          </w:rPr>
          <w:t xml:space="preserve">Andrews et al.</w:t>
        </w:r>
      </w:hyperlink>
      <w:r>
        <w:t xml:space="preserve"> </w:t>
      </w:r>
      <w:r>
        <w:t xml:space="preserve">(</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w:t>
      </w:r>
      <w:r>
        <w:t xml:space="preserve"> </w:t>
      </w:r>
      <m:oMath>
        <m:r>
          <m:t>g</m:t>
        </m:r>
      </m:oMath>
      <w:r>
        <w:t xml:space="preserve"> </w:t>
      </w:r>
      <w:r>
        <w:t xml:space="preserve">=</w:t>
      </w:r>
      <w:r>
        <w:t xml:space="preserve"> </w:t>
      </w:r>
      <m:oMath>
        <m:r>
          <m:t>0.8</m:t>
        </m:r>
      </m:oMath>
      <w:r>
        <w:t xml:space="preserve">, compared to controls.</w:t>
      </w:r>
      <w:r>
        <w:t xml:space="preserve"> </w:t>
      </w:r>
      <w:hyperlink w:anchor="ref-Carlbring2018">
        <w:r>
          <w:rPr>
            <w:rStyle w:val="Hyperlink"/>
          </w:rPr>
          <w:t xml:space="preserve">Carlbring et al.</w:t>
        </w:r>
      </w:hyperlink>
      <w:r>
        <w:t xml:space="preserve"> </w:t>
      </w:r>
      <w:r>
        <w:t xml:space="preserve">(</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iCBT has been proven effective both in guided and unguided applications (i.e., with or without therapist support),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also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assertiveness, Respekt</w:t>
      </w:r>
      <w:r>
        <w:rPr>
          <w:vertAlign w:val="superscript"/>
        </w:rPr>
        <w:t xml:space="preserve">2</w:t>
      </w:r>
      <w:r>
        <w:t xml:space="preserve">, based on the</w:t>
      </w:r>
      <w:r>
        <w:t xml:space="preserve"> </w:t>
      </w:r>
      <w:hyperlink w:anchor="ref-michel2008">
        <w:r>
          <w:rPr>
            <w:rStyle w:val="Hyperlink"/>
          </w:rPr>
          <w:t xml:space="preserve">Michel &amp; Fursland</w:t>
        </w:r>
      </w:hyperlink>
      <w:r>
        <w:t xml:space="preserve"> </w:t>
      </w:r>
      <w:r>
        <w:t xml:space="preserve">(</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of guided and unguided participation in Respekt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0"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hyperlink w:anchor="ref-Chambless2001">
        <w:r>
          <w:rPr>
            <w:rStyle w:val="Hyperlink"/>
          </w:rPr>
          <w:t xml:space="preserve">Chambless &amp; Ollendick</w:t>
        </w:r>
      </w:hyperlink>
      <w:r>
        <w:t xml:space="preserve"> </w:t>
      </w:r>
      <w:r>
        <w:t xml:space="preserve">(</w:t>
      </w:r>
      <w:hyperlink w:anchor="ref-Chambless2001">
        <w:r>
          <w:rPr>
            <w:rStyle w:val="Hyperlink"/>
          </w:rPr>
          <w:t xml:space="preserve">2001</w:t>
        </w:r>
      </w:hyperlink>
      <w:r>
        <w:t xml:space="preserve">)</w:t>
      </w:r>
      <w:r>
        <w:t xml:space="preserve">, with a randomized allocation of participants to three groups: (1) Guided self-help, (2) Unguided self-help, and (3) a ten-week Waitlist control. A sample size of 210 participants (70 per group) was decided on through an a priori power calculation according to guidelines for linear models outlined in</w:t>
      </w:r>
      <w:r>
        <w:t xml:space="preserve"> </w:t>
      </w:r>
      <w:hyperlink w:anchor="ref-cohen1988statistical">
        <w:r>
          <w:rPr>
            <w:rStyle w:val="Hyperlink"/>
          </w:rPr>
          <w:t xml:space="preserve">Cohen</w:t>
        </w:r>
      </w:hyperlink>
      <w:r>
        <w:t xml:space="preserve"> </w:t>
      </w:r>
      <w:r>
        <w:t xml:space="preserve">(</w:t>
      </w:r>
      <w:hyperlink w:anchor="ref-cohen1988statistical">
        <w:r>
          <w:rPr>
            <w:rStyle w:val="Hyperlink"/>
          </w:rPr>
          <w:t xml:space="preserve">1988</w:t>
        </w:r>
      </w:hyperlink>
      <w:r>
        <w:t xml:space="preserve">)</w:t>
      </w:r>
      <w:r>
        <w:t xml:space="preserve">, assuming a between-group effect size of Cohen’s d of 0.80 on the Adaptive and Aggressive Assertiveness Scales</w:t>
      </w:r>
      <w:r>
        <w:t xml:space="preserve"> </w:t>
      </w:r>
      <w:r>
        <w:t xml:space="preserve">(AAA-S;</w:t>
      </w:r>
      <w:r>
        <w:t xml:space="preserve"> </w:t>
      </w:r>
      <w:hyperlink w:anchor="ref-Thompson2011">
        <w:r>
          <w:rPr>
            <w:rStyle w:val="Hyperlink"/>
          </w:rPr>
          <w:t xml:space="preserve">Thompson &amp; Berenbaum, 2011</w:t>
        </w:r>
      </w:hyperlink>
      <w:r>
        <w:t xml:space="preserve">)</w:t>
      </w:r>
      <w:r>
        <w:t xml:space="preserve">, power 0.90,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an online screening. The online screening included self-report measures of anxiety, depression, and assertiveness, as well as questions regarding socio-demographics, experiences of psychological treatment, any current medication, and motivation for participation. See Table 1 for a summary of socio-demographic characteristics collected Pre-treatment.</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Data were collected using the below measures at four time-points: week 0 (pre-treatment), week 4 (midway through the intervention), week 8 (post-treatment), and at a one-year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w:t>
      </w:r>
      <w:r>
        <w:t xml:space="preserve"> </w:t>
      </w:r>
      <w:hyperlink w:anchor="ref-Thompson2011">
        <w:r>
          <w:rPr>
            <w:rStyle w:val="Hyperlink"/>
          </w:rPr>
          <w:t xml:space="preserve">Thompson &amp; Berenbaum, 2011</w:t>
        </w:r>
      </w:hyperlink>
      <w:r>
        <w:t xml:space="preserve">)</w:t>
      </w:r>
      <w:r>
        <w:t xml:space="preserve"> </w:t>
      </w:r>
      <w:r>
        <w:t xml:space="preserve">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w:t>
      </w:r>
      <w:r>
        <w:t xml:space="preserve"> </w:t>
      </w:r>
      <w:r>
        <w:t xml:space="preserve">(RAS;</w:t>
      </w:r>
      <w:r>
        <w:t xml:space="preserve"> </w:t>
      </w:r>
      <w:hyperlink w:anchor="ref-Rathus1973">
        <w:r>
          <w:rPr>
            <w:rStyle w:val="Hyperlink"/>
          </w:rPr>
          <w:t xml:space="preserve">Rathus, 1973</w:t>
        </w:r>
      </w:hyperlink>
      <w:r>
        <w:t xml:space="preserve">)</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w:t>
      </w:r>
      <w:r>
        <w:t xml:space="preserve">(+3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w:t>
      </w:r>
      <w:r>
        <w:t xml:space="preserve"> </w:t>
      </w:r>
      <w:r>
        <w:t xml:space="preserve">(PHQ-9;</w:t>
      </w:r>
      <w:r>
        <w:t xml:space="preserve"> </w:t>
      </w:r>
      <w:hyperlink w:anchor="ref-Kroenke2010">
        <w:r>
          <w:rPr>
            <w:rStyle w:val="Hyperlink"/>
          </w:rPr>
          <w:t xml:space="preserve">Kroenke et al., 2010</w:t>
        </w:r>
      </w:hyperlink>
      <w:r>
        <w:t xml:space="preserve">)</w:t>
      </w:r>
      <w:r>
        <w:t xml:space="preserve"> </w:t>
      </w:r>
      <w:r>
        <w:t xml:space="preserve">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w:t>
      </w:r>
      <w:r>
        <w:t xml:space="preserve"> </w:t>
      </w:r>
      <w:r>
        <w:t xml:space="preserve">(GAD-7;</w:t>
      </w:r>
      <w:r>
        <w:t xml:space="preserve"> </w:t>
      </w:r>
      <w:hyperlink w:anchor="ref-Kroenke2006">
        <w:r>
          <w:rPr>
            <w:rStyle w:val="Hyperlink"/>
          </w:rPr>
          <w:t xml:space="preserve">Spitzer et al., 2006</w:t>
        </w:r>
      </w:hyperlink>
      <w:r>
        <w:t xml:space="preserve">)</w:t>
      </w:r>
      <w:r>
        <w:t xml:space="preserve"> </w:t>
      </w:r>
      <w:r>
        <w:t xml:space="preserve">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w:t>
      </w:r>
      <w:r>
        <w:t xml:space="preserve"> </w:t>
      </w:r>
      <w:r>
        <w:t xml:space="preserve">(LSAS-SR;</w:t>
      </w:r>
      <w:r>
        <w:t xml:space="preserve"> </w:t>
      </w:r>
      <w:hyperlink w:anchor="ref-Fresco2001">
        <w:r>
          <w:rPr>
            <w:rStyle w:val="Hyperlink"/>
          </w:rPr>
          <w:t xml:space="preserve">Fresco et al., 2001</w:t>
        </w:r>
      </w:hyperlink>
      <w:r>
        <w:t xml:space="preserve">)</w:t>
      </w:r>
      <w:r>
        <w:t xml:space="preserve"> </w:t>
      </w:r>
      <w:r>
        <w:t xml:space="preserve">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hyperlink w:anchor="ref-michel2008">
        <w:r>
          <w:rPr>
            <w:rStyle w:val="Hyperlink"/>
          </w:rPr>
          <w:t xml:space="preserve">Michel &amp; Fursland</w:t>
        </w:r>
      </w:hyperlink>
      <w:r>
        <w:t xml:space="preserve"> </w:t>
      </w:r>
      <w:r>
        <w:t xml:space="preserve">(</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hyperlink w:anchor="ref-alberti1974your">
        <w:r>
          <w:rPr>
            <w:rStyle w:val="Hyperlink"/>
          </w:rPr>
          <w:t xml:space="preserve">Alberti &amp; Emmons</w:t>
        </w:r>
      </w:hyperlink>
      <w:r>
        <w:t xml:space="preserve"> </w:t>
      </w:r>
      <w:r>
        <w:t xml:space="preserve">(</w:t>
      </w:r>
      <w:hyperlink w:anchor="ref-alberti1974your">
        <w:r>
          <w:rPr>
            <w:rStyle w:val="Hyperlink"/>
          </w:rPr>
          <w:t xml:space="preserve">1974</w:t>
        </w:r>
      </w:hyperlink>
      <w:r>
        <w:t xml:space="preserve">)</w:t>
      </w:r>
      <w:r>
        <w:t xml:space="preserve">,</w:t>
      </w:r>
      <w:r>
        <w:t xml:space="preserve"> </w:t>
      </w:r>
      <w:hyperlink w:anchor="ref-gambrill1975assertion">
        <w:r>
          <w:rPr>
            <w:rStyle w:val="Hyperlink"/>
          </w:rPr>
          <w:t xml:space="preserve">Gambrill &amp; Richey</w:t>
        </w:r>
      </w:hyperlink>
      <w:r>
        <w:t xml:space="preserve"> </w:t>
      </w:r>
      <w:r>
        <w:t xml:space="preserve">(</w:t>
      </w:r>
      <w:hyperlink w:anchor="ref-gambrill1975assertion">
        <w:r>
          <w:rPr>
            <w:rStyle w:val="Hyperlink"/>
          </w:rPr>
          <w:t xml:space="preserve">1975</w:t>
        </w:r>
      </w:hyperlink>
      <w:r>
        <w:t xml:space="preserve">)</w:t>
      </w:r>
      <w:r>
        <w:t xml:space="preserve">, and</w:t>
      </w:r>
      <w:r>
        <w:t xml:space="preserve"> </w:t>
      </w:r>
      <w:hyperlink w:anchor="ref-smith1975say">
        <w:r>
          <w:rPr>
            <w:rStyle w:val="Hyperlink"/>
          </w:rPr>
          <w:t xml:space="preserve">Smith</w:t>
        </w:r>
      </w:hyperlink>
      <w:r>
        <w:t xml:space="preserve"> </w:t>
      </w:r>
      <w:r>
        <w:t xml:space="preserve">(</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hyperlink w:anchor="ref-wolpe1990practice">
        <w:r>
          <w:rPr>
            <w:rStyle w:val="Hyperlink"/>
          </w:rPr>
          <w:t xml:space="preserve">Wolpe</w:t>
        </w:r>
      </w:hyperlink>
      <w:r>
        <w:t xml:space="preserve"> </w:t>
      </w:r>
      <w:r>
        <w:t xml:space="preserve">(</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hyperlink w:anchor="ref-Wolpe1952">
        <w:r>
          <w:rPr>
            <w:rStyle w:val="Hyperlink"/>
          </w:rPr>
          <w:t xml:space="preserve">Wolpe</w:t>
        </w:r>
      </w:hyperlink>
      <w:r>
        <w:t xml:space="preserve"> </w:t>
      </w:r>
      <w:r>
        <w:t xml:space="preserve">(</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hyperlink w:anchor="ref-beck1979cognitive">
        <w:r>
          <w:rPr>
            <w:rStyle w:val="Hyperlink"/>
          </w:rPr>
          <w:t xml:space="preserve">Beck</w:t>
        </w:r>
      </w:hyperlink>
      <w:r>
        <w:t xml:space="preserve"> </w:t>
      </w:r>
      <w:r>
        <w:t xml:space="preserve">(</w:t>
      </w:r>
      <w:hyperlink w:anchor="ref-beck1979cognitive">
        <w:r>
          <w:rPr>
            <w:rStyle w:val="Hyperlink"/>
          </w:rPr>
          <w:t xml:space="preserve">1979</w:t>
        </w:r>
      </w:hyperlink>
      <w:r>
        <w:t xml:space="preserve">)</w:t>
      </w:r>
      <w:r>
        <w:t xml:space="preserve">,</w:t>
      </w:r>
      <w:r>
        <w:t xml:space="preserve"> </w:t>
      </w:r>
      <w:hyperlink w:anchor="ref-Clark1986">
        <w:r>
          <w:rPr>
            <w:rStyle w:val="Hyperlink"/>
          </w:rPr>
          <w:t xml:space="preserve">Clark</w:t>
        </w:r>
      </w:hyperlink>
      <w:r>
        <w:t xml:space="preserve"> </w:t>
      </w:r>
      <w:r>
        <w:t xml:space="preserve">(</w:t>
      </w:r>
      <w:hyperlink w:anchor="ref-Clark1986">
        <w:r>
          <w:rPr>
            <w:rStyle w:val="Hyperlink"/>
          </w:rPr>
          <w:t xml:space="preserve">1986</w:t>
        </w:r>
      </w:hyperlink>
      <w:r>
        <w:t xml:space="preserve">)</w:t>
      </w:r>
      <w:r>
        <w:t xml:space="preserve">,</w:t>
      </w:r>
      <w:r>
        <w:t xml:space="preserve"> </w:t>
      </w:r>
      <w:hyperlink w:anchor="ref-clark1995cognitive">
        <w:r>
          <w:rPr>
            <w:rStyle w:val="Hyperlink"/>
          </w:rPr>
          <w:t xml:space="preserve">Clark &amp; Wells</w:t>
        </w:r>
      </w:hyperlink>
      <w:r>
        <w:t xml:space="preserve"> </w:t>
      </w:r>
      <w:r>
        <w:t xml:space="preserve">(</w:t>
      </w:r>
      <w:hyperlink w:anchor="ref-clark1995cognitive">
        <w:r>
          <w:rPr>
            <w:rStyle w:val="Hyperlink"/>
          </w:rPr>
          <w:t xml:space="preserve">1995</w:t>
        </w:r>
      </w:hyperlink>
      <w:r>
        <w:t xml:space="preserve">)</w:t>
      </w:r>
      <w:r>
        <w:t xml:space="preserve">, and</w:t>
      </w:r>
      <w:r>
        <w:t xml:space="preserve"> </w:t>
      </w:r>
      <w:hyperlink w:anchor="ref-powell2017mental">
        <w:r>
          <w:rPr>
            <w:rStyle w:val="Hyperlink"/>
          </w:rPr>
          <w:t xml:space="preserve">Powell</w:t>
        </w:r>
      </w:hyperlink>
      <w:r>
        <w:t xml:space="preserve"> </w:t>
      </w:r>
      <w:r>
        <w:t xml:space="preserve">(</w:t>
      </w:r>
      <w:hyperlink w:anchor="ref-powell2017mental">
        <w:r>
          <w:rPr>
            <w:rStyle w:val="Hyperlink"/>
          </w:rPr>
          <w:t xml:space="preserve">2017</w:t>
        </w:r>
      </w:hyperlink>
      <w:r>
        <w:t xml:space="preserve">)</w:t>
      </w:r>
      <w:r>
        <w:t xml:space="preserve">. Through behavioral experiments, readers are to test the validity of negative thoughts, to achieve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additions to</w:t>
      </w:r>
      <w:r>
        <w:t xml:space="preserve"> </w:t>
      </w:r>
      <w:hyperlink w:anchor="ref-michel2008">
        <w:r>
          <w:rPr>
            <w:rStyle w:val="Hyperlink"/>
          </w:rPr>
          <w:t xml:space="preserve">Michel &amp; Fursland</w:t>
        </w:r>
      </w:hyperlink>
      <w:r>
        <w:t xml:space="preserve"> </w:t>
      </w:r>
      <w:r>
        <w:t xml:space="preserve">(</w:t>
      </w:r>
      <w:hyperlink w:anchor="ref-michel2008">
        <w:r>
          <w:rPr>
            <w:rStyle w:val="Hyperlink"/>
          </w:rPr>
          <w:t xml:space="preserve">2008</w:t>
        </w:r>
      </w:hyperlink>
      <w:r>
        <w:t xml:space="preserve">)</w:t>
      </w:r>
      <w:r>
        <w:t xml:space="preserve">, some of which are presented in this paragraph. Based on recent research on exposure and inhibitory learning</w:t>
      </w:r>
      <w:r>
        <w:t xml:space="preserve"> </w:t>
      </w:r>
      <w:r>
        <w:t xml:space="preserve">(e.g.,</w:t>
      </w:r>
      <w:r>
        <w:t xml:space="preserve"> </w:t>
      </w:r>
      <w:hyperlink w:anchor="ref-Craske2008">
        <w:r>
          <w:rPr>
            <w:rStyle w:val="Hyperlink"/>
          </w:rPr>
          <w:t xml:space="preserve">Craske et al., 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involving homework feedback, encouragement, validation, psychoeducation, and answers to any questions. Therapists were allocated 15 minutes of work, per participant and week.</w:t>
      </w:r>
    </w:p>
    <w:bookmarkStart w:id="34"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34"/>
    <w:bookmarkEnd w:id="35"/>
    <w:bookmarkStart w:id="37"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440318"/>
            <wp:effectExtent b="0" l="0" r="0" t="0"/>
            <wp:docPr descr="A total of 210 participants were included in the study through randomization; they were further randomized into groups Unguided self-help, Guided self-help, and Waitlist, with 70 participants each." title="" id="1" name="Picture"/>
            <a:graphic>
              <a:graphicData uri="http://schemas.openxmlformats.org/drawingml/2006/picture">
                <pic:pic>
                  <pic:nvPicPr>
                    <pic:cNvPr descr="flowchart.png" id="0" name="Picture"/>
                    <pic:cNvPicPr>
                      <a:picLocks noChangeArrowheads="1" noChangeAspect="1"/>
                    </pic:cNvPicPr>
                  </pic:nvPicPr>
                  <pic:blipFill>
                    <a:blip r:embed="rId36"/>
                    <a:stretch>
                      <a:fillRect/>
                    </a:stretch>
                  </pic:blipFill>
                  <pic:spPr bwMode="auto">
                    <a:xfrm>
                      <a:off x="0" y="0"/>
                      <a:ext cx="5334000" cy="4440318"/>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Unguided self-help, Guided self-help, and Waitlist, with 70 participants each.</w:t>
      </w:r>
    </w:p>
    <w:bookmarkEnd w:id="37"/>
    <w:bookmarkStart w:id="39" w:name="analysis"/>
    <w:p>
      <w:pPr>
        <w:pStyle w:val="Heading2"/>
      </w:pPr>
      <w:r>
        <w:t xml:space="preserve">Analysis</w:t>
      </w:r>
    </w:p>
    <w:p>
      <w:pPr>
        <w:pStyle w:val="FirstParagraph"/>
      </w:pPr>
      <w:r>
        <w:t xml:space="preserve">All data were organized in one dataset and analyzed using R 4.2.0, using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w:t>
      </w:r>
      <w:r>
        <w:t xml:space="preserve">packages. All syntax is available at</w:t>
      </w:r>
      <w:r>
        <w:t xml:space="preserve"> </w:t>
      </w:r>
      <w:hyperlink r:id="rId38">
        <w:r>
          <w:rPr>
            <w:rStyle w:val="Hyperlink"/>
          </w:rPr>
          <w:t xml:space="preserve">https://github.com/hmep/r2fu/</w:t>
        </w:r>
      </w:hyperlink>
      <w:r>
        <w:t xml:space="preserve">, together with anonymized data.</w:t>
      </w:r>
    </w:p>
    <w:p>
      <w:pPr>
        <w:pStyle w:val="BodyText"/>
      </w:pPr>
      <w:r>
        <w:t xml:space="preserve">A linear mixed-effects model was fitted to estimate fixed effects of group, time, and group-time interaction, and random effects of participant (specifying a random intercept to control for individual differences), using an unstructured covariance pattern, and the REML method of estimation. Kenward-Roger approximations were used to estimate denominator degrees of freedom. Post-hoc pairwise comparisons of estimated marginal means were performed using T-tests. Significance of all post-hoc tests were decided with Bonferroni-corrected p-values. The proportions of participants showing reliable change and reaching clinical significance were determined following</w:t>
      </w:r>
      <w:r>
        <w:t xml:space="preserve"> </w:t>
      </w:r>
      <w:hyperlink w:anchor="ref-Jacobson1991">
        <w:r>
          <w:rPr>
            <w:rStyle w:val="Hyperlink"/>
          </w:rPr>
          <w:t xml:space="preserve">Jacobson &amp; Truax</w:t>
        </w:r>
      </w:hyperlink>
      <w:r>
        <w:t xml:space="preserve"> </w:t>
      </w:r>
      <w:r>
        <w:t xml:space="preserve">(</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values were filled in with the value from the previous time point.</w:t>
      </w:r>
    </w:p>
    <w:bookmarkEnd w:id="39"/>
    <w:bookmarkEnd w:id="40"/>
    <w:bookmarkStart w:id="51" w:name="results"/>
    <w:p>
      <w:pPr>
        <w:pStyle w:val="Heading1"/>
      </w:pPr>
      <w:r>
        <w:t xml:space="preserve">Results</w:t>
      </w:r>
    </w:p>
    <w:p>
      <w:pPr>
        <w:pStyle w:val="CaptionedFigure"/>
      </w:pPr>
      <w:r>
        <w:drawing>
          <wp:inline>
            <wp:extent cx="5334000" cy="4267200"/>
            <wp:effectExtent b="0" l="0" r="0" t="0"/>
            <wp:docPr descr="Plots of estimated fixed effects for two of the primary transdiagnostic scales used to measure skillful, assertive behaviors. Participants&lt;U+2019&gt; estimated means for all three measures exhibit increasing levels of assertiveness during the course of treatment in the Unguided self-help and Guided self-help groups, with negligable differences between the two treatment conditions. The trends continue beyond the Post time point, showing further increased estimated mean levels of assertive behaviors at 1-year Follow-up. The Waitlist group&lt;U+2019&gt;s means recovered slightly, although not significantly, between the Pre and Post time points, for all measures." title="" id="1" name="Picture"/>
            <a:graphic>
              <a:graphicData uri="http://schemas.openxmlformats.org/drawingml/2006/picture">
                <pic:pic>
                  <pic:nvPicPr>
                    <pic:cNvPr descr="r2fu-article_files/figure-docx/emm.primary.plots-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two of the primary transdiagnostic scales used to measure skillful, assertive behaviors. Participants&lt;U+2019&gt; estimated means for all three measures exhibit increasing levels of assertiveness during the course of treatment in the Unguided self-help and Guided self-help groups, with negligable differences between the two treatment conditions. The trends continue beyond the Post time point, showing further increased estimated mean levels of assertive behaviors at 1-year Follow-up. The Waitlist group&lt;U+2019&gt;s means recovered slightly, although not significantly, between the Pre and Post time points, for all measures.</w:t>
      </w:r>
    </w:p>
    <w:p>
      <w:pPr>
        <w:pStyle w:val="CaptionedFigure"/>
      </w:pPr>
      <w:r>
        <w:drawing>
          <wp:inline>
            <wp:extent cx="5334000" cy="4267200"/>
            <wp:effectExtent b="0" l="0" r="0" t="0"/>
            <wp:docPr descr="Plots of estimated fixed effects for secondary syndromal outcome measures. Participation in the Unguided self-help and Guide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to counteract even the slightest nocebo effect of the Waitlist condition, the most conservative estimate for the Waitlist control condition was used in each Follow-up between-group comparison; see dotted line for a visual representation of the selected time points." title="" id="1" name="Picture"/>
            <a:graphic>
              <a:graphicData uri="http://schemas.openxmlformats.org/drawingml/2006/picture">
                <pic:pic>
                  <pic:nvPicPr>
                    <pic:cNvPr descr="r2fu-article_files/figure-docx/emm.secondary.plots-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secondary syndromal outcome measures. Participation in the Unguided self-help and Guided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to counteract even the slightest nocebo effect of the Waitlist condition, the most conservative estimate for the Waitlist control condition was used in each Follow-up between-group comparison; see dotted line for a visual representation of the selected time points.</w:t>
      </w:r>
    </w:p>
    <w:bookmarkStart w:id="50" w:name="Xb25c33030a3c3a25653d944f8a887d465e89095"/>
    <w:p>
      <w:pPr>
        <w:pStyle w:val="Heading2"/>
      </w:pPr>
      <w:r>
        <w:t xml:space="preserve">Treatment efficacy, primary and secondary measures</w:t>
      </w:r>
    </w:p>
    <w:p>
      <w:pPr>
        <w:pStyle w:val="FirstParagraph"/>
      </w:pPr>
      <w:r>
        <w:t xml:space="preserve">Mixed models including groups Unguided self-help, Guided self-help, and Waitlist at time-points Pre, During and Post revealed time</w:t>
      </w:r>
      <w:r>
        <w:t xml:space="preserve"> </w:t>
      </w:r>
      <w:r>
        <w:t xml:space="preserve"> </w:t>
      </w:r>
      <w:r>
        <w:t xml:space="preserve">group interaction effects for all three measures of assertiveness: The Adaptive subscale of AAA-S,</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.001</m:t>
        </m:r>
      </m:oMath>
      <w:r>
        <w:t xml:space="preserve">, the Aggressive subscale of AAA-S,</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.001</m:t>
        </m:r>
      </m:oMath>
      <w:r>
        <w:t xml:space="preserve">. These interactions show that the random assignment to group conditions did have an effect over time on assertive behaviors. Similarily, mixed models for the syndromal symptoms revealed time</w:t>
      </w:r>
      <w:r>
        <w:t xml:space="preserve"> </w:t>
      </w:r>
      <w:r>
        <w:t xml:space="preserve"> </w:t>
      </w:r>
      <w:r>
        <w:t xml:space="preserve">group interaction effects for all three measures of anxiety and depression: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.001</m:t>
        </m:r>
      </m:oMath>
      <w:r>
        <w:t xml:space="preserv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.026</m:t>
        </m:r>
      </m:oMath>
      <w:r>
        <w:t xml:space="preserve">, and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.001</m:t>
        </m:r>
      </m:oMath>
      <w:r>
        <w:t xml:space="preserve">. Estimated mean levels of depressive mood and generalized and social anxiety symptoms were significantly affected by participation in the intervention.</w:t>
      </w:r>
    </w:p>
    <w:p>
      <w:pPr>
        <w:pStyle w:val="BodyText"/>
      </w:pPr>
      <w:r>
        <w:t xml:space="preserve">All subsequent post-hoc testing of marginal mean differences in pairwise comparisons included all groups and time-points.</w:t>
      </w:r>
    </w:p>
    <w:bookmarkStart w:id="43" w:name="X259a991c260b889c05c789cd47bdeff41252dda"/>
    <w:p>
      <w:pPr>
        <w:pStyle w:val="Heading3"/>
      </w:pPr>
      <w:r>
        <w:t xml:space="preserve">Between-group effects on assertive behaviors</w:t>
      </w:r>
    </w:p>
    <w:p>
      <w:pPr>
        <w:pStyle w:val="FirstParagraph"/>
      </w:pPr>
      <w:r>
        <w:t xml:space="preserve">Follow-up testing revealed significant effects between both treatment groups and the Waitlist group for all three primary measures of assertiveness at Post, that is at the end of the 8-week Respekt</w:t>
      </w:r>
      <w:r>
        <w:rPr>
          <w:vertAlign w:val="superscript"/>
        </w:rPr>
        <w:t xml:space="preserve">2</w:t>
      </w:r>
      <w:r>
        <w:t xml:space="preserve"> </w:t>
      </w:r>
      <w:r>
        <w:t xml:space="preserve">treatment program. It also revealed signigificant effects at Follow-up, that is 1 year after end of treatment, comparing against the Post time-point for the Waitlist condition. Table 2 summarizes significance tests of estimated marginal mean differences and effect sizes, including 95% confidence intervals (CI).</w:t>
      </w:r>
    </w:p>
    <w:p>
      <w:pPr>
        <w:pStyle w:val="BodyText"/>
      </w:pPr>
      <w:r>
        <w:t xml:space="preserve">Comparing against Waitlist, the effect of the Unguided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Large effects at Post were found also for aggressive assertiveness as measured with AAA-S Aggressive,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.008</m:t>
        </m:r>
      </m:oMath>
      <w:r>
        <w:t xml:space="preserve">,</w:t>
      </w:r>
      <w:r>
        <w:t xml:space="preserve"> </w:t>
      </w:r>
      <m:oMath>
        <m:r>
          <m:t>E</m:t>
        </m:r>
        <m:r>
          <m:t>S</m:t>
        </m:r>
      </m:oMath>
      <w:r>
        <w:t xml:space="preserve"> </w:t>
      </w:r>
      <w:r>
        <w:t xml:space="preserve">=</w:t>
      </w:r>
      <w:r>
        <w:t xml:space="preserve"> </w:t>
      </w:r>
      <m:oMath>
        <m:r>
          <m:t>.72</m:t>
        </m:r>
      </m:oMath>
      <w:r>
        <w:t xml:space="preserve">, and at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as well as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Similarily, the effect of the Guided self-help condition on AAA-S Adaptive was large at Post-treatment,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.95</m:t>
        </m:r>
      </m:oMath>
      <w:r>
        <w:t xml:space="preserve">, at 1-year Follow-up having grown to</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Large effects at Post were identified for AAA-S Aggressive,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.032</m:t>
        </m:r>
      </m:oMath>
      <w:r>
        <w:t xml:space="preserve">,</w:t>
      </w:r>
      <w:r>
        <w:t xml:space="preserve"> </w:t>
      </w:r>
      <m:oMath>
        <m:r>
          <m:t>E</m:t>
        </m:r>
        <m:r>
          <m:t>S</m:t>
        </m:r>
      </m:oMath>
      <w:r>
        <w:t xml:space="preserve"> </w:t>
      </w:r>
      <w:r>
        <w:t xml:space="preserve">=</w:t>
      </w:r>
      <w:r>
        <w:t xml:space="preserve"> </w:t>
      </w:r>
      <m:oMath>
        <m:r>
          <m:t>.62</m:t>
        </m:r>
      </m:oMath>
      <w:r>
        <w:t xml:space="preserve">, and at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.84</m:t>
        </m:r>
      </m:oMath>
      <w:r>
        <w:t xml:space="preserve">, as well as for the RAS measure</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w:t>
      </w:r>
      <w:r>
        <w:t xml:space="preserve">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w:t>
      </w:r>
      <w:r>
        <w:t xml:space="preserve">at Follow-up.</w:t>
      </w:r>
    </w:p>
    <w:p>
      <w:pPr>
        <w:pStyle w:val="BodyText"/>
      </w:pPr>
      <w:r>
        <w:t xml:space="preserve">Comparing the Unguided self-help and the Guided self-help treatment conditions, there was no significant difference neither at Post nor at Follow-up, revealing that participants working through the intervention on their own fared just as well as those who were supported by a therapist.</w:t>
      </w:r>
    </w:p>
    <w:bookmarkEnd w:id="43"/>
    <w:bookmarkStart w:id="44" w:name="X32f89f68c5936d30db2416b5e7d82b70ea5932b"/>
    <w:p>
      <w:pPr>
        <w:pStyle w:val="Heading3"/>
      </w:pPr>
      <w:r>
        <w:t xml:space="preserve">Between-group effects on syndromal symptoms of anxiety and depression</w:t>
      </w:r>
    </w:p>
    <w:p>
      <w:pPr>
        <w:pStyle w:val="FirstParagraph"/>
      </w:pPr>
      <w:r>
        <w:t xml:space="preserve">In post-hoc testing, no effect on alleviation of depressive symptoms measured with PHQ-9 at the Post time-point was found comparing the Waitlist and the Unguided self-help groups. Tentative evidence was found for support by therapists benefiting depressed participants, in that the Waitlist versus Guided self-help comparison for PHQ-9 revealed a moderate to large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.77</m:t>
        </m:r>
      </m:oMath>
      <w:r>
        <w:t xml:space="preserve">. However, this effect dissipated when the Follow-up comparison was instead made against the most conservative value collected in the Waitlist group, in this case from the Pre time-point; see Figure 3 for a visual exploration of a possible nocebo effect, that is symptomatic worsening over time due to self-fulfilling expectations of low mood among participants waiting in line for treatment.</w:t>
      </w:r>
    </w:p>
    <w:p>
      <w:pPr>
        <w:pStyle w:val="BodyText"/>
      </w:pPr>
      <w:r>
        <w:t xml:space="preserve">No between-group effects were found for GAD-7, comparing treatment groups against Waitlist. Also, there was no significant effect of the Unguided self-help condition on reduction of social anxiety symptoms measured with LSAS-SR at Post-treatment.</w:t>
      </w:r>
      <w:r>
        <w:t xml:space="preserve"> </w:t>
      </w:r>
      <w:r>
        <w:t xml:space="preserve"> </w:t>
      </w:r>
      <w:r>
        <w:t xml:space="preserve">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w:t>
      </w:r>
      <w:r>
        <w:t xml:space="preserve">for the Unguided self-help group, comparing against the lowest value collected, that is at During, half-way through the intervention; see Figure 3 for identification of time point. For the Guided self-help group, a moderate effect was found at Post,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.011</m:t>
        </m:r>
      </m:oMath>
      <w:r>
        <w:t xml:space="preserve">,</w:t>
      </w:r>
      <w:r>
        <w:t xml:space="preserve"> </w:t>
      </w:r>
      <m:oMath>
        <m:r>
          <m:t>E</m:t>
        </m:r>
        <m:r>
          <m:t>S</m:t>
        </m:r>
      </m:oMath>
      <w:r>
        <w:t xml:space="preserve"> </w:t>
      </w:r>
      <w:r>
        <w:t xml:space="preserve">=</w:t>
      </w:r>
      <w:r>
        <w:t xml:space="preserve"> </w:t>
      </w:r>
      <m:oMath>
        <m:r>
          <m:t>.67</m:t>
        </m:r>
      </m:oMath>
      <w:r>
        <w:t xml:space="preserve">, and a large effect at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.93</m:t>
        </m:r>
      </m:oMath>
      <w:r>
        <w:t xml:space="preserve">, this time comparing against the most conservative time-point, During, for the Waitlist.</w:t>
      </w:r>
    </w:p>
    <w:p>
      <w:pPr>
        <w:pStyle w:val="BodyText"/>
      </w:pPr>
      <w:r>
        <w:t xml:space="preserve">Thus, the 8-week Respekt</w:t>
      </w:r>
      <w:r>
        <w:rPr>
          <w:vertAlign w:val="superscript"/>
        </w:rPr>
        <w:t xml:space="preserve">2</w:t>
      </w:r>
      <w:r>
        <w:t xml:space="preserve"> </w:t>
      </w:r>
      <w:r>
        <w:t xml:space="preserve">intervention had no effect on either depression or generalized anxiety. However, it did have a pronounced effect on social anxiety. See table 2 for a summary of significant effects, including 95% CIs.</w:t>
      </w:r>
    </w:p>
    <w:bookmarkEnd w:id="44"/>
    <w:bookmarkStart w:id="45" w:name="notable-within-group-effects"/>
    <w:p>
      <w:pPr>
        <w:pStyle w:val="Heading3"/>
      </w:pPr>
      <w:r>
        <w:t xml:space="preserve">Notable within-group effects</w:t>
      </w:r>
    </w:p>
    <w:p>
      <w:pPr>
        <w:pStyle w:val="FirstParagraph"/>
      </w:pPr>
      <w:r>
        <w:t xml:space="preserve">As shown in table 2, participants in both treatment groups enjoyed sustained within-group effects on assertiveness at 1 year Follow-up when compared to the Pre-treatment measurement time point, measured with AAA-S Adaptive, AAA-S Aggressive and the RAS, revealing that assertive behaviors were still manifest well beyond the end of participation in the intervention. However, significant effects between the Post to Follow-up time-points were found only for two measures in the Guided self-help group, where AAA-S Adaptive and the RAS exhibited small to medium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.49</m:t>
        </m:r>
      </m:oMath>
      <w:r>
        <w:t xml:space="preserve"> </w:t>
      </w:r>
      <w:r>
        <w:t xml:space="preserve">respectively. In the Unguided self-help group, there was no difference between Post and Follow-up time points for either measure,</w:t>
      </w:r>
      <w:r>
        <w:t xml:space="preserve"> </w:t>
      </w:r>
      <m:oMath>
        <m:sSub>
          <m:e>
            <m:r>
              <m:t>p</m:t>
            </m:r>
          </m:e>
          <m:sub>
            <m:r>
              <m:t>​</m:t>
            </m:r>
          </m:sub>
        </m:sSub>
      </m:oMath>
      <w:r>
        <w:t xml:space="preserve"> </w:t>
      </w:r>
      <w:r>
        <w:t xml:space="preserve">=</w:t>
      </w:r>
      <w:r>
        <w:t xml:space="preserve"> </w:t>
      </w:r>
      <m:oMath>
        <m:r>
          <m:t>1.000</m:t>
        </m:r>
      </m:oMath>
      <w:r>
        <w:t xml:space="preserve"> </w:t>
      </w:r>
      <w:r>
        <w:t xml:space="preserve">and</w:t>
      </w:r>
      <w:r>
        <w:t xml:space="preserve"> </w:t>
      </w:r>
      <m:oMath>
        <m:sSub>
          <m:e>
            <m:r>
              <m:t>p</m:t>
            </m:r>
          </m:e>
          <m:sub>
            <m:r>
              <m:t>​</m:t>
            </m:r>
          </m:sub>
        </m:sSub>
      </m:oMath>
      <w:r>
        <w:t xml:space="preserve"> </w:t>
      </w:r>
      <w:r>
        <w:t xml:space="preserve">=</w:t>
      </w:r>
      <w:r>
        <w:t xml:space="preserve"> </w:t>
      </w:r>
      <m:oMath>
        <m:r>
          <m:t>.731</m:t>
        </m:r>
      </m:oMath>
      <w:r>
        <w:t xml:space="preserve">, evidencing that therapist support provided some benefit to participants’ ability to generalize adaptive assertive behaviors beyond the duration of the intervention.</w:t>
      </w:r>
    </w:p>
    <w:p>
      <w:pPr>
        <w:pStyle w:val="BodyText"/>
      </w:pPr>
      <w:r>
        <w:t xml:space="preserve">Among the secondary measures of syndromal symptoms, depression as captured with PHQ-9 had decreased significantly from Pre only in the Guided self-help group, and only at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.53</m:t>
        </m:r>
      </m:oMath>
      <w:r>
        <w:t xml:space="preserve">, implying that therapist support benefited depressed participants on a longer rather than shorter time scale.</w:t>
      </w:r>
    </w:p>
    <w:bookmarkEnd w:id="45"/>
    <w:bookmarkStart w:id="49" w:name="clinical-significant-change"/>
    <w:p>
      <w:pPr>
        <w:pStyle w:val="Heading3"/>
      </w:pPr>
      <w:r>
        <w:t xml:space="preserve">Clinical significant change</w:t>
      </w:r>
    </w:p>
    <w:bookmarkStart w:id="46" w:name="Xa39b37f015a18bad044b28713fcb26b136ecfc9"/>
    <w:p>
      <w:pPr>
        <w:pStyle w:val="Heading4"/>
      </w:pPr>
      <w:r>
        <w:t xml:space="preserve">Reliable recovery with regards to assertive behaviors</w:t>
      </w:r>
    </w:p>
    <w:p>
      <w:pPr>
        <w:pStyle w:val="FirstParagraph"/>
      </w:pPr>
      <w:r>
        <w:t xml:space="preserve">Adding to the picture that assertive behaviors increased as a consequence of participation in the intervention, there was a significant difference between the groups at Post in the proportion of participants that had recovered clinically, that is had moved across the cutoff for reliable and clinically significant change, with respect to AAA-S Adaptive,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.019</m:t>
        </m:r>
      </m:oMath>
      <w:r>
        <w:t xml:space="preserve"> </w:t>
      </w:r>
      <w:r>
        <w:t xml:space="preserve">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.001</m:t>
        </m:r>
      </m:oMath>
      <w:r>
        <w:t xml:space="preserve">. At Follow-up, the proportions of the</w:t>
      </w:r>
      <w:r>
        <w:t xml:space="preserve"> </w:t>
      </w:r>
      <w:r>
        <w:t xml:space="preserve">‘</w:t>
      </w:r>
      <w:r>
        <w:t xml:space="preserve">Recovered</w:t>
      </w:r>
      <w:r>
        <w:t xml:space="preserve">’</w:t>
      </w:r>
      <w:r>
        <w:t xml:space="preserve"> </w:t>
      </w:r>
      <w:r>
        <w:t xml:space="preserve">category were also significantly different for AAA-S Adaptive,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.002</m:t>
        </m:r>
      </m:oMath>
      <w:r>
        <w:t xml:space="preserve">, 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.001</m:t>
        </m:r>
      </m:oMath>
      <w:r>
        <w:t xml:space="preserve">. However, there was not difference in the proportions of recovered participants with regards to AAA-S Aggressive at either time-point.</w:t>
      </w:r>
    </w:p>
    <w:p>
      <w:pPr>
        <w:pStyle w:val="BodyText"/>
      </w:pPr>
      <w:r>
        <w:t xml:space="preserve">Notably, a number of participants,</w:t>
      </w:r>
      <w:r>
        <w:t xml:space="preserve"> </w:t>
      </w:r>
      <m:oMath>
        <m:r>
          <m:t>n</m:t>
        </m:r>
      </m:oMath>
      <w:r>
        <w:t xml:space="preserve"> </w:t>
      </w:r>
      <w:r>
        <w:t xml:space="preserve">=</w:t>
      </w:r>
      <w:r>
        <w:t xml:space="preserve"> </w:t>
      </w:r>
      <m:oMath>
        <m:r>
          <m:t>13</m:t>
        </m:r>
      </m:oMath>
      <w:r>
        <w:t xml:space="preserve"> </w:t>
      </w:r>
      <w:r>
        <w:t xml:space="preserve">(</w:t>
      </w:r>
      <m:oMath>
        <m:r>
          <m:t>19</m:t>
        </m:r>
      </m:oMath>
      <w:r>
        <w:t xml:space="preserve">%),</w:t>
      </w:r>
      <w:r>
        <w:t xml:space="preserve"> </w:t>
      </w:r>
      <m:oMath>
        <m:r>
          <m:t>Z</m:t>
        </m:r>
      </m:oMath>
      <w:r>
        <w:t xml:space="preserve">(2) =</w:t>
      </w:r>
      <w:r>
        <w:t xml:space="preserve"> </w:t>
      </w:r>
      <m:oMath>
        <m:r>
          <m:rPr>
            <m:sty m:val="p"/>
          </m:rPr>
          <m:t>−</m:t>
        </m:r>
        <m:r>
          <m:t>2.49</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 </w:t>
      </w:r>
      <w:r>
        <w:t xml:space="preserve">in the Unguided self-help group enjoyed clinical recovery with regards to adaptive assertiveness measured with AAA-S Adaptive at Post, increasing to</w:t>
      </w:r>
      <w:r>
        <w:t xml:space="preserve"> </w:t>
      </w:r>
      <m:oMath>
        <m:r>
          <m:t>n</m:t>
        </m:r>
      </m:oMath>
      <w:r>
        <w:t xml:space="preserve"> </w:t>
      </w:r>
      <w:r>
        <w:t xml:space="preserve">=</w:t>
      </w:r>
      <w:r>
        <w:t xml:space="preserve"> </w:t>
      </w:r>
      <m:oMath>
        <m:r>
          <m:t>15</m:t>
        </m:r>
      </m:oMath>
      <w:r>
        <w:t xml:space="preserve"> </w:t>
      </w:r>
      <w:r>
        <w:t xml:space="preserve">(</w:t>
      </w:r>
      <m:oMath>
        <m:r>
          <m:t>22</m:t>
        </m:r>
      </m:oMath>
      <w:r>
        <w:t xml:space="preserve">%),</w:t>
      </w:r>
      <w:r>
        <w:t xml:space="preserve"> </w:t>
      </w:r>
      <m:oMath>
        <m:r>
          <m:t>Z</m:t>
        </m:r>
      </m:oMath>
      <w:r>
        <w:t xml:space="preserve">(2) =</w:t>
      </w:r>
      <w:r>
        <w:t xml:space="preserve"> </w:t>
      </w:r>
      <m:oMath>
        <m:r>
          <m:rPr>
            <m:sty m:val="p"/>
          </m:rPr>
          <m:t>−</m:t>
        </m:r>
        <m:r>
          <m:t>2.74</m:t>
        </m:r>
      </m:oMath>
      <w:r>
        <w:t xml:space="preserve">,</w:t>
      </w:r>
      <w:r>
        <w:t xml:space="preserve"> </w:t>
      </w:r>
      <m:oMath>
        <m:sSub>
          <m:e>
            <m:r>
              <m:t>p</m:t>
            </m:r>
          </m:e>
          <m:sub>
            <m:r>
              <m:t>B</m:t>
            </m:r>
            <m:r>
              <m:t>o</m:t>
            </m:r>
            <m:r>
              <m:t>n</m:t>
            </m:r>
            <m:r>
              <m:t>f</m:t>
            </m:r>
          </m:sub>
        </m:sSub>
      </m:oMath>
      <w:r>
        <w:t xml:space="preserve"> </w:t>
      </w:r>
      <w:r>
        <w:t xml:space="preserve">=</w:t>
      </w:r>
      <w:r>
        <w:t xml:space="preserve"> </w:t>
      </w:r>
      <m:oMath>
        <m:r>
          <m:t>.019</m:t>
        </m:r>
      </m:oMath>
      <w:r>
        <w:t xml:space="preserve"> </w:t>
      </w:r>
      <w:r>
        <w:t xml:space="preserve">at Follow-up. In the Guided self-help group the number of recovered participants at Post was non-significantly different from that of the Waitlist, while significantly different at Followup,</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3.28</m:t>
        </m:r>
      </m:oMath>
      <w:r>
        <w:t xml:space="preserve">,</w:t>
      </w:r>
      <w:r>
        <w:t xml:space="preserve"> </w:t>
      </w:r>
      <m:oMath>
        <m:sSub>
          <m:e>
            <m:r>
              <m:t>p</m:t>
            </m:r>
          </m:e>
          <m:sub>
            <m:r>
              <m:t>B</m:t>
            </m:r>
            <m:r>
              <m:t>o</m:t>
            </m:r>
            <m:r>
              <m:t>n</m:t>
            </m:r>
            <m:r>
              <m:t>f</m:t>
            </m:r>
          </m:sub>
        </m:sSub>
      </m:oMath>
      <w:r>
        <w:t xml:space="preserve"> </w:t>
      </w:r>
      <w:r>
        <w:t xml:space="preserve">=</w:t>
      </w:r>
      <w:r>
        <w:t xml:space="preserve"> </w:t>
      </w:r>
      <m:oMath>
        <m:r>
          <m:t>.003</m:t>
        </m:r>
      </m:oMath>
      <w:r>
        <w:t xml:space="preserve">. For assertiveness assessed with the RAS, the corresponding numbers (and percentages) were</w:t>
      </w:r>
      <w:r>
        <w:t xml:space="preserve"> </w:t>
      </w:r>
      <m:oMath>
        <m:r>
          <m:t>n</m:t>
        </m:r>
      </m:oMath>
      <w:r>
        <w:t xml:space="preserve"> </w:t>
      </w:r>
      <w:r>
        <w:t xml:space="preserve">=</w:t>
      </w:r>
      <w:r>
        <w:t xml:space="preserve"> </w:t>
      </w:r>
      <m:oMath>
        <m:r>
          <m:t>17</m:t>
        </m:r>
      </m:oMath>
      <w:r>
        <w:t xml:space="preserve"> </w:t>
      </w:r>
      <w:r>
        <w:t xml:space="preserve">(</w:t>
      </w:r>
      <m:oMath>
        <m:r>
          <m:t>25</m:t>
        </m:r>
      </m:oMath>
      <w:r>
        <w:t xml:space="preserve">%),</w:t>
      </w:r>
      <w:r>
        <w:t xml:space="preserve"> </w:t>
      </w:r>
      <m:oMath>
        <m:r>
          <m:t>Z</m:t>
        </m:r>
      </m:oMath>
      <w:r>
        <w:t xml:space="preserve">(2) =</w:t>
      </w:r>
      <w:r>
        <w:t xml:space="preserve"> </w:t>
      </w:r>
      <m:oMath>
        <m:r>
          <m:rPr>
            <m:sty m:val="p"/>
          </m:rPr>
          <m:t>−</m:t>
        </m:r>
        <m:r>
          <m:t>3.07</m:t>
        </m:r>
      </m:oMath>
      <w:r>
        <w:t xml:space="preserve">,</w:t>
      </w:r>
      <w:r>
        <w:t xml:space="preserve"> </w:t>
      </w:r>
      <m:oMath>
        <m:sSub>
          <m:e>
            <m:r>
              <m:t>p</m:t>
            </m:r>
          </m:e>
          <m:sub>
            <m:r>
              <m:t>B</m:t>
            </m:r>
            <m:r>
              <m:t>o</m:t>
            </m:r>
            <m:r>
              <m:t>n</m:t>
            </m:r>
            <m:r>
              <m:t>f</m:t>
            </m:r>
          </m:sub>
        </m:sSub>
      </m:oMath>
      <w:r>
        <w:t xml:space="preserve"> </w:t>
      </w:r>
      <w:r>
        <w:t xml:space="preserve">=</w:t>
      </w:r>
      <w:r>
        <w:t xml:space="preserve"> </w:t>
      </w:r>
      <m:oMath>
        <m:r>
          <m:t>.007</m:t>
        </m:r>
      </m:oMath>
      <w:r>
        <w:t xml:space="preserve"> </w:t>
      </w:r>
      <w:r>
        <w:t xml:space="preserve">for the Unguided self-help condition and</w:t>
      </w:r>
      <w:r>
        <w:t xml:space="preserve"> </w:t>
      </w:r>
      <m:oMath>
        <m:r>
          <m:t>n</m:t>
        </m:r>
      </m:oMath>
      <w:r>
        <w:t xml:space="preserve"> </w:t>
      </w:r>
      <w:r>
        <w:t xml:space="preserve">=</w:t>
      </w:r>
      <w:r>
        <w:t xml:space="preserve"> </w:t>
      </w:r>
      <m:oMath>
        <m:r>
          <m:t>20</m:t>
        </m:r>
      </m:oMath>
      <w:r>
        <w:t xml:space="preserve"> </w:t>
      </w:r>
      <w:r>
        <w:t xml:space="preserve">(</w:t>
      </w:r>
      <m:oMath>
        <m:r>
          <m:t>29</m:t>
        </m:r>
      </m:oMath>
      <w:r>
        <w:t xml:space="preserve">%),</w:t>
      </w:r>
      <w:r>
        <w:t xml:space="preserve"> </w:t>
      </w:r>
      <m:oMath>
        <m:r>
          <m:t>Z</m:t>
        </m:r>
      </m:oMath>
      <w:r>
        <w:t xml:space="preserve">(2) =</w:t>
      </w:r>
      <w:r>
        <w:t xml:space="preserve"> </w:t>
      </w:r>
      <m:oMath>
        <m:r>
          <m:rPr>
            <m:sty m:val="p"/>
          </m:rPr>
          <m:t>−</m:t>
        </m:r>
        <m:r>
          <m:t>3.57</m:t>
        </m:r>
      </m:oMath>
      <w:r>
        <w:t xml:space="preserve">,</w:t>
      </w:r>
      <w:r>
        <w:t xml:space="preserve"> </w:t>
      </w:r>
      <m:oMath>
        <m:sSub>
          <m:e>
            <m:r>
              <m:t>p</m:t>
            </m:r>
          </m:e>
          <m:sub>
            <m:r>
              <m:t>B</m:t>
            </m:r>
            <m:r>
              <m:t>o</m:t>
            </m:r>
            <m:r>
              <m:t>n</m:t>
            </m:r>
            <m:r>
              <m:t>f</m:t>
            </m:r>
          </m:sub>
        </m:sSub>
      </m:oMath>
      <w:r>
        <w:t xml:space="preserve"> </w:t>
      </w:r>
      <w:r>
        <w:t xml:space="preserve">=</w:t>
      </w:r>
      <w:r>
        <w:t xml:space="preserve"> </w:t>
      </w:r>
      <m:oMath>
        <m:r>
          <m:t>.001</m:t>
        </m:r>
      </m:oMath>
      <w:r>
        <w:t xml:space="preserve"> </w:t>
      </w:r>
      <w:r>
        <w:t xml:space="preserve">for the Guided self-help condition at Post, increasing to</w:t>
      </w:r>
      <w:r>
        <w:t xml:space="preserve"> </w:t>
      </w:r>
      <m:oMath>
        <m:r>
          <m:t>n</m:t>
        </m:r>
      </m:oMath>
      <w:r>
        <w:t xml:space="preserve"> </w:t>
      </w:r>
      <w:r>
        <w:t xml:space="preserve">=</w:t>
      </w:r>
      <w:r>
        <w:t xml:space="preserve"> </w:t>
      </w:r>
      <m:oMath>
        <m:r>
          <m:t>21</m:t>
        </m:r>
      </m:oMath>
      <w:r>
        <w:t xml:space="preserve"> </w:t>
      </w:r>
      <w:r>
        <w:t xml:space="preserve">(</w:t>
      </w:r>
      <m:oMath>
        <m:r>
          <m:t>31</m:t>
        </m:r>
      </m:oMath>
      <w:r>
        <w:t xml:space="preserve">%),</w:t>
      </w:r>
      <w:r>
        <w:t xml:space="preserve"> </w:t>
      </w:r>
      <m:oMath>
        <m:r>
          <m:t>Z</m:t>
        </m:r>
      </m:oMath>
      <w:r>
        <w:t xml:space="preserve">(2) =</w:t>
      </w:r>
      <w:r>
        <w:t xml:space="preserve"> </w:t>
      </w:r>
      <m:oMath>
        <m:r>
          <m:rPr>
            <m:sty m:val="p"/>
          </m:rPr>
          <m:t>−</m:t>
        </m:r>
        <m:r>
          <m:t>3.66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w:t>
      </w:r>
      <w:r>
        <w:t xml:space="preserve">and</w:t>
      </w:r>
      <w:r>
        <w:t xml:space="preserve"> </w:t>
      </w:r>
      <m:oMath>
        <m:r>
          <m:t>n</m:t>
        </m:r>
      </m:oMath>
      <w:r>
        <w:t xml:space="preserve"> </w:t>
      </w:r>
      <w:r>
        <w:t xml:space="preserve">=</w:t>
      </w:r>
      <w:r>
        <w:t xml:space="preserve"> </w:t>
      </w:r>
      <m:oMath>
        <m:r>
          <m:t>25</m:t>
        </m:r>
      </m:oMath>
      <w:r>
        <w:t xml:space="preserve"> </w:t>
      </w:r>
      <w:r>
        <w:t xml:space="preserve">(</w:t>
      </w:r>
      <m:oMath>
        <m:r>
          <m:t>36</m:t>
        </m:r>
      </m:oMath>
      <w:r>
        <w:t xml:space="preserve">%),</w:t>
      </w:r>
      <w:r>
        <w:t xml:space="preserve"> </w:t>
      </w:r>
      <m:oMath>
        <m:r>
          <m:t>Z</m:t>
        </m:r>
      </m:oMath>
      <w:r>
        <w:t xml:space="preserve">(2) =</w:t>
      </w:r>
      <w:r>
        <w:t xml:space="preserve"> </w:t>
      </w:r>
      <m:oMath>
        <m:r>
          <m:rPr>
            <m:sty m:val="p"/>
          </m:rPr>
          <m:t>−</m:t>
        </m:r>
        <m:r>
          <m:t>4.30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w:t>
      </w:r>
      <w:r>
        <w:t xml:space="preserve">respectively at Follow-up.</w:t>
      </w:r>
    </w:p>
    <w:p>
      <w:pPr>
        <w:pStyle w:val="BodyText"/>
      </w:pPr>
      <w:r>
        <w:t xml:space="preserve">Thus, the clinical significance findings are mostly in agreement with the statistical analysis of change, confirming that adaptive expressions of assertiveness in both treatment groups increased Pre to Post, and beyond, while deviating with regards to aggressive expressions.</w:t>
      </w:r>
    </w:p>
    <w:bookmarkEnd w:id="46"/>
    <w:bookmarkStart w:id="47" w:name="Xc31864b920d4665e0645bf5e1f2a5242419c5f5"/>
    <w:p>
      <w:pPr>
        <w:pStyle w:val="Heading4"/>
      </w:pPr>
      <w:r>
        <w:t xml:space="preserve">Reliable recovery with regards to syndromal symptoms</w:t>
      </w:r>
    </w:p>
    <w:p>
      <w:pPr>
        <w:pStyle w:val="FirstParagraph"/>
      </w:pPr>
      <w:r>
        <w:t xml:space="preserve">As for the syndromal symptoms, the proportions of those of social phobia as captured with LSAS-SR was significantly different between groups at Post,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.023</m:t>
        </m:r>
      </m:oMath>
      <w:r>
        <w:t xml:space="preserve">. However, there was no difference between groups at Post with regards to PHQ-9 or GAD-7. At Follow-up, the difference in proportions of recovery between conditions was significant for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.003</m:t>
        </m:r>
      </m:oMath>
      <w:r>
        <w:t xml:space="preserve">, and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.001</m:t>
        </m:r>
      </m:oMath>
      <w:r>
        <w:t xml:space="preserve">, but not for GAD-7.</w:t>
      </w:r>
    </w:p>
    <w:p>
      <w:pPr>
        <w:pStyle w:val="BodyText"/>
      </w:pPr>
      <w:r>
        <w:t xml:space="preserve">Clinical recovery measured with PHQ-9 Pre to Post indicate that the intervention, compared to Waitlist, was effective in moving a number of participants out of depression in the Guided self-help group,</w:t>
      </w:r>
      <w:r>
        <w:t xml:space="preserve"> </w:t>
      </w:r>
      <m:oMath>
        <m:r>
          <m:t>n</m:t>
        </m:r>
      </m:oMath>
      <w:r>
        <w:t xml:space="preserve"> </w:t>
      </w:r>
      <w:r>
        <w:t xml:space="preserve">=</w:t>
      </w:r>
      <w:r>
        <w:t xml:space="preserve"> </w:t>
      </w:r>
      <m:oMath>
        <m:r>
          <m:t>16</m:t>
        </m:r>
      </m:oMath>
      <w:r>
        <w:t xml:space="preserve"> </w:t>
      </w:r>
      <w:r>
        <w:t xml:space="preserve">(</w:t>
      </w:r>
      <m:oMath>
        <m:r>
          <m:t>23</m:t>
        </m:r>
      </m:oMath>
      <w:r>
        <w:t xml:space="preserve">%),</w:t>
      </w:r>
      <w:r>
        <w:t xml:space="preserve"> </w:t>
      </w:r>
      <m:oMath>
        <m:r>
          <m:t>Z</m:t>
        </m:r>
      </m:oMath>
      <w:r>
        <w:t xml:space="preserve">(2) =</w:t>
      </w:r>
      <w:r>
        <w:t xml:space="preserve"> </w:t>
      </w:r>
      <m:oMath>
        <m:r>
          <m:rPr>
            <m:sty m:val="p"/>
          </m:rPr>
          <m:t>−</m:t>
        </m:r>
        <m:r>
          <m:t>3.10</m:t>
        </m:r>
      </m:oMath>
      <w:r>
        <w:t xml:space="preserve">,</w:t>
      </w:r>
      <w:r>
        <w:t xml:space="preserve"> </w:t>
      </w:r>
      <m:oMath>
        <m:sSub>
          <m:e>
            <m:r>
              <m:t>p</m:t>
            </m:r>
          </m:e>
          <m:sub>
            <m:r>
              <m:t>B</m:t>
            </m:r>
            <m:r>
              <m:t>o</m:t>
            </m:r>
            <m:r>
              <m:t>n</m:t>
            </m:r>
            <m:r>
              <m:t>f</m:t>
            </m:r>
          </m:sub>
        </m:sSub>
      </m:oMath>
      <w:r>
        <w:t xml:space="preserve"> </w:t>
      </w:r>
      <w:r>
        <w:t xml:space="preserve">=</w:t>
      </w:r>
      <w:r>
        <w:t xml:space="preserve"> </w:t>
      </w:r>
      <m:oMath>
        <m:r>
          <m:t>.006</m:t>
        </m:r>
      </m:oMath>
      <w:r>
        <w:t xml:space="preserve">, but not so in Unguided self-help group, pointing to that interaction with therapists contributes to faster recovery for depressed participants. In addition, a significant number of participants in the Unguided self-help group recovered from symptoms of social anxiety as captured with LSAS-SR,</w:t>
      </w:r>
      <w:r>
        <w:t xml:space="preserve"> </w:t>
      </w:r>
      <m:oMath>
        <m:r>
          <m:t>n</m:t>
        </m:r>
      </m:oMath>
      <w:r>
        <w:t xml:space="preserve"> </w:t>
      </w:r>
      <w:r>
        <w:t xml:space="preserve">=</w:t>
      </w:r>
      <w:r>
        <w:t xml:space="preserve"> </w:t>
      </w:r>
      <m:oMath>
        <m:r>
          <m:t>11</m:t>
        </m:r>
      </m:oMath>
      <w:r>
        <w:t xml:space="preserve"> </w:t>
      </w:r>
      <w:r>
        <w:t xml:space="preserve">(</w:t>
      </w:r>
      <m:oMath>
        <m:r>
          <m:t>16</m:t>
        </m:r>
      </m:oMath>
      <w:r>
        <w:t xml:space="preserve">%),</w:t>
      </w:r>
      <w:r>
        <w:t xml:space="preserve"> </w:t>
      </w:r>
      <m:oMath>
        <m:r>
          <m:t>Z</m:t>
        </m:r>
      </m:oMath>
      <w:r>
        <w:t xml:space="preserve">(2) =</w:t>
      </w:r>
      <w:r>
        <w:t xml:space="preserve"> </w:t>
      </w:r>
      <m:oMath>
        <m:r>
          <m:rPr>
            <m:sty m:val="p"/>
          </m:rPr>
          <m:t>−</m:t>
        </m:r>
        <m:r>
          <m:t>2.43</m:t>
        </m:r>
      </m:oMath>
      <w:r>
        <w:t xml:space="preserve">,</w:t>
      </w:r>
      <w:r>
        <w:t xml:space="preserve"> </w:t>
      </w:r>
      <m:oMath>
        <m:sSub>
          <m:e>
            <m:r>
              <m:t>p</m:t>
            </m:r>
          </m:e>
          <m:sub>
            <m:r>
              <m:t>B</m:t>
            </m:r>
            <m:r>
              <m:t>o</m:t>
            </m:r>
            <m:r>
              <m:t>n</m:t>
            </m:r>
            <m:r>
              <m:t>f</m:t>
            </m:r>
          </m:sub>
        </m:sSub>
      </m:oMath>
      <w:r>
        <w:t xml:space="preserve"> </w:t>
      </w:r>
      <w:r>
        <w:t xml:space="preserve">=</w:t>
      </w:r>
      <w:r>
        <w:t xml:space="preserve"> </w:t>
      </w:r>
      <m:oMath>
        <m:r>
          <m:t>.045</m:t>
        </m:r>
      </m:oMath>
      <w:r>
        <w:t xml:space="preserve"> </w:t>
      </w:r>
      <w:r>
        <w:t xml:space="preserve">at Post, increasing to</w:t>
      </w:r>
      <w:r>
        <w:t xml:space="preserve"> </w:t>
      </w:r>
      <m:oMath>
        <m:r>
          <m:t>n</m:t>
        </m:r>
      </m:oMath>
      <w:r>
        <w:t xml:space="preserve"> </w:t>
      </w:r>
      <w:r>
        <w:t xml:space="preserve">=</w:t>
      </w:r>
      <w:r>
        <w:t xml:space="preserve"> </w:t>
      </w:r>
      <m:oMath>
        <m:r>
          <m:t>14</m:t>
        </m:r>
      </m:oMath>
      <w:r>
        <w:t xml:space="preserve"> </w:t>
      </w:r>
      <w:r>
        <w:t xml:space="preserve">(</w:t>
      </w:r>
      <m:oMath>
        <m:r>
          <m:t>21</m:t>
        </m:r>
      </m:oMath>
      <w:r>
        <w:t xml:space="preserve">%),</w:t>
      </w:r>
      <w:r>
        <w:t xml:space="preserve"> </w:t>
      </w:r>
      <m:oMath>
        <m:r>
          <m:t>Z</m:t>
        </m:r>
      </m:oMath>
      <w:r>
        <w:t xml:space="preserve">(2) =</w:t>
      </w:r>
      <w:r>
        <w:t xml:space="preserve"> </w:t>
      </w:r>
      <m:oMath>
        <m:r>
          <m:rPr>
            <m:sty m:val="p"/>
          </m:rPr>
          <m:t>−</m:t>
        </m:r>
        <m:r>
          <m:t>2.80</m:t>
        </m:r>
      </m:oMath>
      <w:r>
        <w:t xml:space="preserve">,</w:t>
      </w:r>
      <w:r>
        <w:t xml:space="preserve"> </w:t>
      </w:r>
      <m:oMath>
        <m:sSub>
          <m:e>
            <m:r>
              <m:t>p</m:t>
            </m:r>
          </m:e>
          <m:sub>
            <m:r>
              <m:t>B</m:t>
            </m:r>
            <m:r>
              <m:t>o</m:t>
            </m:r>
            <m:r>
              <m:t>n</m:t>
            </m:r>
            <m:r>
              <m:t>f</m:t>
            </m:r>
          </m:sub>
        </m:sSub>
      </m:oMath>
      <w:r>
        <w:t xml:space="preserve"> </w:t>
      </w:r>
      <w:r>
        <w:t xml:space="preserve">=</w:t>
      </w:r>
      <w:r>
        <w:t xml:space="preserve"> </w:t>
      </w:r>
      <m:oMath>
        <m:r>
          <m:t>.015</m:t>
        </m:r>
      </m:oMath>
      <w:r>
        <w:t xml:space="preserve"> </w:t>
      </w:r>
      <w:r>
        <w:t xml:space="preserve">at Follow-up. In the Guided self-help condition, there was no significant number of recovered participants compared to Waitlist at Post, but</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3.59</m:t>
        </m:r>
      </m:oMath>
      <w:r>
        <w:t xml:space="preserve">,</w:t>
      </w:r>
      <w:r>
        <w:t xml:space="preserve"> </w:t>
      </w:r>
      <m:oMath>
        <m:sSub>
          <m:e>
            <m:r>
              <m:t>p</m:t>
            </m:r>
          </m:e>
          <m:sub>
            <m:r>
              <m:t>B</m:t>
            </m:r>
            <m:r>
              <m:t>o</m:t>
            </m:r>
            <m:r>
              <m:t>n</m:t>
            </m:r>
            <m:r>
              <m:t>f</m:t>
            </m:r>
          </m:sub>
        </m:sSub>
      </m:oMath>
      <w:r>
        <w:t xml:space="preserve"> </w:t>
      </w:r>
      <w:r>
        <w:t xml:space="preserve">=</w:t>
      </w:r>
      <w:r>
        <w:t xml:space="preserve"> </w:t>
      </w:r>
      <m:oMath>
        <m:r>
          <m:t>.001</m:t>
        </m:r>
      </m:oMath>
      <w:r>
        <w:t xml:space="preserve"> </w:t>
      </w:r>
      <w:r>
        <w:t xml:space="preserve">at Follow-up. These clinical findings pick up that symptoms of social anxiety continued to subside in the year following treatment, to the point that some participants had recovered. Combined with the clinically relevant recovery for assertive behaviors measured with AAA-S Adaptive and RAS, this could be a sign of generalization of assertive behaviors having continued to occur after the end of treatment, facilitating extinction of autonomous anxiety responses and/or reducing avoidance and escape behaviors from them.</w:t>
      </w:r>
    </w:p>
    <w:p>
      <w:pPr>
        <w:pStyle w:val="BodyText"/>
      </w:pPr>
      <w:r>
        <w:t xml:space="preserve">Table 3 gives a summary of numbers and proportions of clinical recovery in the different groups, and the significance, if any, of pairwise tests of those proportions against those of the Waitlist.</w:t>
      </w:r>
    </w:p>
    <w:bookmarkEnd w:id="47"/>
    <w:bookmarkStart w:id="48" w:name="reliable-deterioration-and-harm"/>
    <w:p>
      <w:pPr>
        <w:pStyle w:val="Heading4"/>
      </w:pPr>
      <w:r>
        <w:t xml:space="preserve">Reliable deterioration and harm</w:t>
      </w:r>
    </w:p>
    <w:p>
      <w:pPr>
        <w:pStyle w:val="FirstParagraph"/>
      </w:pPr>
      <w:r>
        <w:t xml:space="preserve">Checking for any signs of reliable harm, the most severe form of deterioration, a significant difference between groups in clinical significant change was found for the AAA-S Aggressive measure,</w:t>
      </w:r>
      <w:r>
        <w:t xml:space="preserve"> </w:t>
      </w:r>
      <m:oMath>
        <m:sSup>
          <m:e>
            <m:r>
              <m:t>χ</m:t>
            </m:r>
          </m:e>
          <m:sup>
            <m:r>
              <m:t>2</m:t>
            </m:r>
          </m:sup>
        </m:sSup>
      </m:oMath>
      <w:r>
        <w:t xml:space="preserve">(</w:t>
      </w:r>
      <m:oMath>
        <m:r>
          <m:t>2</m:t>
        </m:r>
      </m:oMath>
      <w:r>
        <w:t xml:space="preserve">) = 6.1,</w:t>
      </w:r>
      <w:r>
        <w:t xml:space="preserve"> </w:t>
      </w:r>
      <m:oMath>
        <m:sSub>
          <m:e>
            <m:r>
              <m:t>p</m:t>
            </m:r>
          </m:e>
          <m:sub>
            <m:r>
              <m:t>​</m:t>
            </m:r>
          </m:sub>
        </m:sSub>
      </m:oMath>
      <w:r>
        <w:t xml:space="preserve"> </w:t>
      </w:r>
      <w:r>
        <w:t xml:space="preserve">=</w:t>
      </w:r>
      <w:r>
        <w:t xml:space="preserve"> </w:t>
      </w:r>
      <m:oMath>
        <m:r>
          <m:t>.047</m:t>
        </m:r>
      </m:oMath>
      <w:r>
        <w:t xml:space="preserve">, as</w:t>
      </w:r>
      <w:r>
        <w:t xml:space="preserve"> </w:t>
      </w:r>
      <m:oMath>
        <m:r>
          <m:t>n</m:t>
        </m:r>
      </m:oMath>
      <w:r>
        <w:t xml:space="preserve"> </w:t>
      </w:r>
      <w:r>
        <w:t xml:space="preserve">=</w:t>
      </w:r>
      <w:r>
        <w:t xml:space="preserve"> </w:t>
      </w:r>
      <m:oMath>
        <m:r>
          <m:t>3</m:t>
        </m:r>
      </m:oMath>
      <w:r>
        <w:t xml:space="preserve"> </w:t>
      </w:r>
      <w:r>
        <w:t xml:space="preserve">participants (</w:t>
      </w:r>
      <m:oMath>
        <m:r>
          <m:t>4</m:t>
        </m:r>
      </m:oMath>
      <w:r>
        <w:t xml:space="preserve">%) had reached below the threshold for the category</w:t>
      </w:r>
      <w:r>
        <w:t xml:space="preserve"> </w:t>
      </w:r>
      <w:r>
        <w:t xml:space="preserve">‘</w:t>
      </w:r>
      <w:r>
        <w:t xml:space="preserve">Harmed</w:t>
      </w:r>
      <w:r>
        <w:t xml:space="preserve">’</w:t>
      </w:r>
      <w:r>
        <w:t xml:space="preserve"> </w:t>
      </w:r>
      <w:r>
        <w:t xml:space="preserve">while waiting to enter into treatment (see Table 3). However, post hoc testing did not reveal any significant pairwise differences between any of the treatment groups and the Waitlist group,</w:t>
      </w:r>
      <w:r>
        <w:t xml:space="preserve"> </w:t>
      </w:r>
      <m:oMath>
        <m:sSub>
          <m:e>
            <m:r>
              <m:t>p</m:t>
            </m:r>
          </m:e>
          <m:sub>
            <m:r>
              <m:t>B</m:t>
            </m:r>
            <m:r>
              <m:t>o</m:t>
            </m:r>
            <m:r>
              <m:t>n</m:t>
            </m:r>
            <m:r>
              <m:t>f</m:t>
            </m:r>
          </m:sub>
        </m:sSub>
      </m:oMath>
      <w:r>
        <w:t xml:space="preserve"> </w:t>
      </w:r>
      <w:r>
        <w:t xml:space="preserve">=</w:t>
      </w:r>
      <w:r>
        <w:t xml:space="preserve"> </w:t>
      </w:r>
      <m:oMath>
        <m:r>
          <m:t>.094</m:t>
        </m:r>
      </m:oMath>
      <w:r>
        <w:t xml:space="preserve"> </w:t>
      </w:r>
      <w:r>
        <w:t xml:space="preserve">and</w:t>
      </w:r>
      <w:r>
        <w:t xml:space="preserve"> </w:t>
      </w:r>
      <m:oMath>
        <m:sSub>
          <m:e>
            <m:r>
              <m:t>p</m:t>
            </m:r>
          </m:e>
          <m:sub>
            <m:r>
              <m:t>B</m:t>
            </m:r>
            <m:r>
              <m:t>o</m:t>
            </m:r>
            <m:r>
              <m:t>n</m:t>
            </m:r>
            <m:r>
              <m:t>f</m:t>
            </m:r>
          </m:sub>
        </m:sSub>
      </m:oMath>
      <w:r>
        <w:t xml:space="preserve"> </w:t>
      </w:r>
      <w:r>
        <w:t xml:space="preserve">=</w:t>
      </w:r>
      <w:r>
        <w:t xml:space="preserve"> </w:t>
      </w:r>
      <m:oMath>
        <m:r>
          <m:t>.100</m:t>
        </m:r>
      </m:oMath>
      <w:r>
        <w:t xml:space="preserve">. No other instances of suspected reliable harm Pre to Post or Pre to Follow-up were identified for either measure. The next worst category in assessing reliable change is</w:t>
      </w:r>
      <w:r>
        <w:t xml:space="preserve"> </w:t>
      </w:r>
      <w:r>
        <w:t xml:space="preserve">‘</w:t>
      </w:r>
      <w:r>
        <w:t xml:space="preserve">Deteriorated</w:t>
      </w:r>
      <w:r>
        <w:t xml:space="preserve">’</w:t>
      </w:r>
      <w:r>
        <w:t xml:space="preserve">; in order 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 gathering participants that had moved into either of these two categories. Using the</w:t>
      </w:r>
      <w:r>
        <w:t xml:space="preserve"> </w:t>
      </w:r>
      <w:r>
        <w:t xml:space="preserve">‘</w:t>
      </w:r>
      <w:r>
        <w:t xml:space="preserve">Worsened</w:t>
      </w:r>
      <w:r>
        <w:t xml:space="preserve">’</w:t>
      </w:r>
      <w:r>
        <w:t xml:space="preserve"> </w:t>
      </w:r>
      <w:r>
        <w:t xml:space="preserve">portmanteau category, and checking clinical change Pre to Post treatment, we observed a significant difference between groups for LSAS-SR,</w:t>
      </w:r>
      <w:r>
        <w:t xml:space="preserve"> </w:t>
      </w:r>
      <m:oMath>
        <m:sSup>
          <m:e>
            <m:r>
              <m:t>χ</m:t>
            </m:r>
          </m:e>
          <m:sup>
            <m:r>
              <m:t>2</m:t>
            </m:r>
          </m:sup>
        </m:sSup>
      </m:oMath>
      <w:r>
        <w:t xml:space="preserve">(</w:t>
      </w:r>
      <m:oMath>
        <m:r>
          <m:t>2</m:t>
        </m:r>
      </m:oMath>
      <w:r>
        <w:t xml:space="preserve">) = 9.13,</w:t>
      </w:r>
      <w:r>
        <w:t xml:space="preserve"> </w:t>
      </w:r>
      <m:oMath>
        <m:sSub>
          <m:e>
            <m:r>
              <m:t>p</m:t>
            </m:r>
          </m:e>
          <m:sub>
            <m:r>
              <m:t>​</m:t>
            </m:r>
          </m:sub>
        </m:sSub>
      </m:oMath>
      <w:r>
        <w:t xml:space="preserve"> </w:t>
      </w:r>
      <w:r>
        <w:t xml:space="preserve">=</w:t>
      </w:r>
      <w:r>
        <w:t xml:space="preserve"> </w:t>
      </w:r>
      <m:oMath>
        <m:r>
          <m:t>.010</m:t>
        </m:r>
      </m:oMath>
      <w:r>
        <w:t xml:space="preserve">, meriting a follow-up pairwise comparison. It revealed that the number of participants in the Waitlist condition that had either reached</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w:t>
      </w:r>
      <w:r>
        <w:t xml:space="preserve">going from Pre to Post treatment, was significant compared to the Guided self-help group,</w:t>
      </w:r>
      <w:r>
        <w:t xml:space="preserve"> </w:t>
      </w:r>
      <m:oMath>
        <m:r>
          <m:t>n</m:t>
        </m:r>
      </m:oMath>
      <w:r>
        <w:t xml:space="preserve"> </w:t>
      </w:r>
      <w:r>
        <w:t xml:space="preserve">= 7 (</w:t>
      </w:r>
      <m:oMath>
        <m:r>
          <m:t>10</m:t>
        </m:r>
      </m:oMath>
      <w:r>
        <w:t xml:space="preserve">space%),</w:t>
      </w:r>
      <w:r>
        <w:t xml:space="preserve"> </w:t>
      </w:r>
      <m:oMath>
        <m:r>
          <m:t>Z</m:t>
        </m:r>
      </m:oMath>
      <w:r>
        <w:t xml:space="preserve">(</w:t>
      </w:r>
      <m:oMath>
        <m:r>
          <m:t>2</m:t>
        </m:r>
      </m:oMath>
      <w:r>
        <w:t xml:space="preserve">) =</w:t>
      </w:r>
      <w:r>
        <w:t xml:space="preserve"> </w:t>
      </w:r>
      <m:oMath>
        <m:r>
          <m:t>2.94</m:t>
        </m:r>
      </m:oMath>
      <w:r>
        <w:t xml:space="preserve">,</w:t>
      </w:r>
      <w:r>
        <w:t xml:space="preserve"> </w:t>
      </w:r>
      <m:oMath>
        <m:sSub>
          <m:e>
            <m:r>
              <m:t>p</m:t>
            </m:r>
          </m:e>
          <m:sub>
            <m:r>
              <m:t>B</m:t>
            </m:r>
            <m:r>
              <m:t>o</m:t>
            </m:r>
            <m:r>
              <m:t>n</m:t>
            </m:r>
            <m:r>
              <m:t>f</m:t>
            </m:r>
          </m:sub>
        </m:sSub>
      </m:oMath>
      <w:r>
        <w:t xml:space="preserve"> </w:t>
      </w:r>
      <w:r>
        <w:t xml:space="preserve">=</w:t>
      </w:r>
      <w:r>
        <w:t xml:space="preserve"> </w:t>
      </w:r>
      <m:oMath>
        <m:r>
          <m:t>.010</m:t>
        </m:r>
      </m:oMath>
      <w:r>
        <w:t xml:space="preserve">. The same held true comparing Pre to Follow-up,</w:t>
      </w:r>
      <w:r>
        <w:t xml:space="preserve"> </w:t>
      </w:r>
      <m:oMath>
        <m:sSup>
          <m:e>
            <m:r>
              <m:t>χ</m:t>
            </m:r>
          </m:e>
          <m:sup>
            <m:r>
              <m:t>2</m:t>
            </m:r>
          </m:sup>
        </m:sSup>
      </m:oMath>
      <w:r>
        <w:t xml:space="preserve">(</w:t>
      </w:r>
      <m:oMath>
        <m:r>
          <m:t>2</m:t>
        </m:r>
      </m:oMath>
      <w:r>
        <w:t xml:space="preserve">) = 8.41,</w:t>
      </w:r>
      <w:r>
        <w:t xml:space="preserve"> </w:t>
      </w:r>
      <m:oMath>
        <m:sSub>
          <m:e>
            <m:r>
              <m:t>p</m:t>
            </m:r>
          </m:e>
          <m:sub>
            <m:r>
              <m:t>​</m:t>
            </m:r>
          </m:sub>
        </m:sSub>
      </m:oMath>
      <w:r>
        <w:t xml:space="preserve"> </w:t>
      </w:r>
      <w:r>
        <w:t xml:space="preserve">=</w:t>
      </w:r>
      <w:r>
        <w:t xml:space="preserve"> </w:t>
      </w:r>
      <m:oMath>
        <m:r>
          <m:t>.015</m:t>
        </m:r>
      </m:oMath>
      <w:r>
        <w:t xml:space="preserve">, where these</w:t>
      </w:r>
      <w:r>
        <w:t xml:space="preserve"> </w:t>
      </w:r>
      <m:oMath>
        <m:r>
          <m:t>7</m:t>
        </m:r>
      </m:oMath>
      <w:r>
        <w:t xml:space="preserve"> </w:t>
      </w:r>
      <w:r>
        <w:t xml:space="preserve">individuals were significantly more than the number of worsened participants in both the Unguided self-help group,</w:t>
      </w:r>
      <w:r>
        <w:t xml:space="preserve"> </w:t>
      </w:r>
      <m:oMath>
        <m:r>
          <m:t>Z</m:t>
        </m:r>
      </m:oMath>
      <w:r>
        <w:t xml:space="preserve">(</w:t>
      </w:r>
      <m:oMath>
        <m:r>
          <m:t>2</m:t>
        </m:r>
      </m:oMath>
      <w:r>
        <w:t xml:space="preserve">) =</w:t>
      </w:r>
      <w:r>
        <w:t xml:space="preserve"> </w:t>
      </w:r>
      <m:oMath>
        <m:r>
          <m:t>2.49</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 and the Guided self-help group,</w:t>
      </w:r>
      <w:r>
        <w:t xml:space="preserve"> </w:t>
      </w:r>
      <m:oMath>
        <m:r>
          <m:t>Z</m:t>
        </m:r>
      </m:oMath>
      <w:r>
        <w:t xml:space="preserve">(</w:t>
      </w:r>
      <m:oMath>
        <m:r>
          <m:t>2</m:t>
        </m:r>
      </m:oMath>
      <w:r>
        <w:t xml:space="preserve">) =</w:t>
      </w:r>
      <w:r>
        <w:t xml:space="preserve"> </w:t>
      </w:r>
      <m:oMath>
        <m:r>
          <m:t>2.54</m:t>
        </m:r>
      </m:oMath>
      <w:r>
        <w:t xml:space="preserve">,</w:t>
      </w:r>
      <w:r>
        <w:t xml:space="preserve"> </w:t>
      </w:r>
      <m:oMath>
        <m:sSub>
          <m:e>
            <m:r>
              <m:t>p</m:t>
            </m:r>
          </m:e>
          <m:sub>
            <m:r>
              <m:t>B</m:t>
            </m:r>
            <m:r>
              <m:t>o</m:t>
            </m:r>
            <m:r>
              <m:t>n</m:t>
            </m:r>
            <m:r>
              <m:t>f</m:t>
            </m:r>
          </m:sub>
        </m:sSub>
      </m:oMath>
      <w:r>
        <w:t xml:space="preserve"> </w:t>
      </w:r>
      <w:r>
        <w:t xml:space="preserve">=</w:t>
      </w:r>
      <w:r>
        <w:t xml:space="preserve"> </w:t>
      </w:r>
      <m:oMath>
        <m:r>
          <m:t>.034</m:t>
        </m:r>
      </m:oMath>
      <w:r>
        <w:t xml:space="preserve">. Finally, a difference between groups was found for PHQ-9,</w:t>
      </w:r>
      <w:r>
        <w:t xml:space="preserve"> </w:t>
      </w:r>
      <m:oMath>
        <m:sSup>
          <m:e>
            <m:r>
              <m:t>χ</m:t>
            </m:r>
          </m:e>
          <m:sup>
            <m:r>
              <m:t>2</m:t>
            </m:r>
          </m:sup>
        </m:sSup>
      </m:oMath>
      <w:r>
        <w:t xml:space="preserve">(</w:t>
      </w:r>
      <m:oMath>
        <m:r>
          <m:t>2</m:t>
        </m:r>
      </m:oMath>
      <w:r>
        <w:t xml:space="preserve">) = 7.86,</w:t>
      </w:r>
      <w:r>
        <w:t xml:space="preserve"> </w:t>
      </w:r>
      <m:oMath>
        <m:sSub>
          <m:e>
            <m:r>
              <m:t>p</m:t>
            </m:r>
          </m:e>
          <m:sub>
            <m:r>
              <m:t>​</m:t>
            </m:r>
          </m:sub>
        </m:sSub>
      </m:oMath>
      <w:r>
        <w:t xml:space="preserve"> </w:t>
      </w:r>
      <w:r>
        <w:t xml:space="preserve">=</w:t>
      </w:r>
      <w:r>
        <w:t xml:space="preserve"> </w:t>
      </w:r>
      <m:oMath>
        <m:r>
          <m:t>.020</m:t>
        </m:r>
      </m:oMath>
      <w:r>
        <w:t xml:space="preserve">, with post hoc testing revealing a difference for the Guided self-help group,</w:t>
      </w:r>
      <w:r>
        <w:t xml:space="preserve"> </w:t>
      </w:r>
      <m:oMath>
        <m:r>
          <m:t>n</m:t>
        </m:r>
      </m:oMath>
      <w:r>
        <w:t xml:space="preserve"> </w:t>
      </w:r>
      <w:r>
        <w:t xml:space="preserve">= 12 (</w:t>
      </w:r>
      <m:oMath>
        <m:r>
          <m:t>18</m:t>
        </m:r>
      </m:oMath>
      <w:r>
        <w:t xml:space="preserve">space%),</w:t>
      </w:r>
      <w:r>
        <w:t xml:space="preserve"> </w:t>
      </w:r>
      <m:oMath>
        <m:r>
          <m:t>Z</m:t>
        </m:r>
      </m:oMath>
      <w:r>
        <w:t xml:space="preserve">(</w:t>
      </w:r>
      <m:oMath>
        <m:r>
          <m:t>2</m:t>
        </m:r>
      </m:oMath>
      <w:r>
        <w:t xml:space="preserve">) =</w:t>
      </w:r>
      <w:r>
        <w:t xml:space="preserve"> </w:t>
      </w:r>
      <m:oMath>
        <m:r>
          <m:t>2.80</m:t>
        </m:r>
      </m:oMath>
      <w:r>
        <w:t xml:space="preserve">,</w:t>
      </w:r>
      <w:r>
        <w:t xml:space="preserve"> </w:t>
      </w:r>
      <m:oMath>
        <m:sSub>
          <m:e>
            <m:r>
              <m:t>p</m:t>
            </m:r>
          </m:e>
          <m:sub>
            <m:r>
              <m:t>B</m:t>
            </m:r>
            <m:r>
              <m:t>o</m:t>
            </m:r>
            <m:r>
              <m:t>n</m:t>
            </m:r>
            <m:r>
              <m:t>f</m:t>
            </m:r>
          </m:sub>
        </m:sSub>
      </m:oMath>
      <w:r>
        <w:t xml:space="preserve"> </w:t>
      </w:r>
      <w:r>
        <w:t xml:space="preserve">=</w:t>
      </w:r>
      <w:r>
        <w:t xml:space="preserve"> </w:t>
      </w:r>
      <m:oMath>
        <m:r>
          <m:t>.015</m:t>
        </m:r>
      </m:oMath>
      <w:r>
        <w:t xml:space="preserve">. These findings reveal that the non-active Waitlist condition brought about adverse clinical change for</w:t>
      </w:r>
      <w:r>
        <w:t xml:space="preserve"> </w:t>
      </w:r>
      <m:oMath>
        <m:r>
          <m:t>10</m:t>
        </m:r>
      </m:oMath>
      <w:r>
        <w:t xml:space="preserve">% of participants with regards to social anxiety and</w:t>
      </w:r>
      <w:r>
        <w:t xml:space="preserve"> </w:t>
      </w:r>
      <m:oMath>
        <m:r>
          <m:t>18</m:t>
        </m:r>
      </m:oMath>
      <w:r>
        <w:t xml:space="preserve">% with regards to depression, highlighting the need to use caution comparing results for the treatment groups with those of the Waitlist condition, lest running the risk of artificially inflated effect sizes (especially for PHQ-9 for which estimated marginal means in fact increased over time; see Figure 3).</w:t>
      </w:r>
    </w:p>
    <w:bookmarkEnd w:id="48"/>
    <w:bookmarkEnd w:id="49"/>
    <w:bookmarkEnd w:id="50"/>
    <w:bookmarkEnd w:id="51"/>
    <w:bookmarkStart w:id="142" w:name="discussion"/>
    <w:p>
      <w:pPr>
        <w:pStyle w:val="Heading1"/>
      </w:pPr>
      <w:r>
        <w:t xml:space="preserve">Discussion</w:t>
      </w:r>
    </w:p>
    <w:bookmarkStart w:id="58" w:name="results-discussion"/>
    <w:p>
      <w:pPr>
        <w:pStyle w:val="Heading2"/>
      </w:pPr>
      <w:r>
        <w:t xml:space="preserve">Results discussion</w:t>
      </w:r>
    </w:p>
    <w:bookmarkStart w:id="56" w:name="main-results"/>
    <w:p>
      <w:pPr>
        <w:pStyle w:val="Heading3"/>
      </w:pPr>
      <w:r>
        <w:t xml:space="preserve">Main results</w:t>
      </w:r>
    </w:p>
    <w:p>
      <w:pPr>
        <w:pStyle w:val="FirstParagraph"/>
      </w:pPr>
      <w:r>
        <w:t xml:space="preserve">This randomized control trial brings up-to-date empirical data about a trans-diagnostic intervention targeting assertiveness, Respekt</w:t>
      </w:r>
      <w:r>
        <w:rPr>
          <w:vertAlign w:val="superscript"/>
        </w:rPr>
        <w:t xml:space="preserve">2</w:t>
      </w:r>
      <w:r>
        <w:t xml:space="preserve">, providing evidence for its effects on assertive behaviors and on symptoms of psychiatric disorders. Having been mostly ignored as a construct in clincical research since the 1990’ies, despite its rich history as the target in the very first behavioral therapies of the 1950’ies, and its current status as an important goal for exposure in third wave CBT variants such as DBT and ACT</w:t>
      </w:r>
      <w:r>
        <w:t xml:space="preserve"> </w:t>
      </w:r>
      <w:r>
        <w:t xml:space="preserve">(</w:t>
      </w:r>
      <w:hyperlink w:anchor="ref-Speed2018a">
        <w:r>
          <w:rPr>
            <w:rStyle w:val="Hyperlink"/>
          </w:rPr>
          <w:t xml:space="preserve">Speed et al., 2018</w:t>
        </w:r>
      </w:hyperlink>
      <w:r>
        <w:t xml:space="preserve">)</w:t>
      </w:r>
      <w:r>
        <w:t xml:space="preserve">, this study brings much-needed data on assertiveness as a viable transdiagnostic stand-alone goal in psychological treatment.</w:t>
      </w:r>
    </w:p>
    <w:bookmarkStart w:id="52" w:name="effects-on-assertiveness"/>
    <w:p>
      <w:pPr>
        <w:pStyle w:val="Heading4"/>
      </w:pPr>
      <w:r>
        <w:t xml:space="preserve">Effects on assertiveness</w:t>
      </w:r>
    </w:p>
    <w:p>
      <w:pPr>
        <w:pStyle w:val="FirstParagraph"/>
      </w:pPr>
      <w:r>
        <w:t xml:space="preserve">The moderate to large between-group effects on assertiveness found in Respekt</w:t>
      </w:r>
      <w:r>
        <w:rPr>
          <w:vertAlign w:val="superscript"/>
        </w:rPr>
        <w:t xml:space="preserve">2</w:t>
      </w:r>
      <w:r>
        <w:t xml:space="preserve"> </w:t>
      </w:r>
      <w:r>
        <w:t xml:space="preserve">at Post in the Unguided self-help condition, from</w:t>
      </w:r>
      <w:r>
        <w:t xml:space="preserve"> </w:t>
      </w:r>
      <m:oMath>
        <m:r>
          <m:t>E</m:t>
        </m:r>
        <m:r>
          <m:t>S</m:t>
        </m:r>
      </m:oMath>
      <w:r>
        <w:t xml:space="preserve"> </w:t>
      </w:r>
      <w:r>
        <w:t xml:space="preserve">=</w:t>
      </w:r>
      <w:r>
        <w:t xml:space="preserve"> </w:t>
      </w:r>
      <m:oMath>
        <m:r>
          <m:t>.72</m:t>
        </m:r>
      </m:oMath>
      <w:r>
        <w:t xml:space="preserve"> </w:t>
      </w:r>
      <w:r>
        <w:t xml:space="preserve">to</w:t>
      </w:r>
      <w:r>
        <w:t xml:space="preserve"> </w:t>
      </w:r>
      <m:oMath>
        <m:r>
          <m:t>E</m:t>
        </m:r>
        <m:r>
          <m:t>S</m:t>
        </m:r>
      </m:oMath>
      <w:r>
        <w:t xml:space="preserve"> </w:t>
      </w:r>
      <w:r>
        <w:t xml:space="preserve">=</w:t>
      </w:r>
      <w:r>
        <w:t xml:space="preserve"> </w:t>
      </w:r>
      <m:oMath>
        <m:r>
          <m:t>1.02</m:t>
        </m:r>
      </m:oMath>
      <w:r>
        <w:t xml:space="preserve"> </w:t>
      </w:r>
      <w:r>
        <w:t xml:space="preserve">(with slightly but insignificantly larger effects in the Guided group), are comparable to those found in clinical trails of iCBT interventions for other trans-diagnostic behavioral targets such as procrastination (</w:t>
      </w:r>
      <m:oMath>
        <m:r>
          <m:t>d</m:t>
        </m:r>
      </m:oMath>
      <w:r>
        <w:t xml:space="preserve"> </w:t>
      </w:r>
      <w:r>
        <w:t xml:space="preserve">= ??)</w:t>
      </w:r>
      <w:r>
        <w:t xml:space="preserve"> </w:t>
      </w:r>
      <w:r>
        <w:t xml:space="preserve">(</w:t>
      </w:r>
      <w:hyperlink w:anchor="ref-Rozental2015">
        <w:r>
          <w:rPr>
            <w:rStyle w:val="Hyperlink"/>
          </w:rPr>
          <w:t xml:space="preserve">Rozental et al., 2015</w:t>
        </w:r>
      </w:hyperlink>
      <w:r>
        <w:t xml:space="preserve">)</w:t>
      </w:r>
      <w:r>
        <w:t xml:space="preserve">, and perfectionism (</w:t>
      </w:r>
      <m:oMath>
        <m:r>
          <m:t>d</m:t>
        </m:r>
      </m:oMath>
      <w:r>
        <w:t xml:space="preserve"> </w:t>
      </w:r>
      <w:r>
        <w:t xml:space="preserve">= ??)</w:t>
      </w:r>
      <w:r>
        <w:t xml:space="preserve"> </w:t>
      </w:r>
      <w:r>
        <w:t xml:space="preserve">(</w:t>
      </w:r>
      <w:hyperlink w:anchor="ref-Rozental2017">
        <w:r>
          <w:rPr>
            <w:rStyle w:val="Hyperlink"/>
          </w:rPr>
          <w:t xml:space="preserve">Rozental et al., 2017</w:t>
        </w:r>
      </w:hyperlink>
      <w:r>
        <w:t xml:space="preserve">)</w:t>
      </w:r>
      <w:r>
        <w:t xml:space="preserve">, showing that</w:t>
      </w:r>
      <w:r>
        <w:t xml:space="preserve"> </w:t>
      </w:r>
      <w:r>
        <w:t xml:space="preserve">‘</w:t>
      </w:r>
      <w:r>
        <w:t xml:space="preserve">assertiveness</w:t>
      </w:r>
      <w:r>
        <w:t xml:space="preserve">’</w:t>
      </w:r>
      <w:r>
        <w:t xml:space="preserve"> </w:t>
      </w:r>
      <w:r>
        <w:t xml:space="preserve">can be used successfully as a target in behavior therapy, helping participants appreciate and self-report meaningful change in concrete actions.</w:t>
      </w:r>
    </w:p>
    <w:p>
      <w:pPr>
        <w:pStyle w:val="BodyText"/>
      </w:pPr>
      <w:r>
        <w:t xml:space="preserve">(Also, compare w/ frequencies or reliable change, e.g.</w:t>
      </w:r>
      <w:r>
        <w:t xml:space="preserve"> </w:t>
      </w:r>
      <w:hyperlink w:anchor="ref-Rozental2015">
        <w:r>
          <w:rPr>
            <w:rStyle w:val="Hyperlink"/>
          </w:rPr>
          <w:t xml:space="preserve">Rozental et al., 2015</w:t>
        </w:r>
      </w:hyperlink>
      <w:r>
        <w:t xml:space="preserve">.)</w:t>
      </w:r>
    </w:p>
    <w:bookmarkEnd w:id="52"/>
    <w:bookmarkStart w:id="53" w:name="effects-on-psychiatric-symptoms"/>
    <w:p>
      <w:pPr>
        <w:pStyle w:val="Heading4"/>
      </w:pPr>
      <w:r>
        <w:t xml:space="preserve">Effects on psychiatric symptoms</w:t>
      </w:r>
    </w:p>
    <w:p>
      <w:pPr>
        <w:pStyle w:val="FirstParagraph"/>
      </w:pPr>
      <w:r>
        <w:t xml:space="preserve">However, at Follow-up, we found a large between-group effect on LSAS-SR,</w:t>
      </w:r>
      <w:r>
        <w:t xml:space="preserve"> </w:t>
      </w:r>
      <m:oMath>
        <m:r>
          <m:t>E</m:t>
        </m:r>
        <m:r>
          <m:t>S</m:t>
        </m:r>
      </m:oMath>
      <w:r>
        <w:t xml:space="preserve"> </w:t>
      </w:r>
      <w:r>
        <w:t xml:space="preserve">=</w:t>
      </w:r>
      <w:r>
        <w:t xml:space="preserve"> </w:t>
      </w:r>
      <m:oMath>
        <m:r>
          <m:t>.90</m:t>
        </m:r>
      </m:oMath>
      <w:r>
        <w:t xml:space="preserve">, 95% CI [</w:t>
      </w:r>
      <m:oMath>
        <m:r>
          <m:t>.52</m:t>
        </m:r>
      </m:oMath>
      <w:r>
        <w:t xml:space="preserve">,</w:t>
      </w:r>
      <w:r>
        <w:t xml:space="preserve"> </w:t>
      </w:r>
      <m:oMath>
        <m:r>
          <m:t>1.29</m:t>
        </m:r>
      </m:oMath>
      <w:r>
        <w:t xml:space="preserve">]. Effects were also found in the Guided self-help group, where participants were supported by therapists: Comparing with the Waitlist group, participants exhibited moderate effects at Post for PHQ-9,</w:t>
      </w:r>
      <w:r>
        <w:t xml:space="preserve"> </w:t>
      </w:r>
      <m:oMath>
        <m:r>
          <m:t>E</m:t>
        </m:r>
        <m:r>
          <m:t>S</m:t>
        </m:r>
      </m:oMath>
      <w:r>
        <w:t xml:space="preserve"> </w:t>
      </w:r>
      <w:r>
        <w:t xml:space="preserve">=</w:t>
      </w:r>
      <w:r>
        <w:t xml:space="preserve"> </w:t>
      </w:r>
      <m:oMath>
        <m:r>
          <m:t>.77</m:t>
        </m:r>
      </m:oMath>
      <w:r>
        <w:t xml:space="preserve">, 95% CI [</w:t>
      </w:r>
      <m:oMath>
        <m:r>
          <m:t>.40</m:t>
        </m:r>
      </m:oMath>
      <w:r>
        <w:t xml:space="preserve">,</w:t>
      </w:r>
      <w:r>
        <w:t xml:space="preserve"> </w:t>
      </w:r>
      <m:oMath>
        <m:r>
          <m:t>1.14</m:t>
        </m:r>
      </m:oMath>
      <w:r>
        <w:t xml:space="preserve">], and LSAS-SR,</w:t>
      </w:r>
      <w:r>
        <w:t xml:space="preserve"> </w:t>
      </w:r>
      <m:oMath>
        <m:r>
          <m:t>E</m:t>
        </m:r>
        <m:r>
          <m:t>S</m:t>
        </m:r>
      </m:oMath>
      <w:r>
        <w:t xml:space="preserve"> </w:t>
      </w:r>
      <w:r>
        <w:t xml:space="preserve">=</w:t>
      </w:r>
      <w:r>
        <w:t xml:space="preserve"> </w:t>
      </w:r>
      <m:oMath>
        <m:r>
          <m:t>.67</m:t>
        </m:r>
      </m:oMath>
      <w:r>
        <w:t xml:space="preserve">, 95% CI [</w:t>
      </w:r>
      <m:oMath>
        <m:r>
          <m:t>.32</m:t>
        </m:r>
      </m:oMath>
      <w:r>
        <w:t xml:space="preserve">,</w:t>
      </w:r>
      <w:r>
        <w:t xml:space="preserve"> </w:t>
      </w:r>
      <m:oMath>
        <m:r>
          <m:t>1.02</m:t>
        </m:r>
      </m:oMath>
      <w:r>
        <w:t xml:space="preserve">] respectively, as well as a large effect only for LSAS-SR at Follow-up,</w:t>
      </w:r>
      <w:r>
        <w:t xml:space="preserve"> </w:t>
      </w:r>
      <m:oMath>
        <m:r>
          <m:t>E</m:t>
        </m:r>
        <m:r>
          <m:t>S</m:t>
        </m:r>
      </m:oMath>
      <w:r>
        <w:t xml:space="preserve"> </w:t>
      </w:r>
      <w:r>
        <w:t xml:space="preserve">=</w:t>
      </w:r>
      <w:r>
        <w:t xml:space="preserve"> </w:t>
      </w:r>
      <m:oMath>
        <m:r>
          <m:t>.93</m:t>
        </m:r>
      </m:oMath>
      <w:r>
        <w:t xml:space="preserve">, 95% CI [</w:t>
      </w:r>
      <m:oMath>
        <m:r>
          <m:t>.57</m:t>
        </m:r>
      </m:oMath>
      <w:r>
        <w:t xml:space="preserve">,</w:t>
      </w:r>
      <w:r>
        <w:t xml:space="preserve"> </w:t>
      </w:r>
      <m:oMath>
        <m:r>
          <m:t>1.30</m:t>
        </m:r>
      </m:oMath>
      <w:r>
        <w:t xml:space="preserve">]. These are in agreement with those for iCBT in general, where the average between-group effect size is</w:t>
      </w:r>
      <w:r>
        <w:t xml:space="preserve"> </w:t>
      </w:r>
      <m:oMath>
        <m:r>
          <m:t>g</m:t>
        </m:r>
      </m:oMath>
      <w:r>
        <w:t xml:space="preserve"> </w:t>
      </w:r>
      <w:r>
        <w:t xml:space="preserve">=</w:t>
      </w:r>
      <w:r>
        <w:t xml:space="preserve"> </w:t>
      </w:r>
      <m:oMath>
        <m:r>
          <m:t>.80</m:t>
        </m:r>
      </m:oMath>
      <w:r>
        <w:t xml:space="preserve"> </w:t>
      </w:r>
      <w:r>
        <w:t xml:space="preserve">compared to controls</w:t>
      </w:r>
      <w:r>
        <w:t xml:space="preserve"> </w:t>
      </w:r>
      <w:r>
        <w:t xml:space="preserve">(</w:t>
      </w:r>
      <w:hyperlink w:anchor="ref-Andrews2018">
        <w:r>
          <w:rPr>
            <w:rStyle w:val="Hyperlink"/>
          </w:rPr>
          <w:t xml:space="preserve">Andrews et al., 2018</w:t>
        </w:r>
      </w:hyperlink>
      <w:r>
        <w:t xml:space="preserve">)</w:t>
      </w:r>
      <w:r>
        <w:t xml:space="preserve">, which in turn is about the same as for face-to-face treatment</w:t>
      </w:r>
      <w:r>
        <w:t xml:space="preserve"> </w:t>
      </w:r>
      <w:r>
        <w:t xml:space="preserve">(</w:t>
      </w:r>
      <w:hyperlink w:anchor="ref-Carlbring2018">
        <w:r>
          <w:rPr>
            <w:rStyle w:val="Hyperlink"/>
          </w:rPr>
          <w:t xml:space="preserve">Carlbring et al., 2018</w:t>
        </w:r>
      </w:hyperlink>
      <w:r>
        <w:t xml:space="preserve">)</w:t>
      </w:r>
      <w:r>
        <w:t xml:space="preserve">.</w:t>
      </w:r>
    </w:p>
    <w:p>
      <w:pPr>
        <w:pStyle w:val="BodyText"/>
      </w:pPr>
      <w:r>
        <w:t xml:space="preserve">These findings were supplemented by the analysis of clinical significant change, where,</w:t>
      </w:r>
      <w:r>
        <w:t xml:space="preserve"> </w:t>
      </w:r>
      <m:oMath>
        <m:r>
          <m:t>n</m:t>
        </m:r>
      </m:oMath>
      <w:r>
        <w:t xml:space="preserve"> </w:t>
      </w:r>
      <w:r>
        <w:t xml:space="preserve">= 14 (21%) had recovered from social anxiety at Follow-up in the Unguided self-help group, and</w:t>
      </w:r>
      <w:r>
        <w:t xml:space="preserve"> </w:t>
      </w:r>
      <m:oMath>
        <m:r>
          <m:t>n</m:t>
        </m:r>
      </m:oMath>
      <w:r>
        <w:t xml:space="preserve"> </w:t>
      </w:r>
      <w:r>
        <w:t xml:space="preserve">= 18 (26%) in the group that were guided by therapists. In addition,</w:t>
      </w:r>
      <w:r>
        <w:t xml:space="preserve"> </w:t>
      </w:r>
      <m:oMath>
        <m:r>
          <m:t>n</m:t>
        </m:r>
      </m:oMath>
      <w:r>
        <w:t xml:space="preserve"> </w:t>
      </w:r>
      <w:r>
        <w:t xml:space="preserve">= 18 (26%) in the Guided self-help group had recovered from depression at Follow-up.</w:t>
      </w:r>
      <w:r>
        <w:t xml:space="preserve"> </w:t>
      </w:r>
      <w:r>
        <w:t xml:space="preserve">(Also, compare w/ frequencies or reliable change, e.g.</w:t>
      </w:r>
      <w:r>
        <w:t xml:space="preserve"> </w:t>
      </w:r>
      <w:hyperlink w:anchor="ref-Rozental2015">
        <w:r>
          <w:rPr>
            <w:rStyle w:val="Hyperlink"/>
          </w:rPr>
          <w:t xml:space="preserve">Rozental et al., 2015</w:t>
        </w:r>
      </w:hyperlink>
      <w:r>
        <w:t xml:space="preserve">.)</w:t>
      </w:r>
    </w:p>
    <w:bookmarkEnd w:id="53"/>
    <w:bookmarkStart w:id="54" w:name="no-effects-on-gad"/>
    <w:p>
      <w:pPr>
        <w:pStyle w:val="Heading4"/>
      </w:pPr>
      <w:r>
        <w:t xml:space="preserve">No effects on GAD</w:t>
      </w:r>
    </w:p>
    <w:p>
      <w:pPr>
        <w:pStyle w:val="FirstParagraph"/>
      </w:pPr>
      <w:r>
        <w:t xml:space="preserve">The intervention was insufficient in ameliorating symptoms of generalized anxiety, which can be understood as a disorder of attentional/cognitive and behavioral rigidity</w:t>
      </w:r>
      <w:r>
        <w:t xml:space="preserve"> </w:t>
      </w:r>
      <w:r>
        <w:t xml:space="preserve">(</w:t>
      </w:r>
      <w:hyperlink w:anchor="ref-Hayes2004a">
        <w:r>
          <w:rPr>
            <w:rStyle w:val="Hyperlink"/>
          </w:rPr>
          <w:t xml:space="preserve">Hayes, 2004</w:t>
        </w:r>
      </w:hyperlink>
      <w:r>
        <w:t xml:space="preserve">)</w:t>
      </w:r>
      <w:r>
        <w:t xml:space="preserve">. Most likely, the overall structure of the Respekt</w:t>
      </w:r>
      <w:r>
        <w:rPr>
          <w:vertAlign w:val="superscript"/>
        </w:rPr>
        <w:t xml:space="preserve">2</w:t>
      </w:r>
      <w:r>
        <w:t xml:space="preserve"> </w:t>
      </w:r>
      <w:r>
        <w:t xml:space="preserve">intervention, with its emphasis on cheer-leading participants in design and performing in-vivo behavioral experiments early on in treatment was not adequate in addressing GAD symptoms where non-commitment to exposure often is an important first hurdle to overcome. (To be investigated.)</w:t>
      </w:r>
    </w:p>
    <w:bookmarkEnd w:id="54"/>
    <w:bookmarkStart w:id="55" w:name="general-conclusion"/>
    <w:p>
      <w:pPr>
        <w:pStyle w:val="Heading4"/>
      </w:pPr>
      <w:r>
        <w:t xml:space="preserve">General conclusion</w:t>
      </w:r>
    </w:p>
    <w:p>
      <w:pPr>
        <w:pStyle w:val="FirstParagraph"/>
      </w:pPr>
      <w:r>
        <w:t xml:space="preserve">Thus, we found that Respekt</w:t>
      </w:r>
      <w:r>
        <w:rPr>
          <w:vertAlign w:val="superscript"/>
        </w:rPr>
        <w:t xml:space="preserve">2</w:t>
      </w:r>
      <w:r>
        <w:t xml:space="preserve"> </w:t>
      </w:r>
      <w:r>
        <w:t xml:space="preserve">clearly reduced symptoms of social anxiety across both treatment conditions, and over time possibly reduced symptoms of depression, to a moderate degree, among participants that were guided by therapists.</w:t>
      </w:r>
      <w:r>
        <w:t xml:space="preserve"> </w:t>
      </w:r>
      <w:r>
        <w:t xml:space="preserve">At the end of treatment, there was no difference in effects on assertiveness or social phobia between the two treatment arms, nor at one-year Follow-up. For depression, effects were found only in the Thus, the results provide preliminary evidence for the efficacy of Respekt</w:t>
      </w:r>
      <w:r>
        <w:rPr>
          <w:vertAlign w:val="superscript"/>
        </w:rPr>
        <w:t xml:space="preserve">2</w:t>
      </w:r>
      <w:r>
        <w:t xml:space="preserve"> </w:t>
      </w:r>
      <w:r>
        <w:t xml:space="preserve">as a self-help intervention, showing that iCBT with or without therapist support can be helpful for individuals suffering from self-reported difficulties with assertiveness, and social phobia; and that iCBT with therapist support can be helpful for individuals suffering from depression.</w:t>
      </w:r>
    </w:p>
    <w:bookmarkEnd w:id="55"/>
    <w:bookmarkEnd w:id="56"/>
    <w:bookmarkStart w:id="57" w:name="X9b0549612a10013830e3be808e1447147c21780"/>
    <w:p>
      <w:pPr>
        <w:pStyle w:val="Heading3"/>
      </w:pPr>
      <w:r>
        <w:t xml:space="preserve">Some support for therapist support being helpful</w:t>
      </w:r>
    </w:p>
    <w:p>
      <w:pPr>
        <w:pStyle w:val="FirstParagraph"/>
      </w:pPr>
      <w:r>
        <w:t xml:space="preserve">Although there was no between group difference between treatment conditions at Post or Follow-up in the current study, some within-group evidence was found that being guided by a therapist could entail some advantages for participants in iCBT, in line with</w:t>
      </w:r>
      <w:r>
        <w:t xml:space="preserve"> </w:t>
      </w:r>
      <w:hyperlink w:anchor="ref-Baumeister2014a">
        <w:r>
          <w:rPr>
            <w:rStyle w:val="Hyperlink"/>
          </w:rPr>
          <w:t xml:space="preserve">Baumeister et al.</w:t>
        </w:r>
      </w:hyperlink>
      <w:r>
        <w:t xml:space="preserve"> </w:t>
      </w:r>
      <w:r>
        <w:t xml:space="preserve">(</w:t>
      </w:r>
      <w:hyperlink w:anchor="ref-Baumeister2014a">
        <w:r>
          <w:rPr>
            <w:rStyle w:val="Hyperlink"/>
          </w:rPr>
          <w:t xml:space="preserve">2014</w:t>
        </w:r>
      </w:hyperlink>
      <w:r>
        <w:t xml:space="preserve">)</w:t>
      </w:r>
      <w:r>
        <w:t xml:space="preserve">, especially with regards to long-term outcomes. In the Guided self-help group, assertiveness (both in general and of the adaptive type) had increased significantly between end of treatment and one-year Follow-up. Also, in the Guided self-help condition analysis of both within-group effects and of clinical change indicated that depression had decreased from pre-treatment to 1-year Follow-up both. Corresponding phenomena were not observed in the group where the participants were engaging with the intervention on their own. The presence of human support during treatment could increase adherence to the intervention through increased levels of accountability, as suggested by</w:t>
      </w:r>
      <w:r>
        <w:t xml:space="preserve"> </w:t>
      </w:r>
      <w:hyperlink w:anchor="ref-Mohr2011">
        <w:r>
          <w:rPr>
            <w:rStyle w:val="Hyperlink"/>
          </w:rPr>
          <w:t xml:space="preserve">Mohr et al.</w:t>
        </w:r>
      </w:hyperlink>
      <w:r>
        <w:t xml:space="preserve"> </w:t>
      </w:r>
      <w:r>
        <w:t xml:space="preserve">(</w:t>
      </w:r>
      <w:hyperlink w:anchor="ref-Mohr2011">
        <w:r>
          <w:rPr>
            <w:rStyle w:val="Hyperlink"/>
          </w:rPr>
          <w:t xml:space="preserve">2011</w:t>
        </w:r>
      </w:hyperlink>
      <w:r>
        <w:t xml:space="preserve">)</w:t>
      </w:r>
      <w:r>
        <w:t xml:space="preserve">. Speculatively, accountability towards a therapist could be associated with an increased willingness to take part in behavioral experiments, an increased ability to engage in behavioral experiments through active and collaborative problem solving, or increased compliance to homework and therefore an increased ability to generalize adaptive behaviors – or a combination of such mechanisms.</w:t>
      </w:r>
    </w:p>
    <w:bookmarkEnd w:id="57"/>
    <w:bookmarkEnd w:id="58"/>
    <w:bookmarkStart w:id="60" w:name="methodological-discussion"/>
    <w:p>
      <w:pPr>
        <w:pStyle w:val="Heading2"/>
      </w:pPr>
      <w:r>
        <w:t xml:space="preserve">Methodological discussion</w:t>
      </w:r>
    </w:p>
    <w:bookmarkStart w:id="59" w:name="limitations"/>
    <w:p>
      <w:pPr>
        <w:pStyle w:val="Heading3"/>
      </w:pPr>
      <w:r>
        <w:t xml:space="preserve">Limitations</w:t>
      </w:r>
    </w:p>
    <w:p>
      <w:pPr>
        <w:pStyle w:val="FirstParagraph"/>
      </w:pPr>
      <w:r>
        <w:t xml:space="preserve">The study design has a number of limitations that impairs the generalizibility of the findings to the population at large, of which the recruitment method is one of the most important. The recruitment was performed via advertising in social media, where the presentation of the ads by design was skewed to maximize click-throughs (and to provide maximal</w:t>
      </w:r>
      <w:r>
        <w:t xml:space="preserve"> </w:t>
      </w:r>
      <w:r>
        <w:t xml:space="preserve">“</w:t>
      </w:r>
      <w:r>
        <w:t xml:space="preserve">bang for the buck</w:t>
      </w:r>
      <w:r>
        <w:t xml:space="preserve">”</w:t>
      </w:r>
      <w:r>
        <w:t xml:space="preserve"> </w:t>
      </w:r>
      <w:r>
        <w:t xml:space="preserve">for the advertising budget) by the algorithms employed by the respective ad networks. We achieved distributions with regards to sex (X % female participants), previous participation in therapy (x %) and use of psychotrophic medicine (X %) that were probably far apart from the ones expected had the sampling been random. These distributions probably affected the effects in different ways. For instance, it is easy to imagine that for participants that had previously taken part in CBT, the R</w:t>
      </w:r>
      <w:r>
        <w:rPr>
          <w:vertAlign w:val="superscript"/>
        </w:rPr>
        <w:t xml:space="preserve">2</w:t>
      </w:r>
      <w:r>
        <w:t xml:space="preserve"> </w:t>
      </w:r>
      <w:r>
        <w:t xml:space="preserve">intervention effectively acted as a booster providing opportunities for re-acquisition of assertiveness skills. Any findings using this sample need to be treated with caution before being confirmed with other samples in future studies. Likewise, since this sample was non-clinical, a trial using a purely clinical sample is also called for.</w:t>
      </w:r>
    </w:p>
    <w:p>
      <w:pPr>
        <w:pStyle w:val="BodyText"/>
      </w:pPr>
      <w:r>
        <w:t xml:space="preserve">Another methodological drawback of the current study is that some of the measurement scales were recently translated into Swedish, without back-translation, somewhat impairing the ability to compare findings with norms found for the original english-speaking populations where the original scaled were validated. The Swedish adaptations fo the RAS and AAA-S scales need to be quality controlled with back-translation, and subsequently also validated for Swedish clinical and non-clinical populations.</w:t>
      </w:r>
    </w:p>
    <w:bookmarkEnd w:id="59"/>
    <w:bookmarkEnd w:id="60"/>
    <w:bookmarkStart w:id="61" w:name="future-directions"/>
    <w:p>
      <w:pPr>
        <w:pStyle w:val="Heading2"/>
      </w:pPr>
      <w:r>
        <w:t xml:space="preserve">Future directions</w:t>
      </w:r>
    </w:p>
    <w:p>
      <w:pPr>
        <w:pStyle w:val="SourceCode"/>
      </w:pPr>
      <w:r>
        <w:rPr>
          <w:rStyle w:val="VerbatimChar"/>
        </w:rPr>
        <w:t xml:space="preserve">What is going on here?</w:t>
      </w:r>
      <w:r>
        <w:br/>
      </w:r>
      <w:r>
        <w:rPr>
          <w:rStyle w:val="VerbatimChar"/>
        </w:rPr>
        <w:t xml:space="preserve">Whose story is this?</w:t>
      </w:r>
      <w:r>
        <w:br/>
      </w:r>
      <w:r>
        <w:rPr>
          <w:rStyle w:val="VerbatimChar"/>
        </w:rPr>
        <w:t xml:space="preserve">How does this sentence connect backward to the previous sentence?</w:t>
      </w:r>
      <w:r>
        <w:br/>
      </w:r>
      <w:r>
        <w:rPr>
          <w:rStyle w:val="VerbatimChar"/>
        </w:rPr>
        <w:t xml:space="preserve">How does this sentence lean forward to where we might go from here?</w:t>
      </w:r>
      <w:r>
        <w:br/>
      </w:r>
      <w:r>
        <w:rPr>
          <w:rStyle w:val="VerbatimChar"/>
        </w:rPr>
        <w:t xml:space="preserve">What is the most important piece of information in this sentence, which I should be reading with extra emphasis?</w:t>
      </w:r>
    </w:p>
    <w:p>
      <w:pPr>
        <w:numPr>
          <w:ilvl w:val="0"/>
          <w:numId w:val="1002"/>
        </w:numPr>
        <w:pStyle w:val="Compact"/>
      </w:pPr>
      <w:r>
        <w:t xml:space="preserve">Disentangle causality: what causes what, under influence of what (mediation, moderation)?</w:t>
      </w:r>
      <w:r>
        <w:t xml:space="preserve"> </w:t>
      </w:r>
      <w:r>
        <w:t xml:space="preserve">– Future replications should collect more data in order to fit more random effects, to investigate possible therapist factors</w:t>
      </w:r>
    </w:p>
    <w:p>
      <w:pPr>
        <w:pStyle w:val="FirstParagraph"/>
      </w:pPr>
      <w:r>
        <w:t xml:space="preserve">In the current study, we found that participation in Respekt</w:t>
      </w:r>
      <w:r>
        <w:rPr>
          <w:vertAlign w:val="superscript"/>
        </w:rPr>
        <w:t xml:space="preserve">2</w:t>
      </w:r>
      <w:r>
        <w:t xml:space="preserve"> </w:t>
      </w:r>
      <w:r>
        <w:t xml:space="preserve">did indeed increase assertive expressions, thereby reducing self-assessed social anxiety in a non-clinical convenience sample. The intervention did not have an immediate effect on generalized anxiety or depression, although there was some within-group evidence for beneficial longer-term effects on these syndromes.</w:t>
      </w:r>
    </w:p>
    <w:p>
      <w:pPr>
        <w:pStyle w:val="BodyText"/>
      </w:pPr>
      <w:r>
        <w:t xml:space="preserve">Building on this foundation, future studies could try to find answers to important questions such as the following: What are the effects of Respekt</w:t>
      </w:r>
      <w:r>
        <w:rPr>
          <w:vertAlign w:val="superscript"/>
        </w:rPr>
        <w:t xml:space="preserve">2</w:t>
      </w:r>
      <w:r>
        <w:t xml:space="preserve"> </w:t>
      </w:r>
      <w:r>
        <w:t xml:space="preserve">for clinical populations, e.g. patients diagnosed with with any of emotional instability, schizophrenia, social phobia, generalized anxiety, and depression? More specifically, is it possible to replicate the within-group findings in the current study that Respect</w:t>
      </w:r>
      <w:r>
        <w:rPr>
          <w:vertAlign w:val="superscript"/>
        </w:rPr>
        <w:t xml:space="preserve">2</w:t>
      </w:r>
      <w:r>
        <w:t xml:space="preserve"> </w:t>
      </w:r>
      <w:r>
        <w:t xml:space="preserve">might benefit participants suffering from symptoms of generalized anxiety and depression, and if so, on what time-scale? What are the effects for any of non-clinical ailments, such as work-related stress, work–private life balance issues, and relationship problems? And more generally, for which psychological problems and problems in living could assertiveness as a trans-diagnostic treatment target improve compliance to exposure and thus help increase levels of valued living?</w:t>
      </w:r>
    </w:p>
    <w:p>
      <w:pPr>
        <w:pStyle w:val="BodyText"/>
      </w:pPr>
      <w:r>
        <w:t xml:space="preserve">uppföljning inloggningar etc för att kunna särskilja olika kausala faktorer för terapeutstöttningens effekter</w:t>
      </w:r>
    </w:p>
    <w:p>
      <w:pPr>
        <w:pStyle w:val="BodyText"/>
      </w:pPr>
      <w:r>
        <w:t xml:space="preserve">Other questions worth persuing include: What are the normative means for the Swedish translations of AAA-S and the RAS in a Swedish clinical and non-clinical population, respectively?</w:t>
      </w:r>
      <w:r>
        <w:t xml:space="preserve"> </w:t>
      </w:r>
      <w:r>
        <w:t xml:space="preserve">- What part of the general population would find</w:t>
      </w:r>
      <w:r>
        <w:t xml:space="preserve"> </w:t>
      </w:r>
      <w:r>
        <w:t xml:space="preserve">‘</w:t>
      </w:r>
      <w:r>
        <w:t xml:space="preserve">assertiveness</w:t>
      </w:r>
      <w:r>
        <w:t xml:space="preserve">’</w:t>
      </w:r>
      <w:r>
        <w:t xml:space="preserve"> </w:t>
      </w:r>
      <w:r>
        <w:t xml:space="preserve">appealing as a possbile treatment target, if presented as one of many choices (among them, reduction of symptoms)?</w:t>
      </w:r>
      <w:r>
        <w:t xml:space="preserve"> </w:t>
      </w:r>
      <w:r>
        <w:t xml:space="preserve">- Expanding to a broader question: what are the benefits of using approach behaviors as treatment targets?</w:t>
      </w:r>
      <w:r>
        <w:t xml:space="preserve"> </w:t>
      </w:r>
      <w:r>
        <w:t xml:space="preserve">– Idé: kvalitativ studie i psykiatrin,</w:t>
      </w:r>
      <w:r>
        <w:t xml:space="preserve"> </w:t>
      </w:r>
      <w:r>
        <w:t xml:space="preserve">“</w:t>
      </w:r>
      <w:r>
        <w:t xml:space="preserve">Om du fick välja att arbeta med de problem du har, vilket eller vilka av följande mål skulle vara hjälpsamma för dig? Öka självmedkänsla? Minska problem med uppskjutande? Minska perfektionism? Öka självhävdelseförmåga? Arbeta med att formulera för dig relevanta livsmål? Öka beteendemässig flexibilitet? Ökad förmåga att ta distans till tankar? Ökad förmåga att acceptera svåra känslor, minnen, upplevelser?</w:t>
      </w:r>
      <w:r>
        <w:t xml:space="preserve">”</w:t>
      </w:r>
      <w:r>
        <w:t xml:space="preserve"> </w:t>
      </w:r>
      <w:r>
        <w:t xml:space="preserve">– DBT-kontext</w:t>
      </w:r>
    </w:p>
    <w:bookmarkEnd w:id="61"/>
    <w:bookmarkStart w:id="141" w:name="references"/>
    <w:p>
      <w:pPr>
        <w:pStyle w:val="Heading2"/>
      </w:pPr>
      <w:r>
        <w:t xml:space="preserve">References</w:t>
      </w:r>
    </w:p>
    <w:bookmarkStart w:id="140" w:name="refs"/>
    <w:bookmarkStart w:id="62"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62"/>
    <w:bookmarkStart w:id="63"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63"/>
    <w:bookmarkStart w:id="65"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64">
        <w:r>
          <w:rPr>
            <w:rStyle w:val="Hyperlink"/>
          </w:rPr>
          <w:t xml:space="preserve">https://doi.org/10.1016/j.janxdis.2018.01.001</w:t>
        </w:r>
      </w:hyperlink>
    </w:p>
    <w:bookmarkEnd w:id="65"/>
    <w:bookmarkStart w:id="67" w:name="ref-Antunez2020"/>
    <w:p>
      <w:pPr>
        <w:pStyle w:val="Bibliography"/>
      </w:pPr>
      <w:r>
        <w:t xml:space="preserve">Antúnez, J. M. (2020). Circadian typology is related to emotion regulation, metacognitive beliefs and assertiveness in healthy adults.</w:t>
      </w:r>
      <w:r>
        <w:t xml:space="preserve"> </w:t>
      </w:r>
      <w:r>
        <w:rPr>
          <w:iCs/>
          <w:i/>
        </w:rPr>
        <w:t xml:space="preserve">PLOS ONE</w:t>
      </w:r>
      <w:r>
        <w:t xml:space="preserve">,</w:t>
      </w:r>
      <w:r>
        <w:t xml:space="preserve"> </w:t>
      </w:r>
      <w:r>
        <w:rPr>
          <w:iCs/>
          <w:i/>
        </w:rPr>
        <w:t xml:space="preserve">15</w:t>
      </w:r>
      <w:r>
        <w:t xml:space="preserve">, e0230169.</w:t>
      </w:r>
      <w:r>
        <w:t xml:space="preserve"> </w:t>
      </w:r>
      <w:hyperlink r:id="rId66">
        <w:r>
          <w:rPr>
            <w:rStyle w:val="Hyperlink"/>
          </w:rPr>
          <w:t xml:space="preserve">https://doi.org/10.1371/journal.pone.0230169</w:t>
        </w:r>
      </w:hyperlink>
    </w:p>
    <w:bookmarkEnd w:id="67"/>
    <w:bookmarkStart w:id="69"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68">
        <w:r>
          <w:rPr>
            <w:rStyle w:val="Hyperlink"/>
          </w:rPr>
          <w:t xml:space="preserve">https://doi.org/10.4018/978-1-4666-5942-1</w:t>
        </w:r>
      </w:hyperlink>
    </w:p>
    <w:bookmarkEnd w:id="69"/>
    <w:bookmarkStart w:id="71"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70">
        <w:r>
          <w:rPr>
            <w:rStyle w:val="Hyperlink"/>
          </w:rPr>
          <w:t xml:space="preserve">https://doi.org/10.1016/j.invent.2014.08.003</w:t>
        </w:r>
      </w:hyperlink>
    </w:p>
    <w:bookmarkEnd w:id="71"/>
    <w:bookmarkStart w:id="72"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72"/>
    <w:bookmarkStart w:id="74"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73">
        <w:r>
          <w:rPr>
            <w:rStyle w:val="Hyperlink"/>
          </w:rPr>
          <w:t xml:space="preserve">https://doi.org/10.1080/16506073.2017.1401115</w:t>
        </w:r>
      </w:hyperlink>
    </w:p>
    <w:bookmarkEnd w:id="74"/>
    <w:bookmarkStart w:id="76"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75">
        <w:r>
          <w:rPr>
            <w:rStyle w:val="Hyperlink"/>
          </w:rPr>
          <w:t xml:space="preserve">https://doi.org/10.1146/annurev.psych.52.1.685</w:t>
        </w:r>
      </w:hyperlink>
    </w:p>
    <w:bookmarkEnd w:id="76"/>
    <w:bookmarkStart w:id="78"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77">
        <w:r>
          <w:rPr>
            <w:rStyle w:val="Hyperlink"/>
          </w:rPr>
          <w:t xml:space="preserve">https://doi.org/10.1016/0005-7967(86)90011-2</w:t>
        </w:r>
      </w:hyperlink>
    </w:p>
    <w:bookmarkEnd w:id="78"/>
    <w:bookmarkStart w:id="79"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79"/>
    <w:bookmarkStart w:id="81"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80">
        <w:r>
          <w:rPr>
            <w:rStyle w:val="Hyperlink"/>
          </w:rPr>
          <w:t xml:space="preserve">https://CRAN.R-project.org/package=clinicalsignificance</w:t>
        </w:r>
      </w:hyperlink>
    </w:p>
    <w:bookmarkEnd w:id="81"/>
    <w:bookmarkStart w:id="82"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82"/>
    <w:bookmarkStart w:id="84"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83">
        <w:r>
          <w:rPr>
            <w:rStyle w:val="Hyperlink"/>
          </w:rPr>
          <w:t xml:space="preserve">https://doi.org/10.1016/j.brat.2007.10.003</w:t>
        </w:r>
      </w:hyperlink>
    </w:p>
    <w:bookmarkEnd w:id="84"/>
    <w:bookmarkStart w:id="86"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85">
        <w:r>
          <w:rPr>
            <w:rStyle w:val="Hyperlink"/>
          </w:rPr>
          <w:t xml:space="preserve">https://doi.org/10.1016/j.brat.2013.03.003</w:t>
        </w:r>
      </w:hyperlink>
    </w:p>
    <w:bookmarkEnd w:id="86"/>
    <w:bookmarkStart w:id="87"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87"/>
    <w:bookmarkStart w:id="89"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8">
        <w:r>
          <w:rPr>
            <w:rStyle w:val="Hyperlink"/>
          </w:rPr>
          <w:t xml:space="preserve">https://doi.org/10.1017/S0033291701004056</w:t>
        </w:r>
      </w:hyperlink>
    </w:p>
    <w:bookmarkEnd w:id="89"/>
    <w:bookmarkStart w:id="90"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90"/>
    <w:bookmarkStart w:id="92"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91">
        <w:r>
          <w:rPr>
            <w:rStyle w:val="Hyperlink"/>
          </w:rPr>
          <w:t xml:space="preserve">https://www.random.org</w:t>
        </w:r>
      </w:hyperlink>
      <w:r>
        <w:t xml:space="preserve">.</w:t>
      </w:r>
    </w:p>
    <w:bookmarkEnd w:id="92"/>
    <w:bookmarkStart w:id="94"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93">
        <w:r>
          <w:rPr>
            <w:rStyle w:val="Hyperlink"/>
          </w:rPr>
          <w:t xml:space="preserve">https://doi.org/10.1016/S0005-7894(04)80013-3</w:t>
        </w:r>
      </w:hyperlink>
    </w:p>
    <w:bookmarkEnd w:id="94"/>
    <w:bookmarkStart w:id="96"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95">
        <w:r>
          <w:rPr>
            <w:rStyle w:val="Hyperlink"/>
          </w:rPr>
          <w:t xml:space="preserve">https://doi.org/10.1007/s10608-012-9476-1</w:t>
        </w:r>
      </w:hyperlink>
    </w:p>
    <w:bookmarkEnd w:id="96"/>
    <w:bookmarkStart w:id="97"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7"/>
    <w:bookmarkStart w:id="99"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8">
        <w:r>
          <w:rPr>
            <w:rStyle w:val="Hyperlink"/>
          </w:rPr>
          <w:t xml:space="preserve">https://doi.org/10.1016/j.genhosppsych.2010.03.006</w:t>
        </w:r>
      </w:hyperlink>
    </w:p>
    <w:bookmarkEnd w:id="99"/>
    <w:bookmarkStart w:id="101"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100">
        <w:r>
          <w:rPr>
            <w:rStyle w:val="Hyperlink"/>
          </w:rPr>
          <w:t xml:space="preserve">https://github.com/runehaubo/lmerTestR</w:t>
        </w:r>
      </w:hyperlink>
    </w:p>
    <w:bookmarkEnd w:id="101"/>
    <w:bookmarkStart w:id="103" w:name="ref-R-performance"/>
    <w:p>
      <w:pPr>
        <w:pStyle w:val="Bibliography"/>
      </w:pPr>
      <w:r>
        <w:t xml:space="preserve">L?decke,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2">
        <w:r>
          <w:rPr>
            <w:rStyle w:val="Hyperlink"/>
          </w:rPr>
          <w:t xml:space="preserve">https://easystats.github.io/performance/</w:t>
        </w:r>
      </w:hyperlink>
    </w:p>
    <w:bookmarkEnd w:id="103"/>
    <w:bookmarkStart w:id="105"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104">
        <w:r>
          <w:rPr>
            <w:rStyle w:val="Hyperlink"/>
          </w:rPr>
          <w:t xml:space="preserve">https://cran.r-project.org/package=emmeans</w:t>
        </w:r>
      </w:hyperlink>
    </w:p>
    <w:bookmarkEnd w:id="105"/>
    <w:bookmarkStart w:id="107"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106">
        <w:r>
          <w:rPr>
            <w:rStyle w:val="Hyperlink"/>
          </w:rPr>
          <w:t xml:space="preserve">https://doi.org/10.1016/B978-0-12-404480-7.50013-7</w:t>
        </w:r>
      </w:hyperlink>
    </w:p>
    <w:bookmarkEnd w:id="107"/>
    <w:bookmarkStart w:id="108"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8"/>
    <w:bookmarkStart w:id="110"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9">
        <w:r>
          <w:rPr>
            <w:rStyle w:val="Hyperlink"/>
          </w:rPr>
          <w:t xml:space="preserve">https://doi.org/10.21105/joss.00772</w:t>
        </w:r>
      </w:hyperlink>
    </w:p>
    <w:bookmarkEnd w:id="110"/>
    <w:bookmarkStart w:id="112"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11">
        <w:r>
          <w:rPr>
            <w:rStyle w:val="Hyperlink"/>
          </w:rPr>
          <w:t xml:space="preserve">www.cci.health.wa.gov.au/Resources/Looking-After-Yourself/Assertiveness</w:t>
        </w:r>
      </w:hyperlink>
    </w:p>
    <w:bookmarkEnd w:id="112"/>
    <w:bookmarkStart w:id="114"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w:t>
      </w:r>
      <w:r>
        <w:t xml:space="preserve"> </w:t>
      </w:r>
      <w:r>
        <w:rPr>
          <w:iCs/>
          <w:i/>
        </w:rPr>
        <w:t xml:space="preserve">Japanese Psychological Research</w:t>
      </w:r>
      <w:r>
        <w:t xml:space="preserve">,</w:t>
      </w:r>
      <w:r>
        <w:t xml:space="preserve"> </w:t>
      </w:r>
      <w:r>
        <w:rPr>
          <w:iCs/>
          <w:i/>
        </w:rPr>
        <w:t xml:space="preserve">60</w:t>
      </w:r>
      <w:r>
        <w:t xml:space="preserve">(2), 99–110.</w:t>
      </w:r>
      <w:r>
        <w:t xml:space="preserve"> </w:t>
      </w:r>
      <w:hyperlink r:id="rId113">
        <w:r>
          <w:rPr>
            <w:rStyle w:val="Hyperlink"/>
          </w:rPr>
          <w:t xml:space="preserve">https://doi.org/10.1111/jpr.12185</w:t>
        </w:r>
      </w:hyperlink>
    </w:p>
    <w:bookmarkEnd w:id="114"/>
    <w:bookmarkStart w:id="116" w:name="ref-Mohr2011"/>
    <w:p>
      <w:pPr>
        <w:pStyle w:val="Bibliography"/>
      </w:pPr>
      <w:r>
        <w:t xml:space="preserve">Mohr, D. C., Cuijpers, P., &amp; Lehman, K. (2011). Supportive accountability: A model for providing human support to enhance adherence to eHealth interventions.</w:t>
      </w:r>
      <w:r>
        <w:t xml:space="preserve"> </w:t>
      </w:r>
      <w:r>
        <w:rPr>
          <w:iCs/>
          <w:i/>
        </w:rPr>
        <w:t xml:space="preserve">Journal of Medical Internet Research</w:t>
      </w:r>
      <w:r>
        <w:t xml:space="preserve">,</w:t>
      </w:r>
      <w:r>
        <w:t xml:space="preserve"> </w:t>
      </w:r>
      <w:r>
        <w:rPr>
          <w:iCs/>
          <w:i/>
        </w:rPr>
        <w:t xml:space="preserve">13</w:t>
      </w:r>
      <w:r>
        <w:t xml:space="preserve">, e30.</w:t>
      </w:r>
      <w:r>
        <w:t xml:space="preserve"> </w:t>
      </w:r>
      <w:hyperlink r:id="rId115">
        <w:r>
          <w:rPr>
            <w:rStyle w:val="Hyperlink"/>
          </w:rPr>
          <w:t xml:space="preserve">https://doi.org/10.2196/jmir.1602</w:t>
        </w:r>
      </w:hyperlink>
    </w:p>
    <w:bookmarkEnd w:id="116"/>
    <w:bookmarkStart w:id="117"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17"/>
    <w:bookmarkStart w:id="118"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18"/>
    <w:bookmarkStart w:id="120"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19">
        <w:r>
          <w:rPr>
            <w:rStyle w:val="Hyperlink"/>
          </w:rPr>
          <w:t xml:space="preserve">https://doi.org/10.1016/S0005-7894(73)80120-0</w:t>
        </w:r>
      </w:hyperlink>
    </w:p>
    <w:bookmarkEnd w:id="120"/>
    <w:bookmarkStart w:id="122"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21">
        <w:r>
          <w:rPr>
            <w:rStyle w:val="Hyperlink"/>
          </w:rPr>
          <w:t xml:space="preserve">https://doi.org/10.1037/ccp0000023</w:t>
        </w:r>
      </w:hyperlink>
    </w:p>
    <w:bookmarkEnd w:id="122"/>
    <w:bookmarkStart w:id="124"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23">
        <w:r>
          <w:rPr>
            <w:rStyle w:val="Hyperlink"/>
          </w:rPr>
          <w:t xml:space="preserve">https://doi.org/10.1016/j.brat.2017.05.015</w:t>
        </w:r>
      </w:hyperlink>
    </w:p>
    <w:bookmarkEnd w:id="124"/>
    <w:bookmarkStart w:id="125"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25"/>
    <w:bookmarkStart w:id="127"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26">
        <w:r>
          <w:rPr>
            <w:rStyle w:val="Hyperlink"/>
          </w:rPr>
          <w:t xml:space="preserve">https://sealedenvelope.com/simple-randomiser/v1</w:t>
        </w:r>
      </w:hyperlink>
      <w:r>
        <w:t xml:space="preserve">.</w:t>
      </w:r>
    </w:p>
    <w:bookmarkEnd w:id="127"/>
    <w:bookmarkStart w:id="128"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28"/>
    <w:bookmarkStart w:id="130"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29">
        <w:r>
          <w:rPr>
            <w:rStyle w:val="Hyperlink"/>
          </w:rPr>
          <w:t xml:space="preserve">https://doi.org/10.1111/cpsp.12216</w:t>
        </w:r>
      </w:hyperlink>
    </w:p>
    <w:bookmarkEnd w:id="130"/>
    <w:bookmarkStart w:id="132"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31">
        <w:r>
          <w:rPr>
            <w:rStyle w:val="Hyperlink"/>
          </w:rPr>
          <w:t xml:space="preserve">https://doi.org/10.1001/archinte.166.10.1092</w:t>
        </w:r>
      </w:hyperlink>
    </w:p>
    <w:bookmarkEnd w:id="132"/>
    <w:bookmarkStart w:id="134"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33">
        <w:r>
          <w:rPr>
            <w:rStyle w:val="Hyperlink"/>
          </w:rPr>
          <w:t xml:space="preserve">https://doi.org/10.1007/s10862-011-9226-9</w:t>
        </w:r>
      </w:hyperlink>
    </w:p>
    <w:bookmarkEnd w:id="134"/>
    <w:bookmarkStart w:id="136"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35">
        <w:r>
          <w:rPr>
            <w:rStyle w:val="Hyperlink"/>
          </w:rPr>
          <w:t xml:space="preserve">https://doi.org/10.1007/s10942-018-0296-4</w:t>
        </w:r>
      </w:hyperlink>
    </w:p>
    <w:bookmarkEnd w:id="136"/>
    <w:bookmarkStart w:id="137"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37"/>
    <w:bookmarkStart w:id="138" w:name="ref-wolpe1990practice"/>
    <w:p>
      <w:pPr>
        <w:pStyle w:val="Bibliography"/>
      </w:pPr>
      <w:r>
        <w:t xml:space="preserve">Wolpe, J. (1990).</w:t>
      </w:r>
      <w:r>
        <w:t xml:space="preserve"> </w:t>
      </w:r>
      <w:r>
        <w:rPr>
          <w:iCs/>
          <w:i/>
        </w:rPr>
        <w:t xml:space="preserve">The practice of behavior therapy</w:t>
      </w:r>
      <w:r>
        <w:t xml:space="preserve">. Pergamon Press.</w:t>
      </w:r>
    </w:p>
    <w:bookmarkEnd w:id="138"/>
    <w:bookmarkStart w:id="139"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39"/>
    <w:bookmarkEnd w:id="140"/>
    <w:bookmarkEnd w:id="141"/>
    <w:bookmarkEnd w:id="1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hyperlink" Id="rId80" Target="https://CRAN.R-project.org/package=clinicalsignificance" TargetMode="External" /><Relationship Type="http://schemas.openxmlformats.org/officeDocument/2006/relationships/hyperlink" Id="rId104" Target="https://cran.r-project.org/package=emmeans" TargetMode="External" /><Relationship Type="http://schemas.openxmlformats.org/officeDocument/2006/relationships/hyperlink" Id="rId131" Target="https://doi.org/10.1001/archinte.166.10.1092" TargetMode="External" /><Relationship Type="http://schemas.openxmlformats.org/officeDocument/2006/relationships/hyperlink" Id="rId95" Target="https://doi.org/10.1007/s10608-012-9476-1" TargetMode="External" /><Relationship Type="http://schemas.openxmlformats.org/officeDocument/2006/relationships/hyperlink" Id="rId133" Target="https://doi.org/10.1007/s10862-011-9226-9" TargetMode="External" /><Relationship Type="http://schemas.openxmlformats.org/officeDocument/2006/relationships/hyperlink" Id="rId135" Target="https://doi.org/10.1007/s10942-018-0296-4" TargetMode="External" /><Relationship Type="http://schemas.openxmlformats.org/officeDocument/2006/relationships/hyperlink" Id="rId77" Target="https://doi.org/10.1016/0005-7967(86)90011-2" TargetMode="External" /><Relationship Type="http://schemas.openxmlformats.org/officeDocument/2006/relationships/hyperlink" Id="rId106" Target="https://doi.org/10.1016/B978-0-12-404480-7.50013-7" TargetMode="External" /><Relationship Type="http://schemas.openxmlformats.org/officeDocument/2006/relationships/hyperlink" Id="rId93" Target="https://doi.org/10.1016/S0005-7894(04)80013-3" TargetMode="External" /><Relationship Type="http://schemas.openxmlformats.org/officeDocument/2006/relationships/hyperlink" Id="rId119" Target="https://doi.org/10.1016/S0005-7894(73)80120-0" TargetMode="External" /><Relationship Type="http://schemas.openxmlformats.org/officeDocument/2006/relationships/hyperlink" Id="rId83" Target="https://doi.org/10.1016/j.brat.2007.10.003" TargetMode="External" /><Relationship Type="http://schemas.openxmlformats.org/officeDocument/2006/relationships/hyperlink" Id="rId85" Target="https://doi.org/10.1016/j.brat.2013.03.003" TargetMode="External" /><Relationship Type="http://schemas.openxmlformats.org/officeDocument/2006/relationships/hyperlink" Id="rId123" Target="https://doi.org/10.1016/j.brat.2017.05.015" TargetMode="External" /><Relationship Type="http://schemas.openxmlformats.org/officeDocument/2006/relationships/hyperlink" Id="rId98" Target="https://doi.org/10.1016/j.genhosppsych.2010.03.006" TargetMode="External" /><Relationship Type="http://schemas.openxmlformats.org/officeDocument/2006/relationships/hyperlink" Id="rId70" Target="https://doi.org/10.1016/j.invent.2014.08.003" TargetMode="External" /><Relationship Type="http://schemas.openxmlformats.org/officeDocument/2006/relationships/hyperlink" Id="rId64" Target="https://doi.org/10.1016/j.janxdis.2018.01.001" TargetMode="External" /><Relationship Type="http://schemas.openxmlformats.org/officeDocument/2006/relationships/hyperlink" Id="rId88" Target="https://doi.org/10.1017/S0033291701004056" TargetMode="External" /><Relationship Type="http://schemas.openxmlformats.org/officeDocument/2006/relationships/hyperlink" Id="rId121" Target="https://doi.org/10.1037/ccp0000023" TargetMode="External" /><Relationship Type="http://schemas.openxmlformats.org/officeDocument/2006/relationships/hyperlink" Id="rId73" Target="https://doi.org/10.1080/16506073.2017.1401115" TargetMode="External" /><Relationship Type="http://schemas.openxmlformats.org/officeDocument/2006/relationships/hyperlink" Id="rId129" Target="https://doi.org/10.1111/cpsp.12216" TargetMode="External" /><Relationship Type="http://schemas.openxmlformats.org/officeDocument/2006/relationships/hyperlink" Id="rId113" Target="https://doi.org/10.1111/jpr.12185" TargetMode="External" /><Relationship Type="http://schemas.openxmlformats.org/officeDocument/2006/relationships/hyperlink" Id="rId75" Target="https://doi.org/10.1146/annurev.psych.52.1.685" TargetMode="External" /><Relationship Type="http://schemas.openxmlformats.org/officeDocument/2006/relationships/hyperlink" Id="rId66" Target="https://doi.org/10.1371/journal.pone.0230169" TargetMode="External" /><Relationship Type="http://schemas.openxmlformats.org/officeDocument/2006/relationships/hyperlink" Id="rId109" Target="https://doi.org/10.21105/joss.00772" TargetMode="External" /><Relationship Type="http://schemas.openxmlformats.org/officeDocument/2006/relationships/hyperlink" Id="rId115" Target="https://doi.org/10.2196/jmir.1602" TargetMode="External" /><Relationship Type="http://schemas.openxmlformats.org/officeDocument/2006/relationships/hyperlink" Id="rId68" Target="https://doi.org/10.4018/978-1-4666-5942-1" TargetMode="External" /><Relationship Type="http://schemas.openxmlformats.org/officeDocument/2006/relationships/hyperlink" Id="rId102" Target="https://easystats.github.io/performance/" TargetMode="External" /><Relationship Type="http://schemas.openxmlformats.org/officeDocument/2006/relationships/hyperlink" Id="rId38" Target="https://github.com/hmep/r2fu/" TargetMode="External" /><Relationship Type="http://schemas.openxmlformats.org/officeDocument/2006/relationships/hyperlink" Id="rId100" Target="https://github.com/runehaubo/lmerTestR" TargetMode="External" /><Relationship Type="http://schemas.openxmlformats.org/officeDocument/2006/relationships/hyperlink" Id="rId126" Target="https://sealedenvelope.com/simple-randomiser/v1" TargetMode="External" /><Relationship Type="http://schemas.openxmlformats.org/officeDocument/2006/relationships/hyperlink" Id="rId111" Target="https://www.cci.health.wa.gov.au/Resources/Looking-After-Yourself/Assertiveness" TargetMode="External" /><Relationship Type="http://schemas.openxmlformats.org/officeDocument/2006/relationships/hyperlink" Id="rId91"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80" Target="https://CRAN.R-project.org/package=clinicalsignificance" TargetMode="External" /><Relationship Type="http://schemas.openxmlformats.org/officeDocument/2006/relationships/hyperlink" Id="rId104" Target="https://cran.r-project.org/package=emmeans" TargetMode="External" /><Relationship Type="http://schemas.openxmlformats.org/officeDocument/2006/relationships/hyperlink" Id="rId131" Target="https://doi.org/10.1001/archinte.166.10.1092" TargetMode="External" /><Relationship Type="http://schemas.openxmlformats.org/officeDocument/2006/relationships/hyperlink" Id="rId95" Target="https://doi.org/10.1007/s10608-012-9476-1" TargetMode="External" /><Relationship Type="http://schemas.openxmlformats.org/officeDocument/2006/relationships/hyperlink" Id="rId133" Target="https://doi.org/10.1007/s10862-011-9226-9" TargetMode="External" /><Relationship Type="http://schemas.openxmlformats.org/officeDocument/2006/relationships/hyperlink" Id="rId135" Target="https://doi.org/10.1007/s10942-018-0296-4" TargetMode="External" /><Relationship Type="http://schemas.openxmlformats.org/officeDocument/2006/relationships/hyperlink" Id="rId77" Target="https://doi.org/10.1016/0005-7967(86)90011-2" TargetMode="External" /><Relationship Type="http://schemas.openxmlformats.org/officeDocument/2006/relationships/hyperlink" Id="rId106" Target="https://doi.org/10.1016/B978-0-12-404480-7.50013-7" TargetMode="External" /><Relationship Type="http://schemas.openxmlformats.org/officeDocument/2006/relationships/hyperlink" Id="rId93" Target="https://doi.org/10.1016/S0005-7894(04)80013-3" TargetMode="External" /><Relationship Type="http://schemas.openxmlformats.org/officeDocument/2006/relationships/hyperlink" Id="rId119" Target="https://doi.org/10.1016/S0005-7894(73)80120-0" TargetMode="External" /><Relationship Type="http://schemas.openxmlformats.org/officeDocument/2006/relationships/hyperlink" Id="rId83" Target="https://doi.org/10.1016/j.brat.2007.10.003" TargetMode="External" /><Relationship Type="http://schemas.openxmlformats.org/officeDocument/2006/relationships/hyperlink" Id="rId85" Target="https://doi.org/10.1016/j.brat.2013.03.003" TargetMode="External" /><Relationship Type="http://schemas.openxmlformats.org/officeDocument/2006/relationships/hyperlink" Id="rId123" Target="https://doi.org/10.1016/j.brat.2017.05.015" TargetMode="External" /><Relationship Type="http://schemas.openxmlformats.org/officeDocument/2006/relationships/hyperlink" Id="rId98" Target="https://doi.org/10.1016/j.genhosppsych.2010.03.006" TargetMode="External" /><Relationship Type="http://schemas.openxmlformats.org/officeDocument/2006/relationships/hyperlink" Id="rId70" Target="https://doi.org/10.1016/j.invent.2014.08.003" TargetMode="External" /><Relationship Type="http://schemas.openxmlformats.org/officeDocument/2006/relationships/hyperlink" Id="rId64" Target="https://doi.org/10.1016/j.janxdis.2018.01.001" TargetMode="External" /><Relationship Type="http://schemas.openxmlformats.org/officeDocument/2006/relationships/hyperlink" Id="rId88" Target="https://doi.org/10.1017/S0033291701004056" TargetMode="External" /><Relationship Type="http://schemas.openxmlformats.org/officeDocument/2006/relationships/hyperlink" Id="rId121" Target="https://doi.org/10.1037/ccp0000023" TargetMode="External" /><Relationship Type="http://schemas.openxmlformats.org/officeDocument/2006/relationships/hyperlink" Id="rId73" Target="https://doi.org/10.1080/16506073.2017.1401115" TargetMode="External" /><Relationship Type="http://schemas.openxmlformats.org/officeDocument/2006/relationships/hyperlink" Id="rId129" Target="https://doi.org/10.1111/cpsp.12216" TargetMode="External" /><Relationship Type="http://schemas.openxmlformats.org/officeDocument/2006/relationships/hyperlink" Id="rId113" Target="https://doi.org/10.1111/jpr.12185" TargetMode="External" /><Relationship Type="http://schemas.openxmlformats.org/officeDocument/2006/relationships/hyperlink" Id="rId75" Target="https://doi.org/10.1146/annurev.psych.52.1.685" TargetMode="External" /><Relationship Type="http://schemas.openxmlformats.org/officeDocument/2006/relationships/hyperlink" Id="rId66" Target="https://doi.org/10.1371/journal.pone.0230169" TargetMode="External" /><Relationship Type="http://schemas.openxmlformats.org/officeDocument/2006/relationships/hyperlink" Id="rId109" Target="https://doi.org/10.21105/joss.00772" TargetMode="External" /><Relationship Type="http://schemas.openxmlformats.org/officeDocument/2006/relationships/hyperlink" Id="rId115" Target="https://doi.org/10.2196/jmir.1602" TargetMode="External" /><Relationship Type="http://schemas.openxmlformats.org/officeDocument/2006/relationships/hyperlink" Id="rId68" Target="https://doi.org/10.4018/978-1-4666-5942-1" TargetMode="External" /><Relationship Type="http://schemas.openxmlformats.org/officeDocument/2006/relationships/hyperlink" Id="rId102" Target="https://easystats.github.io/performance/" TargetMode="External" /><Relationship Type="http://schemas.openxmlformats.org/officeDocument/2006/relationships/hyperlink" Id="rId38" Target="https://github.com/hmep/r2fu/" TargetMode="External" /><Relationship Type="http://schemas.openxmlformats.org/officeDocument/2006/relationships/hyperlink" Id="rId100" Target="https://github.com/runehaubo/lmerTestR" TargetMode="External" /><Relationship Type="http://schemas.openxmlformats.org/officeDocument/2006/relationships/hyperlink" Id="rId126" Target="https://sealedenvelope.com/simple-randomiser/v1" TargetMode="External" /><Relationship Type="http://schemas.openxmlformats.org/officeDocument/2006/relationships/hyperlink" Id="rId111" Target="https://www.cci.health.wa.gov.au/Resources/Looking-After-Yourself/Assertiveness" TargetMode="External" /><Relationship Type="http://schemas.openxmlformats.org/officeDocument/2006/relationships/hyperlink" Id="rId91"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2022-07-26T07:40:48Z</dcterms:created>
  <dcterms:modified xsi:type="dcterms:W3CDTF">2022-07-26T07:40:48Z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26 July 2022</vt:lpwstr>
  </property>
  <property fmtid="{D5CDD505-2E9C-101B-9397-08002B2CF9AE}" pid="5" name="editor_options">
    <vt:lpwstr/>
  </property>
  <property fmtid="{D5CDD505-2E9C-101B-9397-08002B2CF9AE}" pid="6" name="header-includes">
    <vt:lpwstr/>
  </property>
  <property fmtid="{D5CDD505-2E9C-101B-9397-08002B2CF9AE}" pid="7" name="knit">
    <vt:lpwstr>(function(inputFile, encoding){ rmarkdown::render(inputFile, encoding = encoding, output_format = “all”) })</vt:lpwstr>
  </property>
  <property fmtid="{D5CDD505-2E9C-101B-9397-08002B2CF9AE}" pid="8" name="link-citations">
    <vt:lpwstr>yes</vt:lpwstr>
  </property>
  <property fmtid="{D5CDD505-2E9C-101B-9397-08002B2CF9AE}" pid="9" name="output">
    <vt:lpwstr/>
  </property>
  <property fmtid="{D5CDD505-2E9C-101B-9397-08002B2CF9AE}" pid="10" name="tags">
    <vt:lpwstr/>
  </property>
</Properties>
</file>