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spacing w:before="0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Kathleen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Mullan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spacing w:before="264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J.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Richard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4"/>
          <w:sz w:val="36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>Wave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V: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Biomarkers,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Anthropometrics </w:t>
      </w:r>
      <w:r>
        <w:rPr>
          <w:rFonts w:ascii="Arial"/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1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2" w:right="2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2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6852480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3"/>
        <w:rPr>
          <w:sz w:val="48"/>
        </w:rPr>
      </w:pPr>
    </w:p>
    <w:p>
      <w:pPr>
        <w:spacing w:before="0"/>
        <w:ind w:left="5147" w:right="1791" w:hanging="1"/>
        <w:jc w:val="center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</w:t>
      </w:r>
      <w:r>
        <w:rPr>
          <w:rFonts w:ascii="Century"/>
          <w:spacing w:val="-2"/>
          <w:sz w:val="48"/>
        </w:rPr>
        <w:t>Anthropometrics Public-Use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143"/>
        <w:rPr>
          <w:rFonts w:ascii="Century"/>
          <w:sz w:val="19"/>
        </w:rPr>
      </w:pPr>
    </w:p>
    <w:p>
      <w:pPr>
        <w:spacing w:before="1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0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3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ARM - Q023 WHICH ARM IS MEASURED (1=R," w:id="5"/>
            <w:bookmarkEnd w:id="5"/>
            <w:r>
              <w:rPr>
                <w:rFonts w:ascii="Times New Roman"/>
                <w:spacing w:val="-10"/>
                <w:sz w:val="20"/>
              </w:rPr>
            </w:r>
            <w:bookmarkStart w:name="H5ARMCIR - MEASURED ARM CIRCUMFERENCE (C" w:id="6"/>
            <w:bookmarkEnd w:id="6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 V Anthropometrics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Anthropometrics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panthro5.xpt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H5ARM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Q023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WHICH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(1=R,2=L)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H5ARM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2544"/>
              <w:rPr>
                <w:sz w:val="20"/>
              </w:rPr>
            </w:pPr>
            <w:r>
              <w:rPr>
                <w:sz w:val="20"/>
              </w:rPr>
              <w:t>Use right arm unless instructed otherwise Q023.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measured?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right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1657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left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9.79%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99.89%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1837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H5ARMCIR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MEASURED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ARM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CIRCUMFERENCE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(CM)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H5ARMCIR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200"/>
              <w:rPr>
                <w:sz w:val="20"/>
              </w:rPr>
            </w:pPr>
            <w:r>
              <w:rPr>
                <w:sz w:val="20"/>
              </w:rPr>
              <w:t>Q025a.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circumference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nearest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inch. [Note: All measurements in inches were converted to centimeters.]</w:t>
            </w:r>
          </w:p>
        </w:tc>
      </w:tr>
    </w:tbl>
    <w:p>
      <w:pPr>
        <w:pStyle w:val="TableParagraph"/>
        <w:spacing w:after="0" w:line="290" w:lineRule="atLeast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1000" w:bottom="1040" w:left="720" w:right="720"/>
          <w:pgNumType w:start="1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bookmarkStart w:name="H5ARMINS - FLAG: ARM CONVERTED INCHES TO" w:id="7"/>
            <w:bookmarkEnd w:id="7"/>
            <w:r>
              <w:rPr/>
            </w:r>
            <w:bookmarkStart w:name="H5HGTINS - FLAG: HEIGHT CONVERTED INCHES" w:id="8"/>
            <w:bookmarkEnd w:id="8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30.892752...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5.2125934...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H5ARMINS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ARM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CONVERTED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INCHES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CMs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H5ARMINS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200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inches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centimeters.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1806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98.21%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98.42%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arm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H5HGTINS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HEIGHT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CONVERTED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INCHES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CMs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H5HGTINS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inches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centimeters.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97.28%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1.69%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1,820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98.97%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height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1.03%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1.03%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bookmarkStart w:name="H5WGTLBS - FLAG: WEIGHT CONVERTED LBs TO" w:id="9"/>
            <w:bookmarkEnd w:id="9"/>
            <w:r>
              <w:rPr>
                <w:rFonts w:ascii="Times New Roman"/>
                <w:spacing w:val="17"/>
                <w:sz w:val="20"/>
              </w:rPr>
            </w:r>
            <w:bookmarkStart w:name="H5BMICLS - CLASSIFICATION OF BMI (NIH) -" w:id="10"/>
            <w:bookmarkEnd w:id="10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H5WGTLBS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WEIGHT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CONVERTED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LBs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KGs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H5WGTLBS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pounds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kilograms.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1764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95.92%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96.71%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3.26%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3.29%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1,824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99.18%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weight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H5BMICLS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BMI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(NIH)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H5BMICLS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 w:right="200"/>
              <w:rPr>
                <w:sz w:val="20"/>
              </w:rPr>
            </w:pPr>
            <w:r>
              <w:rPr>
                <w:sz w:val="20"/>
              </w:rPr>
              <w:t>Body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Institutes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Health Clinical Guidelines on the Identification, Evaluation, and Treatment of Overweight and Obesity in Adults</w:t>
            </w: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underweight: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18.5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18.5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24.9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23.37%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overweight: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29.9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28.28%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28.73%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obesity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34.9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20.83%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21.16%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obesity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39.9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246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13.38%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13.59%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obesity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III: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12.13%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1,810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98.42%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BMI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bookmarkStart w:name="H5WAIST - MEASURED WAIST CIRCUMFERENCE (" w:id="11"/>
            <w:bookmarkEnd w:id="11"/>
            <w:r>
              <w:rPr>
                <w:rFonts w:ascii="Times New Roman"/>
                <w:spacing w:val="17"/>
                <w:sz w:val="20"/>
              </w:rPr>
            </w:r>
            <w:bookmarkStart w:name="H5WSTINS - FLAG: WAIST CONVERTED INCHES " w:id="12"/>
            <w:bookmarkEnd w:id="12"/>
            <w:r>
              <w:rPr>
                <w:rFonts w:ascii="Times New Roman"/>
                <w:spacing w:val="17"/>
                <w:sz w:val="20"/>
              </w:rPr>
            </w:r>
            <w:bookmarkStart w:name="H5WSTCLS - CLASSIFICATION OF WAIST CIRCU" w:id="13"/>
            <w:bookmarkEnd w:id="13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H5WAIST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MEASURED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WAIST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CIRCUMFERENCE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(CM)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H5WAIST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Q065a.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circumference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nearest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inch. [Note: All measurements in inches were converted to centimeters.]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measurement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51.5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172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97.960667...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18.592195...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H5WSTINS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WAIST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CONVERTED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INCHES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CMs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H5WSTINS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inches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centimeters.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1797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97.72%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1.69%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1,828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waist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H5WSTCLS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WAIST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CIRCUM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(NIH)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H5WSTCLS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Waist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circumference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Institutes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Health Clinical Guidelines on the Identification, Evaluation, and Treatment of Overweight and Obesity in Adults</w:t>
            </w:r>
          </w:p>
        </w:tc>
      </w:tr>
    </w:tbl>
    <w:p>
      <w:pPr>
        <w:pStyle w:val="TableParagraph"/>
        <w:spacing w:after="0" w:line="290" w:lineRule="atLeas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bookmarkStart w:name="H5HGT - MEASURED HEIGHT (CM) -W5" w:id="14"/>
            <w:bookmarkEnd w:id="14"/>
            <w:r>
              <w:rPr/>
            </w:r>
            <w:bookmarkStart w:name="H5WGT - MEASURED WEIGHT (KG) -W5" w:id="15"/>
            <w:bookmarkEnd w:id="15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135"/>
              <w:rPr>
                <w:sz w:val="20"/>
              </w:rPr>
            </w:pPr>
            <w:r>
              <w:rPr>
                <w:sz w:val="20"/>
              </w:rPr>
              <w:t>low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risk: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females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88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cm; males &lt;= 102 cm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866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47.37%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risk: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females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cm;</w:t>
            </w:r>
            <w:r>
              <w:rPr>
                <w:spacing w:val="-2"/>
                <w:sz w:val="20"/>
              </w:rPr>
              <w:t> males</w:t>
            </w:r>
          </w:p>
          <w:p>
            <w:pPr>
              <w:pStyle w:val="TableParagraph"/>
              <w:spacing w:line="224" w:lineRule="exact" w:before="45"/>
              <w:ind w:left="72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cm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962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52.31%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52.63%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1,828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waist </w:t>
            </w:r>
            <w:r>
              <w:rPr>
                <w:spacing w:val="-2"/>
                <w:sz w:val="20"/>
              </w:rPr>
              <w:t>measurement)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H5HGT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MEASURED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HEIGHT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(CM)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H5HGT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 w:right="733"/>
              <w:rPr>
                <w:sz w:val="20"/>
              </w:rPr>
            </w:pPr>
            <w:r>
              <w:rPr>
                <w:sz w:val="20"/>
              </w:rPr>
              <w:t>Q049a. EXAMINER: Record height to the nearest 0.5 cm or inch. [Note: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measurements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inches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centimeters.]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measurement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1.03%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170.00901...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9.5261854...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H5WGT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MEASURED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WEIGHT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(KG)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H5WGT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 w:right="1040"/>
              <w:rPr>
                <w:sz w:val="20"/>
              </w:rPr>
            </w:pPr>
            <w:r>
              <w:rPr>
                <w:sz w:val="20"/>
              </w:rPr>
              <w:t>Q061a. EXAMINER: Enter weight to the nearest 0.1 kg or lb.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[Note: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measurements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pounds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kilograms.]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measurement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bookmarkStart w:name="H5BMI - BMI (KG/M2) -W5" w:id="16"/>
            <w:bookmarkEnd w:id="16"/>
            <w:r>
              <w:rPr/>
            </w:r>
            <w:r>
              <w:rPr>
                <w:spacing w:val="-4"/>
                <w:sz w:val="20"/>
              </w:rPr>
              <w:t>1824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46.5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89.132949...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23.771022...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H5BMI - BMI (KG/M2) 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H5BMI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Body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(kg/m2)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Notes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BMI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calculated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top/bottom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weight.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measurements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 w:before="40"/>
              <w:ind w:left="72"/>
              <w:rPr>
                <w:sz w:val="20"/>
              </w:rPr>
            </w:pPr>
            <w:r>
              <w:rPr>
                <w:sz w:val="20"/>
              </w:rPr>
              <w:t>refused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height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skip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height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and/or </w:t>
            </w: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height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and/or </w:t>
            </w: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1.14%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16.5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63.5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30.817734...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7.7412630...</w:t>
            </w:r>
          </w:p>
        </w:tc>
      </w:tr>
    </w:tbl>
    <w:sectPr>
      <w:pgSz w:w="12240" w:h="15840"/>
      <w:pgMar w:header="793" w:footer="857" w:top="100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3488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852992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4000">
              <wp:simplePos x="0" y="0"/>
              <wp:positionH relativeFrom="page">
                <wp:posOffset>6528010</wp:posOffset>
              </wp:positionH>
              <wp:positionV relativeFrom="page">
                <wp:posOffset>9390143</wp:posOffset>
              </wp:positionV>
              <wp:extent cx="342900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42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016602pt;margin-top:739.381409pt;width:27pt;height:12pt;mso-position-horizontal-relative:page;mso-position-vertical-relative:page;z-index:-1685248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2464">
              <wp:simplePos x="0" y="0"/>
              <wp:positionH relativeFrom="page">
                <wp:posOffset>914400</wp:posOffset>
              </wp:positionH>
              <wp:positionV relativeFrom="page">
                <wp:posOffset>639406</wp:posOffset>
              </wp:positionV>
              <wp:extent cx="59436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854016" from="540pt,50.346985pt" to="72pt,50.34698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2976">
              <wp:simplePos x="0" y="0"/>
              <wp:positionH relativeFrom="page">
                <wp:posOffset>5543053</wp:posOffset>
              </wp:positionH>
              <wp:positionV relativeFrom="page">
                <wp:posOffset>491002</wp:posOffset>
              </wp:positionV>
              <wp:extent cx="1327150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3271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 Anthropometrics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460907pt;margin-top:38.661621pt;width:104.5pt;height:12pt;mso-position-horizontal-relative:page;mso-position-vertical-relative:page;z-index:-1685350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2"/>
                      </w:rPr>
                      <w:t> Anthropometrics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" w:right="2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Biomarkers, Anthropometrics"</cp:keywords>
  <dc:subject>Codebook/Questionnaire for Wave V: Biomarkers, Anthropometrics</dc:subject>
  <dc:title>National Longitudinal Study of Adolescent to Adult Health (Add Health), 1994-2018 [Public Use] Codebook/Questionnaire for Wave V: Biomarkers, Anthropometrics</dc:title>
  <dcterms:created xsi:type="dcterms:W3CDTF">2025-09-24T01:37:47Z</dcterms:created>
  <dcterms:modified xsi:type="dcterms:W3CDTF">2025-09-24T01:37:47Z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