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FF454" w14:textId="77777777" w:rsidR="00182E5A" w:rsidRPr="00CF6CFD" w:rsidRDefault="00182E5A" w:rsidP="00182E5A">
      <w:pPr>
        <w:pStyle w:val="NormalWeb"/>
        <w:spacing w:before="0" w:beforeAutospacing="0" w:afterAutospacing="0" w:line="276" w:lineRule="auto"/>
        <w:jc w:val="both"/>
        <w:rPr>
          <w:rFonts w:ascii="Arial" w:hAnsi="Arial" w:cs="Arial"/>
          <w:color w:val="0E101A"/>
          <w:sz w:val="22"/>
          <w:szCs w:val="22"/>
        </w:rPr>
      </w:pPr>
      <w:r w:rsidRPr="00CF6CFD">
        <w:rPr>
          <w:rStyle w:val="Strong"/>
          <w:rFonts w:ascii="Arial" w:eastAsiaTheme="majorEastAsia" w:hAnsi="Arial" w:cs="Arial"/>
          <w:color w:val="0E101A"/>
          <w:sz w:val="22"/>
          <w:szCs w:val="22"/>
        </w:rPr>
        <w:t xml:space="preserve">Introduction </w:t>
      </w:r>
    </w:p>
    <w:p w14:paraId="792CECA4" w14:textId="77777777" w:rsidR="00182E5A" w:rsidRPr="00CF6CFD" w:rsidRDefault="00182E5A" w:rsidP="00037A3D">
      <w:pPr>
        <w:pStyle w:val="NormalWeb"/>
        <w:spacing w:before="0" w:beforeAutospacing="0" w:afterAutospacing="0" w:line="276" w:lineRule="auto"/>
        <w:jc w:val="both"/>
        <w:rPr>
          <w:rFonts w:ascii="Arial" w:hAnsi="Arial" w:cs="Arial"/>
          <w:color w:val="0E101A"/>
          <w:sz w:val="22"/>
          <w:szCs w:val="22"/>
        </w:rPr>
      </w:pPr>
      <w:r w:rsidRPr="00CF6CFD">
        <w:rPr>
          <w:rFonts w:ascii="Arial" w:hAnsi="Arial" w:cs="Arial"/>
          <w:color w:val="0E101A"/>
          <w:sz w:val="22"/>
          <w:szCs w:val="22"/>
        </w:rPr>
        <w:t>The growing demand for organic produce has heightened the need for robust analytical methods to verify labeling and trace the origin of products. Stable isotope ratio analysis has emerged as a powerful approach in food authentication, since the isotopic composition of plants reflects both nutrient inputs and environmental conditions (Kelly et al. 2005). Among these, carbon (δ13C) and nitrogen (δ15N) isotopes are particularly relevant to agricultural systems and are increasingly applied in food authenticity studies (Bontempo et al. 2020).</w:t>
      </w:r>
    </w:p>
    <w:p w14:paraId="4B7F3D46" w14:textId="77777777" w:rsidR="00182E5A" w:rsidRPr="00CF6CFD" w:rsidRDefault="00182E5A" w:rsidP="00037A3D">
      <w:pPr>
        <w:pStyle w:val="NormalWeb"/>
        <w:spacing w:before="0" w:beforeAutospacing="0" w:afterAutospacing="0" w:line="276" w:lineRule="auto"/>
        <w:jc w:val="both"/>
        <w:rPr>
          <w:rFonts w:ascii="Arial" w:hAnsi="Arial" w:cs="Arial"/>
          <w:color w:val="0E101A"/>
          <w:sz w:val="22"/>
          <w:szCs w:val="22"/>
        </w:rPr>
      </w:pPr>
      <w:r w:rsidRPr="00CF6CFD">
        <w:rPr>
          <w:rFonts w:ascii="Arial" w:hAnsi="Arial" w:cs="Arial"/>
          <w:color w:val="0E101A"/>
          <w:sz w:val="22"/>
          <w:szCs w:val="22"/>
        </w:rPr>
        <w:t>Nitrogen isotopes offer insight into the sources of fertilizers. Synthetic nitrogen fertilizers produced via the Haber–Bosch process generally have δ15N values near 0‰, while organic amendments, such as manures and composts, have higher δ15N values than synthetic fertilizers (due to microbial processing and volatilization) (Bateman &amp; Kelly 2007). Consequently, crops grown with organic fertilizers often show higher δ15N values than those cultivated with synthetic inputs. Tomato studies confirm this pattern</w:t>
      </w:r>
      <w:r>
        <w:rPr>
          <w:rFonts w:ascii="Arial" w:hAnsi="Arial" w:cs="Arial"/>
          <w:color w:val="0E101A"/>
          <w:sz w:val="22"/>
          <w:szCs w:val="22"/>
        </w:rPr>
        <w:t>;</w:t>
      </w:r>
      <w:r w:rsidRPr="00CF6CFD">
        <w:rPr>
          <w:rFonts w:ascii="Arial" w:hAnsi="Arial" w:cs="Arial"/>
          <w:color w:val="0E101A"/>
          <w:sz w:val="22"/>
          <w:szCs w:val="22"/>
        </w:rPr>
        <w:t xml:space="preserve"> (Nakano et al. 2003) observed </w:t>
      </w:r>
      <w:r>
        <w:rPr>
          <w:rFonts w:ascii="Arial" w:hAnsi="Arial" w:cs="Arial"/>
          <w:color w:val="0E101A"/>
          <w:sz w:val="22"/>
          <w:szCs w:val="22"/>
        </w:rPr>
        <w:t xml:space="preserve">a </w:t>
      </w:r>
      <w:r w:rsidRPr="00CF6CFD">
        <w:rPr>
          <w:rFonts w:ascii="Arial" w:hAnsi="Arial" w:cs="Arial"/>
          <w:color w:val="0E101A"/>
          <w:sz w:val="22"/>
          <w:szCs w:val="22"/>
        </w:rPr>
        <w:t>δ15N value of +7.1‰ under organic fertigation versus +0.3‰ with inorganic fertilizer, and (</w:t>
      </w:r>
      <w:proofErr w:type="spellStart"/>
      <w:r w:rsidRPr="00CF6CFD">
        <w:rPr>
          <w:rFonts w:ascii="Arial" w:hAnsi="Arial" w:cs="Arial"/>
          <w:color w:val="0E101A"/>
          <w:sz w:val="22"/>
          <w:szCs w:val="22"/>
        </w:rPr>
        <w:t>Trandel</w:t>
      </w:r>
      <w:proofErr w:type="spellEnd"/>
      <w:r w:rsidRPr="00CF6CFD">
        <w:rPr>
          <w:rFonts w:ascii="Arial" w:hAnsi="Arial" w:cs="Arial"/>
          <w:color w:val="0E101A"/>
          <w:sz w:val="22"/>
          <w:szCs w:val="22"/>
        </w:rPr>
        <w:t xml:space="preserve"> et al. 2018) reported consistently higher δ15N value</w:t>
      </w:r>
      <w:r>
        <w:rPr>
          <w:rFonts w:ascii="Arial" w:hAnsi="Arial" w:cs="Arial"/>
          <w:color w:val="0E101A"/>
          <w:sz w:val="22"/>
          <w:szCs w:val="22"/>
        </w:rPr>
        <w:t>s</w:t>
      </w:r>
      <w:r w:rsidRPr="00CF6CFD">
        <w:rPr>
          <w:rFonts w:ascii="Arial" w:hAnsi="Arial" w:cs="Arial"/>
          <w:color w:val="0E101A"/>
          <w:sz w:val="22"/>
          <w:szCs w:val="22"/>
        </w:rPr>
        <w:t xml:space="preserve"> in greenhouse tomatoes amended with organic matter. However, our findings align with this pattern, showing a highly significant enrichment of +5–6‰ in organic tomato products relative to conventional ones, with almost no overlap between groups. These findings demonstrate δ15N as a robust discriminator of production method. In contrast, δ13C is less effective for distinguishing between farming systems, as it primarily reflects plant water-use efficiency and environmental stress, rather than the type of fertilizer used (Nakano et al. 2003; Bontempo et al. 2020). We also found similar results in our study; value differences in δ13C by farming type were marginal and only regionally consistent (e.g., Bavarian samples), highlighting environmental drivers as the primary source of variability.</w:t>
      </w:r>
    </w:p>
    <w:p w14:paraId="6B5E7D45" w14:textId="77777777" w:rsidR="00182E5A" w:rsidRPr="00CF6CFD" w:rsidRDefault="00182E5A" w:rsidP="00037A3D">
      <w:pPr>
        <w:pStyle w:val="NormalWeb"/>
        <w:spacing w:before="0" w:beforeAutospacing="0" w:afterAutospacing="0" w:line="276" w:lineRule="auto"/>
        <w:jc w:val="both"/>
        <w:rPr>
          <w:rFonts w:ascii="Arial" w:hAnsi="Arial" w:cs="Arial"/>
          <w:color w:val="0E101A"/>
          <w:sz w:val="22"/>
          <w:szCs w:val="22"/>
        </w:rPr>
      </w:pPr>
      <w:r w:rsidRPr="00CF6CFD">
        <w:rPr>
          <w:rFonts w:ascii="Arial" w:hAnsi="Arial" w:cs="Arial"/>
          <w:color w:val="0E101A"/>
          <w:sz w:val="22"/>
          <w:szCs w:val="22"/>
        </w:rPr>
        <w:t xml:space="preserve">Beyond production methods, stable isotopes also carry regional signals. Climate, soil type, and hydrology can alter baseline isotopic compositions (δ15N, δ13C), independently of farming system (Amundson et al. 2003). Multi-isotope approaches have been successful in distinguishing the regional origins of foods. For instance, </w:t>
      </w:r>
      <w:r>
        <w:rPr>
          <w:rFonts w:ascii="Arial" w:hAnsi="Arial" w:cs="Arial"/>
          <w:color w:val="0E101A"/>
          <w:sz w:val="22"/>
          <w:szCs w:val="22"/>
        </w:rPr>
        <w:t>(</w:t>
      </w:r>
      <w:r w:rsidRPr="00CF6CFD">
        <w:rPr>
          <w:rFonts w:ascii="Arial" w:hAnsi="Arial" w:cs="Arial"/>
          <w:color w:val="0E101A"/>
          <w:sz w:val="22"/>
          <w:szCs w:val="22"/>
        </w:rPr>
        <w:t xml:space="preserve">Bontempo et al. 2011) achieved high accuracy in classifying Italian tomato products using δ13C, δ15N, δ34S, and mineral profiles, while </w:t>
      </w:r>
      <w:r>
        <w:rPr>
          <w:rFonts w:ascii="Arial" w:hAnsi="Arial" w:cs="Arial"/>
          <w:color w:val="0E101A"/>
          <w:sz w:val="22"/>
          <w:szCs w:val="22"/>
        </w:rPr>
        <w:t>(</w:t>
      </w:r>
      <w:r w:rsidRPr="00CF6CFD">
        <w:rPr>
          <w:rFonts w:ascii="Arial" w:hAnsi="Arial" w:cs="Arial"/>
          <w:color w:val="0E101A"/>
          <w:sz w:val="22"/>
          <w:szCs w:val="22"/>
        </w:rPr>
        <w:t xml:space="preserve">Kelly et al. 2005) highlighted the value of isotopes in geographic traceability across diverse commodities. However, in our dataset, bulk δ13C and δ15N achieved only ~65% accuracy for regional classification, underscoring their limited power for origin tracing when used alone. Δ13C value clearly distinguished more arid from humid regions, while δ15N value varied with both fertilizer type and soil baselines, resulting in partial confounding of farming and regional effects, possibly due to imbalanced sampling. Moreover, as </w:t>
      </w:r>
      <w:r>
        <w:rPr>
          <w:rFonts w:ascii="Arial" w:hAnsi="Arial" w:cs="Arial"/>
          <w:color w:val="0E101A"/>
          <w:sz w:val="22"/>
          <w:szCs w:val="22"/>
        </w:rPr>
        <w:t>(</w:t>
      </w:r>
      <w:r w:rsidRPr="00CF6CFD">
        <w:rPr>
          <w:rFonts w:ascii="Arial" w:hAnsi="Arial" w:cs="Arial"/>
          <w:color w:val="0E101A"/>
          <w:sz w:val="22"/>
          <w:szCs w:val="22"/>
        </w:rPr>
        <w:t>Bontempo et al. 2020) showed for tomato passata, bulk δ13C and δ15N values alone provide intense discrimination of farming method</w:t>
      </w:r>
      <w:r>
        <w:rPr>
          <w:rFonts w:ascii="Arial" w:hAnsi="Arial" w:cs="Arial"/>
          <w:color w:val="0E101A"/>
          <w:sz w:val="22"/>
          <w:szCs w:val="22"/>
        </w:rPr>
        <w:t>s</w:t>
      </w:r>
      <w:r w:rsidRPr="00CF6CFD">
        <w:rPr>
          <w:rFonts w:ascii="Arial" w:hAnsi="Arial" w:cs="Arial"/>
          <w:color w:val="0E101A"/>
          <w:sz w:val="22"/>
          <w:szCs w:val="22"/>
        </w:rPr>
        <w:t xml:space="preserve"> but limited power for clear regional separation, underscoring the importance of compound-specific or multi-isotope approaches.</w:t>
      </w:r>
    </w:p>
    <w:p w14:paraId="22F8ADEA" w14:textId="77777777" w:rsidR="00182E5A" w:rsidRPr="00CF6CFD" w:rsidRDefault="00182E5A" w:rsidP="00037A3D">
      <w:pPr>
        <w:pStyle w:val="NormalWeb"/>
        <w:spacing w:before="0" w:beforeAutospacing="0" w:afterAutospacing="0" w:line="276" w:lineRule="auto"/>
        <w:jc w:val="both"/>
        <w:rPr>
          <w:rFonts w:ascii="Arial" w:hAnsi="Arial" w:cs="Arial"/>
          <w:color w:val="0E101A"/>
          <w:sz w:val="22"/>
          <w:szCs w:val="22"/>
        </w:rPr>
      </w:pPr>
      <w:r w:rsidRPr="00CF6CFD">
        <w:rPr>
          <w:rFonts w:ascii="Arial" w:hAnsi="Arial" w:cs="Arial"/>
          <w:color w:val="0E101A"/>
          <w:sz w:val="22"/>
          <w:szCs w:val="22"/>
        </w:rPr>
        <w:t>We therefore address two overarching questions: (1) Can δ15N and δ13C values reliably differentiate tomato products by farming type across different regions? (2) To what extent is the isotopic signature driven by production method versus geographic/environmental factors? By sampling tomato fruits and derived products from multiple regions and cultivation systems, this study evaluates isotopic ratios under real-world conditions and discusses the potential and limitations of δ15N and δ13C values as markers of organic provenance.</w:t>
      </w:r>
    </w:p>
    <w:p w14:paraId="05F6CC51" w14:textId="77777777" w:rsidR="00351A4E" w:rsidRDefault="00351A4E"/>
    <w:sectPr w:rsidR="00351A4E" w:rsidSect="001D6511">
      <w:pgSz w:w="11909" w:h="16834" w:code="9"/>
      <w:pgMar w:top="1440" w:right="1440" w:bottom="1440"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88E"/>
    <w:rsid w:val="00037A3D"/>
    <w:rsid w:val="0008388E"/>
    <w:rsid w:val="00182E5A"/>
    <w:rsid w:val="001D6511"/>
    <w:rsid w:val="00283F03"/>
    <w:rsid w:val="00351A4E"/>
    <w:rsid w:val="00BB6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8E54B2"/>
  <w15:chartTrackingRefBased/>
  <w15:docId w15:val="{9C2E053B-3639-498F-A438-51B7BD602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color w:val="000000" w:themeColor="text1"/>
        <w:sz w:val="24"/>
        <w:szCs w:val="22"/>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38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38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388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388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8388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8388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8388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8388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8388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8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38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388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388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8388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8388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8388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8388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8388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8388E"/>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08388E"/>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08388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88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8388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8388E"/>
    <w:rPr>
      <w:i/>
      <w:iCs/>
      <w:color w:val="404040" w:themeColor="text1" w:themeTint="BF"/>
    </w:rPr>
  </w:style>
  <w:style w:type="paragraph" w:styleId="ListParagraph">
    <w:name w:val="List Paragraph"/>
    <w:basedOn w:val="Normal"/>
    <w:uiPriority w:val="34"/>
    <w:qFormat/>
    <w:rsid w:val="0008388E"/>
    <w:pPr>
      <w:ind w:left="720"/>
      <w:contextualSpacing/>
    </w:pPr>
  </w:style>
  <w:style w:type="character" w:styleId="IntenseEmphasis">
    <w:name w:val="Intense Emphasis"/>
    <w:basedOn w:val="DefaultParagraphFont"/>
    <w:uiPriority w:val="21"/>
    <w:qFormat/>
    <w:rsid w:val="0008388E"/>
    <w:rPr>
      <w:i/>
      <w:iCs/>
      <w:color w:val="2F5496" w:themeColor="accent1" w:themeShade="BF"/>
    </w:rPr>
  </w:style>
  <w:style w:type="paragraph" w:styleId="IntenseQuote">
    <w:name w:val="Intense Quote"/>
    <w:basedOn w:val="Normal"/>
    <w:next w:val="Normal"/>
    <w:link w:val="IntenseQuoteChar"/>
    <w:uiPriority w:val="30"/>
    <w:qFormat/>
    <w:rsid w:val="000838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388E"/>
    <w:rPr>
      <w:i/>
      <w:iCs/>
      <w:color w:val="2F5496" w:themeColor="accent1" w:themeShade="BF"/>
    </w:rPr>
  </w:style>
  <w:style w:type="character" w:styleId="IntenseReference">
    <w:name w:val="Intense Reference"/>
    <w:basedOn w:val="DefaultParagraphFont"/>
    <w:uiPriority w:val="32"/>
    <w:qFormat/>
    <w:rsid w:val="0008388E"/>
    <w:rPr>
      <w:b/>
      <w:bCs/>
      <w:smallCaps/>
      <w:color w:val="2F5496" w:themeColor="accent1" w:themeShade="BF"/>
      <w:spacing w:val="5"/>
    </w:rPr>
  </w:style>
  <w:style w:type="character" w:styleId="Strong">
    <w:name w:val="Strong"/>
    <w:basedOn w:val="DefaultParagraphFont"/>
    <w:uiPriority w:val="22"/>
    <w:qFormat/>
    <w:rsid w:val="00182E5A"/>
    <w:rPr>
      <w:b/>
      <w:bCs/>
    </w:rPr>
  </w:style>
  <w:style w:type="paragraph" w:styleId="NormalWeb">
    <w:name w:val="Normal (Web)"/>
    <w:basedOn w:val="Normal"/>
    <w:uiPriority w:val="99"/>
    <w:unhideWhenUsed/>
    <w:rsid w:val="00182E5A"/>
    <w:pPr>
      <w:spacing w:before="100" w:beforeAutospacing="1" w:after="100" w:afterAutospacing="1" w:line="240" w:lineRule="auto"/>
    </w:pPr>
    <w:rPr>
      <w:rFonts w:eastAsia="Times New Roman" w:cs="Times New Roman"/>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569</Words>
  <Characters>3267</Characters>
  <Application>Microsoft Office Word</Application>
  <DocSecurity>0</DocSecurity>
  <Lines>96</Lines>
  <Paragraphs>47</Paragraphs>
  <ScaleCrop>false</ScaleCrop>
  <Company/>
  <LinksUpToDate>false</LinksUpToDate>
  <CharactersWithSpaces>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Khalil</dc:creator>
  <cp:keywords/>
  <dc:description/>
  <cp:lastModifiedBy>Ibrahim Khalil</cp:lastModifiedBy>
  <cp:revision>3</cp:revision>
  <dcterms:created xsi:type="dcterms:W3CDTF">2025-10-20T20:16:00Z</dcterms:created>
  <dcterms:modified xsi:type="dcterms:W3CDTF">2025-10-20T20:17:00Z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ee41e134-db84-4042-91ca-e8034036952b</vt:lpwstr>
  </property>
</Properties>
</file>