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3FCB8" w14:textId="0733659D" w:rsidR="00676DB6" w:rsidRPr="00676DB6" w:rsidRDefault="00676DB6" w:rsidP="00676DB6">
      <w:r w:rsidRPr="00676DB6">
        <w:rPr>
          <w:b/>
          <w:bCs/>
        </w:rPr>
        <w:t>Discussion</w:t>
      </w:r>
    </w:p>
    <w:p w14:paraId="6082CA73" w14:textId="680CE4FC" w:rsidR="00676DB6" w:rsidRPr="00676DB6" w:rsidRDefault="00676DB6" w:rsidP="00676DB6">
      <w:r w:rsidRPr="00676DB6">
        <w:rPr>
          <w:i/>
          <w:iCs/>
        </w:rPr>
        <w:t>Isotopic and Elemental Structure:</w:t>
      </w:r>
    </w:p>
    <w:p w14:paraId="149D930B" w14:textId="77777777" w:rsidR="00676DB6" w:rsidRPr="00676DB6" w:rsidRDefault="00676DB6" w:rsidP="00676DB6">
      <w:r w:rsidRPr="00676DB6">
        <w:t>The summary of isotopic and elemental traits suggests that organically grown plants had marginally higher water-use efficiency, likely due to reduced irrigation or water stress, resulting in higher 13C values in plant tissue. This can eventually lead to stomatal closure and high 13C (Bontempo et al. 2020). Moreover, organic farming often aims to conserve soil moisture and water resources (especially under drought conditions), and lower nitrogen availability in organic fields may also induce stronger water-use efficiency and higher δ13C (Paolini et al. 2015).</w:t>
      </w:r>
    </w:p>
    <w:p w14:paraId="7C1ECABC" w14:textId="77777777" w:rsidR="00676DB6" w:rsidRPr="00676DB6" w:rsidRDefault="00676DB6" w:rsidP="00676DB6">
      <w:r w:rsidRPr="00676DB6">
        <w:t>The higher δ15N values in organic products reflect the use of organic fertilizers (manure or compost), which leaves crops with higher 15N levels, compared to synthetic N fertilizers in conventional farming, which have δ15N values close to 0‰ (Bateman &amp; Kelly 2007). These results are consistent with previous studies showing δ15N as a reliable indicator of fertilizer source and organic management (Nakano et al. 2003; Bateman et al. 2005); (</w:t>
      </w:r>
      <w:proofErr w:type="spellStart"/>
      <w:r w:rsidRPr="00676DB6">
        <w:t>Trandel</w:t>
      </w:r>
      <w:proofErr w:type="spellEnd"/>
      <w:r w:rsidRPr="00676DB6">
        <w:t xml:space="preserve"> 2019).</w:t>
      </w:r>
    </w:p>
    <w:p w14:paraId="445481E9" w14:textId="77777777" w:rsidR="00676DB6" w:rsidRPr="00676DB6" w:rsidRDefault="00676DB6" w:rsidP="00676DB6">
      <w:r w:rsidRPr="00676DB6">
        <w:t xml:space="preserve">Our results show that such elemental measures of nutrient content lack discriminatory power relative to isotope markers: a tomato’s %N alone does not reveal how that N was sourced. This suggests that the overall nutrient status of the tomatoes was similar across both farming methods, likely because both cultivation systems provided sufficient nitrogen to the plants. The comparable %N and </w:t>
      </w:r>
      <w:proofErr w:type="gramStart"/>
      <w:r w:rsidRPr="00676DB6">
        <w:t>C:N</w:t>
      </w:r>
      <w:proofErr w:type="gramEnd"/>
      <w:r w:rsidRPr="00676DB6">
        <w:t xml:space="preserve"> underscore that an organic tomato can be just as nutrient-rich as a conventional one; what differs is the source and isotopic signature of that nitrogen.</w:t>
      </w:r>
    </w:p>
    <w:p w14:paraId="7908ABF8" w14:textId="77777777" w:rsidR="00676DB6" w:rsidRPr="00676DB6" w:rsidRDefault="00676DB6" w:rsidP="00676DB6">
      <w:pPr>
        <w:rPr>
          <w:i/>
          <w:iCs/>
        </w:rPr>
      </w:pPr>
    </w:p>
    <w:p w14:paraId="5CBA519D" w14:textId="06939ADA" w:rsidR="00676DB6" w:rsidRPr="00676DB6" w:rsidRDefault="00676DB6" w:rsidP="00676DB6">
      <w:r w:rsidRPr="00676DB6">
        <w:rPr>
          <w:i/>
          <w:iCs/>
        </w:rPr>
        <w:t>δ¹³C and δ¹⁵N vs Methods and Origin:</w:t>
      </w:r>
    </w:p>
    <w:p w14:paraId="72D9CC13" w14:textId="77777777" w:rsidR="00676DB6" w:rsidRPr="00676DB6" w:rsidRDefault="00676DB6" w:rsidP="00676DB6">
      <w:r w:rsidRPr="00676DB6">
        <w:t xml:space="preserve">To explore the interaction between δ13C and δ15N in relation to farming type and region, our findings reveal distinct δ15N differences within a single region, reinforcing the isotopic imprint of farming practices as a testament to the substantial impact of manure-based versus synthetic fertilizers on plant δ15N. We also found that the same farming system within the different regions, for example, both Bavarian and </w:t>
      </w:r>
      <w:proofErr w:type="spellStart"/>
      <w:r w:rsidRPr="00676DB6">
        <w:t>Almerían</w:t>
      </w:r>
      <w:proofErr w:type="spellEnd"/>
      <w:r w:rsidRPr="00676DB6">
        <w:t xml:space="preserve"> organic products, showed slight differences in δ15N values. This finding also suggests that there are significant differences in nitrogen sources, reflected in δ15N values. Likewise, (Choi et al. 2017) note that animal manures and composts “have higher δ15N values” because organic processes remove 14N, leaving the remaining material relatively 15N-rich. Therefore, we can infer that changes in δ15N values within the same farming type may occur due to different sources of 15N.</w:t>
      </w:r>
    </w:p>
    <w:p w14:paraId="2876DF27" w14:textId="77777777" w:rsidR="00676DB6" w:rsidRPr="00676DB6" w:rsidRDefault="00676DB6" w:rsidP="00676DB6">
      <w:r w:rsidRPr="00676DB6">
        <w:t>The δ13C difference also suggests that the organic Bavarian crops experienced drier or more water-limited conditions, which could reflect different irrigation strategies or microclimates between the farming systems. Our findings are consistent with previous research. (</w:t>
      </w:r>
      <w:proofErr w:type="spellStart"/>
      <w:r w:rsidRPr="00676DB6">
        <w:t>Kirkels</w:t>
      </w:r>
      <w:proofErr w:type="spellEnd"/>
      <w:r w:rsidRPr="00676DB6">
        <w:t xml:space="preserve"> et al. 2022) observed that δ13C values of C₃ vegetation in the Godavari basin (India) became significantly higher under drier conditions, with mean annual precipitation emerging as a dominant control on plant δ13C. Similarly, (Fischer &amp; Du Toit 2019) reported that higher (less negative) δ13C values in tree rings were associated with reduced water availability, reflecting higher water-use efficiency under drought stress in plantation forests.</w:t>
      </w:r>
    </w:p>
    <w:p w14:paraId="735BA485" w14:textId="77777777" w:rsidR="00676DB6" w:rsidRPr="00676DB6" w:rsidRDefault="00676DB6" w:rsidP="00676DB6">
      <w:pPr>
        <w:rPr>
          <w:i/>
          <w:iCs/>
        </w:rPr>
      </w:pPr>
    </w:p>
    <w:p w14:paraId="1DC37BDA" w14:textId="77777777" w:rsidR="00676DB6" w:rsidRPr="00676DB6" w:rsidRDefault="00676DB6" w:rsidP="00676DB6">
      <w:pPr>
        <w:rPr>
          <w:i/>
          <w:iCs/>
        </w:rPr>
      </w:pPr>
    </w:p>
    <w:p w14:paraId="6F7325A5" w14:textId="1AB9E201" w:rsidR="00676DB6" w:rsidRPr="00676DB6" w:rsidRDefault="00676DB6" w:rsidP="00676DB6">
      <w:r w:rsidRPr="00676DB6">
        <w:rPr>
          <w:i/>
          <w:iCs/>
        </w:rPr>
        <w:t>ANOVA Test:</w:t>
      </w:r>
    </w:p>
    <w:p w14:paraId="2F7827C6" w14:textId="77777777" w:rsidR="00676DB6" w:rsidRPr="00676DB6" w:rsidRDefault="00676DB6" w:rsidP="00676DB6">
      <w:r w:rsidRPr="00676DB6">
        <w:t>The two-way ANOVA outcome indicates that the δ13C value response to organic vs. conventional farming varied by region, meaning that farming type per se did not shift δ13C values uniformly across all sites, which makes sense given our earlier observation (</w:t>
      </w:r>
      <w:r w:rsidRPr="00676DB6">
        <w:rPr>
          <w:b/>
          <w:bCs/>
        </w:rPr>
        <w:t>Section 3.2</w:t>
      </w:r>
      <w:r w:rsidRPr="00676DB6">
        <w:t>) that the organic–conventional δ13C value difference was evident in Bavaria but confounded by the regions.</w:t>
      </w:r>
    </w:p>
    <w:p w14:paraId="2F9AA216" w14:textId="77777777" w:rsidR="00676DB6" w:rsidRPr="00676DB6" w:rsidRDefault="00676DB6" w:rsidP="00676DB6">
      <w:r w:rsidRPr="00676DB6">
        <w:t>By contrast, the two-way ANOVA revealed that region was the only significant factor for δ15N. This initially seems surprising, given the distinct δ15N values observed between organic and conventional samples, but it reflects our unbalanced sampling design; Organic samples came from two particular regions (Bavaria and Almería), and Conventional samples from Bavaria and Souss-Massa, so the Farming Type and Region effects were partially confounded (for example, there was no Conventional sample from Almería). In such a case, the ANOVA cannot isolate a pure farming effect (hence “no estimate” for Farming Type), though this does not mean farming type had no effect on δ15N, only that it could not be estimated in the two-way model.</w:t>
      </w:r>
    </w:p>
    <w:p w14:paraId="5A48E096" w14:textId="77777777" w:rsidR="00676DB6" w:rsidRPr="00676DB6" w:rsidRDefault="00676DB6" w:rsidP="00676DB6">
      <w:r w:rsidRPr="00676DB6">
        <w:t xml:space="preserve">Our one-way ANOVAs clarify this issue. Across the entire dataset, Farming Type had a highly significant effect on δ15N values (F = 38.49, p &lt; 0.001) and a weaker effect on δ13C, consistent with the earlier t-test results. The region alone was significant for both isotopes, explaining approximately 25% of the δ13C variance and 32% of the δ15N variance. Thus, these one-way analyses reveal why the two-way ANOVA yielded unexpected results. In other words, if one ignores the region (or vice versa), the δ15N distinction between farming systems is highly significant, matching our univariate findings and many previous studies (Bateman &amp; Kelly 2007; </w:t>
      </w:r>
      <w:proofErr w:type="spellStart"/>
      <w:r w:rsidRPr="00676DB6">
        <w:t>Trandel</w:t>
      </w:r>
      <w:proofErr w:type="spellEnd"/>
      <w:r w:rsidRPr="00676DB6">
        <w:t xml:space="preserve"> et al. 2018). Meanwhile, the δ13C value results confirm that carbon isotopes contributed less to distinguishing farming types and more to distinguishing regions, likely because climatic factors (such as rainfall and humidity) primarily drive δ13C value differences, as found by (Bontempo et al. 2020).</w:t>
      </w:r>
    </w:p>
    <w:p w14:paraId="38DCB5FB" w14:textId="77777777" w:rsidR="00676DB6" w:rsidRPr="00676DB6" w:rsidRDefault="00676DB6" w:rsidP="00676DB6">
      <w:pPr>
        <w:rPr>
          <w:b/>
          <w:bCs/>
          <w:i/>
          <w:iCs/>
        </w:rPr>
      </w:pPr>
    </w:p>
    <w:p w14:paraId="063E2FB6" w14:textId="16DB5191" w:rsidR="00676DB6" w:rsidRPr="00676DB6" w:rsidRDefault="00676DB6" w:rsidP="00676DB6">
      <w:r w:rsidRPr="00676DB6">
        <w:rPr>
          <w:i/>
          <w:iCs/>
        </w:rPr>
        <w:t>PCA and LDA Test:</w:t>
      </w:r>
    </w:p>
    <w:p w14:paraId="1AB8FE36" w14:textId="77777777" w:rsidR="00676DB6" w:rsidRPr="00676DB6" w:rsidRDefault="00676DB6" w:rsidP="00676DB6">
      <w:r w:rsidRPr="00676DB6">
        <w:t>These multivariate results clearly reinforce our univariate findings. The PCA indicates that isotopic markers, especially δ15N, encode farming approach, whereas elemental traits capture product or regional differences. In particular, the inverse %N–δ15N pattern reflects underlying fertilizer dynamics; synthetic fertilizers are rich in readily available (14N) nitrogen, which boosts %N but dilutes δ15N values, whereas organic amendments supply less available N that is a high 15N value (</w:t>
      </w:r>
      <w:proofErr w:type="spellStart"/>
      <w:r w:rsidRPr="00676DB6">
        <w:t>Trandel</w:t>
      </w:r>
      <w:proofErr w:type="spellEnd"/>
      <w:r w:rsidRPr="00676DB6">
        <w:t xml:space="preserve"> et al., 2018; Bateman et al., 2005).</w:t>
      </w:r>
    </w:p>
    <w:p w14:paraId="45FD0DB9" w14:textId="77777777" w:rsidR="00676DB6" w:rsidRPr="00676DB6" w:rsidRDefault="00676DB6" w:rsidP="00676DB6">
      <w:r w:rsidRPr="00676DB6">
        <w:t xml:space="preserve">The LDA results further emphasize the strength of these markers. The proximate classification of farming type emphasizes δ15N (and δ13C) as powerful authenticity indicators. The few misclassifications highlight cases where conventional farms may use manure or organic farms use legumes, demonstrating the value of multi-isotope approaches </w:t>
      </w:r>
      <w:r w:rsidRPr="00676DB6">
        <w:lastRenderedPageBreak/>
        <w:t>(Bontempo et al. 2020). In contrast, the inadequate regional classification confirms that δ13C and δ15N by themselves do not provide unique geographic signatures; samples from Almería and Bavaria were frequently confused. Thus, δ13C and δ15N are excellent predictors of production method but not of origin, unless supplemented by additional isotopic systems (Choi et al. 2017b).</w:t>
      </w:r>
    </w:p>
    <w:p w14:paraId="1887E4A7" w14:textId="0C55A398" w:rsidR="00351A4E" w:rsidRDefault="00351A4E"/>
    <w:p w14:paraId="1B8C1D50" w14:textId="77777777" w:rsidR="00066E27" w:rsidRDefault="00066E27"/>
    <w:p w14:paraId="115210D4" w14:textId="4197E3DD" w:rsidR="00066E27" w:rsidRPr="00066E27" w:rsidRDefault="00066E27" w:rsidP="00066E27">
      <w:pPr>
        <w:rPr>
          <w:b/>
          <w:bCs/>
          <w:sz w:val="28"/>
          <w:szCs w:val="28"/>
        </w:rPr>
      </w:pPr>
      <w:r w:rsidRPr="00066E27">
        <w:rPr>
          <w:b/>
          <w:bCs/>
          <w:sz w:val="28"/>
          <w:szCs w:val="28"/>
        </w:rPr>
        <w:t>Conclusion</w:t>
      </w:r>
      <w:r>
        <w:rPr>
          <w:b/>
          <w:bCs/>
          <w:sz w:val="28"/>
          <w:szCs w:val="28"/>
        </w:rPr>
        <w:t>:</w:t>
      </w:r>
    </w:p>
    <w:p w14:paraId="145C4A41" w14:textId="77777777" w:rsidR="00066E27" w:rsidRPr="00066E27" w:rsidRDefault="00066E27" w:rsidP="00066E27">
      <w:pPr>
        <w:rPr>
          <w:sz w:val="28"/>
          <w:szCs w:val="28"/>
        </w:rPr>
      </w:pPr>
      <w:r w:rsidRPr="00066E27">
        <w:rPr>
          <w:sz w:val="28"/>
          <w:szCs w:val="28"/>
        </w:rPr>
        <w:t>The isotopic data reveal that the δ15N value serves as a distinct marker of production method, while the differences in δ13C values between farming systems are minimal. Notably, tomatoes grown using organic methods consistently showed higher δ15N values compared to their conventional counterparts, whereas δ13C alone did not effectively distinguish between cultivation types.  The one-way ANOVA analysis confirmed that δ15N is a strong discriminator of farming practices, while the variations in δ13C values were found to be marginal. Additionally, geographic region emerged as the primary source of variance for δ13C and contributed some variance to δ15N values, highlighting the influence of environmental and climatic factors. Two-way ANOVA also addressed our research questions by indicating a significant interaction between region and farming for δ13C, in contrast to δ15N, which was less effective in differentiating farming types and the interaction between region and farming type due to the imbalanced sample array. Overall, δ15N values proved to be the most reliable indicator of organic versus conventional farming in terms of isotopes. Nevertheless, future research should integrate these isotopes into multivariate models alongside additional tracers, ensuring an adequate sample that captures geographic and climatic signals to enhance origin traceability.</w:t>
      </w:r>
    </w:p>
    <w:p w14:paraId="33996868" w14:textId="77777777" w:rsidR="00066E27" w:rsidRPr="00066E27" w:rsidRDefault="00066E27" w:rsidP="00066E27">
      <w:pPr>
        <w:rPr>
          <w:b/>
          <w:bCs/>
          <w:sz w:val="28"/>
          <w:szCs w:val="28"/>
        </w:rPr>
      </w:pPr>
    </w:p>
    <w:p w14:paraId="1F47363D" w14:textId="77777777" w:rsidR="00066E27" w:rsidRPr="00066E27" w:rsidRDefault="00066E27" w:rsidP="00066E27">
      <w:pPr>
        <w:rPr>
          <w:b/>
          <w:bCs/>
          <w:sz w:val="28"/>
          <w:szCs w:val="28"/>
        </w:rPr>
      </w:pPr>
      <w:r w:rsidRPr="00066E27">
        <w:rPr>
          <w:b/>
          <w:bCs/>
          <w:sz w:val="28"/>
          <w:szCs w:val="28"/>
        </w:rPr>
        <w:t>Acknowledgements</w:t>
      </w:r>
    </w:p>
    <w:p w14:paraId="09F872D4" w14:textId="77777777" w:rsidR="00066E27" w:rsidRPr="00066E27" w:rsidRDefault="00066E27" w:rsidP="00066E27">
      <w:pPr>
        <w:rPr>
          <w:b/>
          <w:bCs/>
          <w:sz w:val="28"/>
          <w:szCs w:val="28"/>
        </w:rPr>
      </w:pPr>
      <w:r w:rsidRPr="00066E27">
        <w:rPr>
          <w:b/>
          <w:bCs/>
          <w:sz w:val="28"/>
          <w:szCs w:val="28"/>
        </w:rPr>
        <w:t xml:space="preserve">We are grateful for the guidance and support of Christoph Mayr throughout this study. Special thanks are also extended to Lisa-Marie Weinschenk and Christoph Mayr for generously providing the tomato samples. We sincerely appreciate the skilled assistance of Roswitha Höfner-Stich and Lukas Grauf. Additionally, I am grateful to Mr. Hossain and my colleagues, who contributed valuable data, ideas, and engaging discussions that significantly enhanced the quality of this manuscript. This study has </w:t>
      </w:r>
      <w:r w:rsidRPr="00066E27">
        <w:rPr>
          <w:b/>
          <w:bCs/>
          <w:sz w:val="28"/>
          <w:szCs w:val="28"/>
        </w:rPr>
        <w:lastRenderedPageBreak/>
        <w:t>been prepared and submitted in partial fulfillment of the requirements for the Stable Isotope Analysis course.</w:t>
      </w:r>
    </w:p>
    <w:p w14:paraId="57709D95" w14:textId="77777777" w:rsidR="00066E27" w:rsidRDefault="00066E27"/>
    <w:sectPr w:rsidR="00066E27" w:rsidSect="001D6511">
      <w:pgSz w:w="11909" w:h="16834" w:code="9"/>
      <w:pgMar w:top="1440" w:right="1440" w:bottom="144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403"/>
    <w:rsid w:val="00066E27"/>
    <w:rsid w:val="001D6511"/>
    <w:rsid w:val="00283F03"/>
    <w:rsid w:val="00351A4E"/>
    <w:rsid w:val="005B4403"/>
    <w:rsid w:val="00676DB6"/>
    <w:rsid w:val="00BB6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AD0AB7"/>
  <w15:chartTrackingRefBased/>
  <w15:docId w15:val="{85049C63-CA18-45BA-8230-C644D4DBD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sz w:val="24"/>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4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44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440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440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B440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B440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440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440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440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4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44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440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440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B440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B440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B440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B440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B440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B440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B4403"/>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B440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40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B44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4403"/>
    <w:rPr>
      <w:i/>
      <w:iCs/>
      <w:color w:val="404040" w:themeColor="text1" w:themeTint="BF"/>
    </w:rPr>
  </w:style>
  <w:style w:type="paragraph" w:styleId="ListParagraph">
    <w:name w:val="List Paragraph"/>
    <w:basedOn w:val="Normal"/>
    <w:uiPriority w:val="34"/>
    <w:qFormat/>
    <w:rsid w:val="005B4403"/>
    <w:pPr>
      <w:ind w:left="720"/>
      <w:contextualSpacing/>
    </w:pPr>
  </w:style>
  <w:style w:type="character" w:styleId="IntenseEmphasis">
    <w:name w:val="Intense Emphasis"/>
    <w:basedOn w:val="DefaultParagraphFont"/>
    <w:uiPriority w:val="21"/>
    <w:qFormat/>
    <w:rsid w:val="005B4403"/>
    <w:rPr>
      <w:i/>
      <w:iCs/>
      <w:color w:val="2F5496" w:themeColor="accent1" w:themeShade="BF"/>
    </w:rPr>
  </w:style>
  <w:style w:type="paragraph" w:styleId="IntenseQuote">
    <w:name w:val="Intense Quote"/>
    <w:basedOn w:val="Normal"/>
    <w:next w:val="Normal"/>
    <w:link w:val="IntenseQuoteChar"/>
    <w:uiPriority w:val="30"/>
    <w:qFormat/>
    <w:rsid w:val="005B44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4403"/>
    <w:rPr>
      <w:i/>
      <w:iCs/>
      <w:color w:val="2F5496" w:themeColor="accent1" w:themeShade="BF"/>
    </w:rPr>
  </w:style>
  <w:style w:type="character" w:styleId="IntenseReference">
    <w:name w:val="Intense Reference"/>
    <w:basedOn w:val="DefaultParagraphFont"/>
    <w:uiPriority w:val="32"/>
    <w:qFormat/>
    <w:rsid w:val="005B44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1279</Words>
  <Characters>7371</Characters>
  <Application>Microsoft Office Word</Application>
  <DocSecurity>0</DocSecurity>
  <Lines>118</Lines>
  <Paragraphs>22</Paragraphs>
  <ScaleCrop>false</ScaleCrop>
  <Company/>
  <LinksUpToDate>false</LinksUpToDate>
  <CharactersWithSpaces>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Khalil</dc:creator>
  <cp:keywords/>
  <dc:description/>
  <cp:lastModifiedBy>Ibrahim Khalil</cp:lastModifiedBy>
  <cp:revision>3</cp:revision>
  <dcterms:created xsi:type="dcterms:W3CDTF">2025-10-20T20:18:00Z</dcterms:created>
  <dcterms:modified xsi:type="dcterms:W3CDTF">2025-10-21T10:44:00Z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f7acab5e-9bd8-453c-bdae-0c6b0842e26f</vt:lpwstr>
  </property>
</Properties>
</file>