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EA78B" w14:textId="277AC75D" w:rsidR="005347F9" w:rsidRPr="009A5C09" w:rsidRDefault="005347F9" w:rsidP="009A5C09">
      <w:r w:rsidRPr="009A5C09">
        <w:t>Results</w:t>
      </w:r>
    </w:p>
    <w:p w14:paraId="7F5E3511" w14:textId="38A6C18D" w:rsidR="005347F9" w:rsidRPr="009A5C09" w:rsidRDefault="005347F9" w:rsidP="009A5C09">
      <w:r w:rsidRPr="009A5C09">
        <w:t>Comparative Isotopic and Elemental Profiles:</w:t>
      </w:r>
    </w:p>
    <w:p w14:paraId="5C26C882" w14:textId="77777777" w:rsidR="005347F9" w:rsidRPr="009A5C09" w:rsidRDefault="005347F9" w:rsidP="009A5C09">
      <w:r w:rsidRPr="009A5C09">
        <w:t>Isotopic differences were observed between organic and conventional tomato products, whereas basic elemental composition broadly overlaps. For δ13C (Figure 1, top left), δ13C was slightly higher in organic tomatoes (mean –29.2 ± 1.0‰) than in conventional ones (–30.5 ± 1.1‰), indicating δ13C values were ~1.4‰ higher in organic management. Along with partial overlap between groups, the trend was found as (t = 2.10, p = 0.070).</w:t>
      </w:r>
    </w:p>
    <w:p w14:paraId="56E6FC77" w14:textId="77777777" w:rsidR="005347F9" w:rsidRPr="009A5C09" w:rsidRDefault="005347F9" w:rsidP="009A5C09">
      <w:r w:rsidRPr="009A5C09">
        <w:t>In contrast, (Figure 1, top right), δ¹⁵N showed a pronounced difference: organic tomatoes averaged around +5.9 ± 2.0‰, while conventional tomatoes were near +0.1 ± 0.6‰, a gap of ~5–6‰ that was highly significant (t = 6.12, p = 0.002). There was essentially no overlap in δ15N between the two groups.</w:t>
      </w:r>
    </w:p>
    <w:p w14:paraId="767047E1" w14:textId="77777777" w:rsidR="005347F9" w:rsidRPr="009A5C09" w:rsidRDefault="005347F9" w:rsidP="009A5C09">
      <w:r w:rsidRPr="009A5C09">
        <w:t>Elemental traits (%N and C:N ratio; Figure 1, bottom panels) did not differ significantly between farming systems. Both groups, Organic and Conventional products, had similar %N (1.7 ± 0.2% vs. 1.7 ± 0.3%, p = 0.761) and overlapping C:N ratios (24.4 ± 3.1 vs. 28.3 ± 8.35, p = 0.367).</w:t>
      </w:r>
    </w:p>
    <w:p w14:paraId="4C827D19" w14:textId="77777777" w:rsidR="005347F9" w:rsidRPr="009A5C09" w:rsidRDefault="005347F9" w:rsidP="009A5C09"/>
    <w:p w14:paraId="3F83B460" w14:textId="77777777" w:rsidR="009A5C09" w:rsidRPr="009A5C09" w:rsidRDefault="009A5C09" w:rsidP="009A5C09">
      <w:r w:rsidRPr="009A5C09">
        <w:t>3.2 δ¹³C and δ¹⁵N across Farming Types and Regions:</w:t>
      </w:r>
    </w:p>
    <w:p w14:paraId="3AAB9EC4" w14:textId="77777777" w:rsidR="009A5C09" w:rsidRPr="009A5C09" w:rsidRDefault="009A5C09" w:rsidP="009A5C09">
      <w:r w:rsidRPr="009A5C09">
        <w:t>To disentangle farming effects from geographic variation, we examined δ13C and δ15N at the regional level (Table 2, Figure 2). In Bavaria, where we had both farming types, Organic samples averaged δ13C –29.3‰ and δ15</w:t>
      </w:r>
      <w:proofErr w:type="gramStart"/>
      <w:r w:rsidRPr="009A5C09">
        <w:t>N  +</w:t>
      </w:r>
      <w:proofErr w:type="gramEnd"/>
      <w:r w:rsidRPr="009A5C09">
        <w:t>6.3‰, compared to δ13C –30.8‰ and δ15N +0.2‰ for Conventional samples. The Bavarian organic tomato products had a higher δ15N of ~6‰ relative to their conventional counterparts.</w:t>
      </w:r>
    </w:p>
    <w:p w14:paraId="64F6A183" w14:textId="77777777" w:rsidR="009A5C09" w:rsidRPr="009A5C09" w:rsidRDefault="009A5C09" w:rsidP="009A5C09">
      <w:r w:rsidRPr="009A5C09">
        <w:t>In Almería, only an organic product was available (n = 12); it showed δ13C –28.7‰ and δ15N +4.5‰. This Almería organic sample had a higher δ13C (less negative) than any Bavarian sample. Its δ15N value of +4.5‰ was slightly lower than the Bavarian organic mean, but still well above any conventional value. In Souss-Massa, only a conventional product (n = 9) was available, which showed δ13C –29.6‰ and δ15N –0.2‰. This δ15N value is near zero, as expected for synthetic fertilizer usage, and its δ13C (–29.6‰) is higher (less negative) than the Bavarian conventional (–30.8‰).</w:t>
      </w:r>
    </w:p>
    <w:p w14:paraId="649F1666" w14:textId="77777777" w:rsidR="009A5C09" w:rsidRPr="009A5C09" w:rsidRDefault="009A5C09" w:rsidP="009A5C09">
      <w:r w:rsidRPr="009A5C09">
        <w:t xml:space="preserve">Figure 2(A) visualizes these findings more clearly: δ15N values cluster tightly by farming type across regions, with all organic samples (~+4 to +6‰) and all conventional samples near 0‰. By contrast, δ13C values overlap substantially between farming systems. Figure 2(B), (δ13C vs. δ15N scatter) makes this even clearer: all organic products lie well above the conventional ones along the δ15N axis, while the δ13C axis exhibits regional variation (Almería’s organic samples have higher δ13C than Bavaria’s, and the </w:t>
      </w:r>
      <w:proofErr w:type="spellStart"/>
      <w:r w:rsidRPr="009A5C09">
        <w:t>Souss</w:t>
      </w:r>
      <w:proofErr w:type="spellEnd"/>
      <w:r w:rsidRPr="009A5C09">
        <w:t>-Massa conventional sample has slightly higher δ13C than the Bavarian conventional).</w:t>
      </w:r>
    </w:p>
    <w:p w14:paraId="462B31E7" w14:textId="77777777" w:rsidR="009A5C09" w:rsidRPr="009A5C09" w:rsidRDefault="009A5C09" w:rsidP="009A5C09"/>
    <w:p w14:paraId="02264583" w14:textId="77777777" w:rsidR="009A5C09" w:rsidRPr="009A5C09" w:rsidRDefault="009A5C09" w:rsidP="009A5C09">
      <w:r w:rsidRPr="009A5C09">
        <w:t>3.3 Effects of Region and Farming Type (ANOVA):</w:t>
      </w:r>
    </w:p>
    <w:p w14:paraId="114556DC" w14:textId="77777777" w:rsidR="009A5C09" w:rsidRPr="009A5C09" w:rsidRDefault="009A5C09" w:rsidP="009A5C09">
      <w:r w:rsidRPr="009A5C09">
        <w:lastRenderedPageBreak/>
        <w:t xml:space="preserve">We used factorial ANOVA to formally assess the influence of Region, Farming Type, and their interaction on tomato’s δ13C and δ15N values (Table 3). The two-way ANOVA results revealed a significant effect of </w:t>
      </w:r>
      <w:proofErr w:type="gramStart"/>
      <w:r w:rsidRPr="009A5C09">
        <w:t>Region</w:t>
      </w:r>
      <w:proofErr w:type="gramEnd"/>
      <w:r w:rsidRPr="009A5C09">
        <w:t xml:space="preserve"> on both isotopes, with differing interaction patterns. For δ13C, Region had a highly significant impact (F = 39.93, p &lt; 0.001), and there was also a strong Region × Farming Type interaction (F = 28.15, p &lt; 0.001). In contrast, the Farming Type main effect on δ13C was not significant (no estimate). For δ15N, Region was the only significant factor (F = 8.18, p = 0.029). Neither Farming type (F = 0.09, p = 0.764) nor the Region × Farming Type interaction (F = 0.08, p = 0.925) reached significance.</w:t>
      </w:r>
    </w:p>
    <w:p w14:paraId="2C21E61B" w14:textId="77777777" w:rsidR="009A5C09" w:rsidRPr="009A5C09" w:rsidRDefault="009A5C09" w:rsidP="009A5C09">
      <w:r w:rsidRPr="009A5C09">
        <w:t xml:space="preserve">To further clarify, we performed supporting one-way ANOVAs (Table 4) for Farming Type (ignoring Region) and for </w:t>
      </w:r>
      <w:proofErr w:type="gramStart"/>
      <w:r w:rsidRPr="009A5C09">
        <w:t>Region</w:t>
      </w:r>
      <w:proofErr w:type="gramEnd"/>
      <w:r w:rsidRPr="009A5C09">
        <w:t xml:space="preserve"> (ignoring Farming Type). The one-way results confirmed what the two-way model obscured. Across the total dataset, Farming Type had a highly significant effect on δ15N (F = 38.49, p &lt; 0.001), explaining roughly 43.5% of the total variance. By contrast, farming type’s effect on δ15C was much weaker (F = 3.54, p = 0.065). Conversely, Region alone was a significant determinant of both δ13C (F = 8.25, p &lt; 0.001, ~25% variance explained) and δ15N (F = 11.35, p &lt; 0.001, ~32% variance explained).</w:t>
      </w:r>
    </w:p>
    <w:p w14:paraId="2B855C6C" w14:textId="77777777" w:rsidR="009A5C09" w:rsidRPr="009A5C09" w:rsidRDefault="009A5C09" w:rsidP="009A5C09"/>
    <w:p w14:paraId="36376112" w14:textId="77777777" w:rsidR="009A5C09" w:rsidRPr="009A5C09" w:rsidRDefault="009A5C09" w:rsidP="009A5C09">
      <w:r w:rsidRPr="009A5C09">
        <w:t>3.4 Multivariate Separation of Isotopic and Elemental Traits:</w:t>
      </w:r>
    </w:p>
    <w:p w14:paraId="0593AE1C" w14:textId="77777777" w:rsidR="009A5C09" w:rsidRPr="009A5C09" w:rsidRDefault="009A5C09" w:rsidP="009A5C09">
      <w:r w:rsidRPr="009A5C09">
        <w:t xml:space="preserve">Principal component analysis (PCA) was used to explore joint variation in δ13C, δ15N, %N, %C, and </w:t>
      </w:r>
      <w:proofErr w:type="gramStart"/>
      <w:r w:rsidRPr="009A5C09">
        <w:t>C:N</w:t>
      </w:r>
      <w:proofErr w:type="gramEnd"/>
      <w:r w:rsidRPr="009A5C09">
        <w:t xml:space="preserve"> (Figure 3). The first two axes explained 73.2% of the variance (PC1 = 43.9%, PC2 = 29.3%). PC1 mainly reflected elemental composition, with positive loadings for </w:t>
      </w:r>
      <w:proofErr w:type="gramStart"/>
      <w:r w:rsidRPr="009A5C09">
        <w:t>C:N</w:t>
      </w:r>
      <w:proofErr w:type="gramEnd"/>
      <w:r w:rsidRPr="009A5C09">
        <w:t xml:space="preserve"> (+0.60) and %C (+0.48) and negative loadings for %N (–0.43) and δ15N (–0.45). This “compositional axis” distinguished samples by nutrient profile and product type rather than farming regime; for example, the </w:t>
      </w:r>
      <w:proofErr w:type="spellStart"/>
      <w:r w:rsidRPr="009A5C09">
        <w:t>Souss</w:t>
      </w:r>
      <w:proofErr w:type="spellEnd"/>
      <w:r w:rsidRPr="009A5C09">
        <w:t xml:space="preserve">-Massa conventional tomato scored high on PC1 due to its dried form and elevated </w:t>
      </w:r>
      <w:proofErr w:type="gramStart"/>
      <w:r w:rsidRPr="009A5C09">
        <w:t>C:N.</w:t>
      </w:r>
      <w:proofErr w:type="gramEnd"/>
      <w:r w:rsidRPr="009A5C09">
        <w:t xml:space="preserve"> PC2, by contrast, served as the “isotopic axis,” with δ13C (+0.63) and δ15N (+0.45) loading positively. It clearly separated Organic from Conventional samples, where Organic tomatoes (high in δ15N and relatively low in δ13C values) scored high, while Conventional samples scored low (Figure 3).</w:t>
      </w:r>
    </w:p>
    <w:p w14:paraId="0D8B0EFD" w14:textId="77777777" w:rsidR="009A5C09" w:rsidRPr="009A5C09" w:rsidRDefault="009A5C09" w:rsidP="009A5C09">
      <w:r w:rsidRPr="009A5C09">
        <w:t>Finally, we applied linear discriminant analysis (LDA) using δ13C and δ15N to classify samples by farming type. The LDA achieved 95–96% correct classification of farming method; 23 of 24 conventional samples and 27 of 28 organic samples were correctly identified (Table 5). In contrast, regional classification was weak (65.4% accuracy). Samples from Bavaria and Almería were often misclassified by origin.</w:t>
      </w:r>
    </w:p>
    <w:p w14:paraId="51B65850" w14:textId="77777777" w:rsidR="009A5C09" w:rsidRPr="009A5C09" w:rsidRDefault="009A5C09" w:rsidP="009A5C09"/>
    <w:sectPr w:rsidR="009A5C09" w:rsidRPr="009A5C09" w:rsidSect="001D6511">
      <w:pgSz w:w="11909" w:h="16834" w:code="9"/>
      <w:pgMar w:top="1440" w:right="1440" w:bottom="1440" w:left="144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5B18CB"/>
    <w:multiLevelType w:val="hybridMultilevel"/>
    <w:tmpl w:val="1640D3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124834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05B"/>
    <w:rsid w:val="001D6511"/>
    <w:rsid w:val="00283F03"/>
    <w:rsid w:val="00351A4E"/>
    <w:rsid w:val="005347F9"/>
    <w:rsid w:val="006F605B"/>
    <w:rsid w:val="009A5C09"/>
    <w:rsid w:val="00BB6878"/>
    <w:rsid w:val="00CB28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01378D"/>
  <w15:chartTrackingRefBased/>
  <w15:docId w15:val="{87D81268-B926-49F5-B343-AD5220FEA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color w:val="000000" w:themeColor="text1"/>
        <w:sz w:val="24"/>
        <w:szCs w:val="22"/>
        <w:lang w:val="en-US"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47F9"/>
  </w:style>
  <w:style w:type="paragraph" w:styleId="Heading1">
    <w:name w:val="heading 1"/>
    <w:basedOn w:val="Normal"/>
    <w:next w:val="Normal"/>
    <w:link w:val="Heading1Char"/>
    <w:uiPriority w:val="9"/>
    <w:qFormat/>
    <w:rsid w:val="006F60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F60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F605B"/>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605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F605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6F605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F605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F605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F605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60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F60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F605B"/>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605B"/>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6F605B"/>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6F605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F605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F605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F605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F605B"/>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6F605B"/>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6F605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605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F605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F605B"/>
    <w:rPr>
      <w:i/>
      <w:iCs/>
      <w:color w:val="404040" w:themeColor="text1" w:themeTint="BF"/>
    </w:rPr>
  </w:style>
  <w:style w:type="paragraph" w:styleId="ListParagraph">
    <w:name w:val="List Paragraph"/>
    <w:basedOn w:val="Normal"/>
    <w:uiPriority w:val="34"/>
    <w:qFormat/>
    <w:rsid w:val="006F605B"/>
    <w:pPr>
      <w:ind w:left="720"/>
      <w:contextualSpacing/>
    </w:pPr>
  </w:style>
  <w:style w:type="character" w:styleId="IntenseEmphasis">
    <w:name w:val="Intense Emphasis"/>
    <w:basedOn w:val="DefaultParagraphFont"/>
    <w:uiPriority w:val="21"/>
    <w:qFormat/>
    <w:rsid w:val="006F605B"/>
    <w:rPr>
      <w:i/>
      <w:iCs/>
      <w:color w:val="2F5496" w:themeColor="accent1" w:themeShade="BF"/>
    </w:rPr>
  </w:style>
  <w:style w:type="paragraph" w:styleId="IntenseQuote">
    <w:name w:val="Intense Quote"/>
    <w:basedOn w:val="Normal"/>
    <w:next w:val="Normal"/>
    <w:link w:val="IntenseQuoteChar"/>
    <w:uiPriority w:val="30"/>
    <w:qFormat/>
    <w:rsid w:val="006F60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605B"/>
    <w:rPr>
      <w:i/>
      <w:iCs/>
      <w:color w:val="2F5496" w:themeColor="accent1" w:themeShade="BF"/>
    </w:rPr>
  </w:style>
  <w:style w:type="character" w:styleId="IntenseReference">
    <w:name w:val="Intense Reference"/>
    <w:basedOn w:val="DefaultParagraphFont"/>
    <w:uiPriority w:val="32"/>
    <w:qFormat/>
    <w:rsid w:val="006F605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803</Words>
  <Characters>4610</Characters>
  <Application>Microsoft Office Word</Application>
  <DocSecurity>0</DocSecurity>
  <Lines>135</Lines>
  <Paragraphs>67</Paragraphs>
  <ScaleCrop>false</ScaleCrop>
  <Company/>
  <LinksUpToDate>false</LinksUpToDate>
  <CharactersWithSpaces>5346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Khalil</dc:creator>
  <cp:keywords/>
  <dc:description/>
  <cp:lastModifiedBy>Ibrahim Khalil</cp:lastModifiedBy>
  <cp:revision>3</cp:revision>
  <dcterms:created xsi:type="dcterms:W3CDTF">2025-10-18T13:37:00Z</dcterms:created>
  <dcterms:modified xsi:type="dcterms:W3CDTF">2025-10-20T14:43:00Z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601b0b22-64d2-4d10-b95e-169d2d98f0fb</vt:lpwstr>
  </property>
</Properties>
</file>