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Rapport sur les Datasets pour la Détection d'Anomalies Bancaires</w:t>
      </w:r>
    </w:p>
    <w:p>
      <w:pPr>
        <w:pStyle w:val="MdParagraph"/>
      </w:pPr>
      <w:r>
        <w:t xml:space="preserve">Ce rapport présente une sélection de jeux de données publics adaptés à la détection d'anomalies dans les transactions bancaires, en se basant sur les huit cas d'utilisation spécifiés par l'utilisateur.</w:t>
      </w:r>
    </w:p>
    <w:p>
      <w:pPr>
        <w:pStyle w:val="MdSpace"/>
        <w:spacing w:before="0" w:after="60"/>
      </w:pPr>
    </w:p>
    <w:p>
      <w:pPr>
        <w:pStyle w:val="Heading2"/>
        <w:pStyle w:val="MdHeading2"/>
      </w:pPr>
      <w:r>
        <w:t xml:space="preserve">Cas d'Utilisation et Datasets Recommandés</w:t>
      </w:r>
    </w:p>
    <w:p>
      <w:pPr>
        <w:pStyle w:val="MdParagraph"/>
      </w:pPr>
      <w:r>
        <w:t xml:space="preserve">Le tableau ci-dessous récapitule les datasets les plus pertinents pour chaque cas d'utilisation, en justifiant leur choix en fonction des champs disponibles et de la nature des données.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Use Case</w:t>
            </w:r>
          </w:p>
        </w:tc>
        <w:tc>
          <w:tcPr>
            <w:tcMar>
              <w:top w:type="dxa" w:w="100"/>
              <w:left w:type="dxa" w:w="120"/>
              <w:bottom w:type="dxa" w:w="100"/>
              <w:right w:type="dxa" w:w="120"/>
            </w:tcMar>
            <w:vAlign w:val="center"/>
          </w:tcPr>
          <w:p>
            <w:pPr>
              <w:pStyle w:val="MdTableHeader"/>
              <w:jc w:val="left"/>
            </w:pPr>
            <w:r>
              <w:t xml:space="preserve">Dataset Recommandé</w:t>
            </w:r>
          </w:p>
        </w:tc>
        <w:tc>
          <w:tcPr>
            <w:tcBorders>
              <w:right w:val="none"/>
            </w:tcBorders>
            <w:tcMar>
              <w:top w:type="dxa" w:w="100"/>
              <w:left w:type="dxa" w:w="120"/>
              <w:bottom w:type="dxa" w:w="100"/>
              <w:right w:type="dxa" w:w="120"/>
            </w:tcMar>
            <w:vAlign w:val="center"/>
          </w:tcPr>
          <w:p>
            <w:pPr>
              <w:pStyle w:val="MdTableHeader"/>
              <w:jc w:val="left"/>
            </w:pPr>
            <w:r>
              <w:t xml:space="preserve">Justification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UC1 : Montant inhabituel</w:t>
            </w:r>
          </w:p>
        </w:tc>
        <w:tc>
          <w:tcPr>
            <w:tcMar>
              <w:top w:type="dxa" w:w="80"/>
              <w:left w:type="dxa" w:w="120"/>
              <w:bottom w:type="dxa" w:w="80"/>
              <w:right w:type="dxa" w:w="120"/>
            </w:tcMar>
            <w:vAlign w:val="center"/>
          </w:tcPr>
          <w:p>
            <w:pPr>
              <w:pStyle w:val="MdTableCell"/>
              <w:jc w:val="left"/>
            </w:pPr>
            <w:hyperlink w:history="1" r:id="rIdcpg7vf0koocih25lp6xpf">
              <w:r>
                <w:rPr>
                  <w:rStyle w:val="MdLink"/>
                </w:rPr>
                <w:t xml:space="preserve">PaySim (Kaggle)</w:t>
              </w:r>
            </w:hyperlink>
          </w:p>
        </w:tc>
        <w:tc>
          <w:tcPr>
            <w:tcBorders>
              <w:right w:val="none"/>
            </w:tcBorders>
            <w:tcMar>
              <w:top w:type="dxa" w:w="80"/>
              <w:left w:type="dxa" w:w="120"/>
              <w:bottom w:type="dxa" w:w="80"/>
              <w:right w:type="dxa" w:w="120"/>
            </w:tcMar>
            <w:vAlign w:val="center"/>
          </w:tcPr>
          <w:p>
            <w:pPr>
              <w:pStyle w:val="MdTableCell"/>
              <w:jc w:val="left"/>
            </w:pPr>
            <w:r>
              <w:t xml:space="preserve">Ce dataset synthétique est idéal pour ce cas d'utilisation car il contient des informations détaillées sur le </w:t>
            </w:r>
            <w:r>
              <w:rPr>
                <w:rStyle w:val="MdCode"/>
                <w:u w:val="single"/>
              </w:rPr>
              <w:t xml:space="preserve">amount</w:t>
            </w:r>
            <w:r>
              <w:t xml:space="preserve"> de la transaction, ainsi que les soldes avant et après (</w:t>
            </w:r>
            <w:r>
              <w:rPr>
                <w:rStyle w:val="MdCode"/>
                <w:u w:val="single"/>
              </w:rPr>
              <w:t xml:space="preserve">oldbalanceOrg</w:t>
            </w:r>
            <w:r>
              <w:t xml:space="preserve">, </w:t>
            </w:r>
            <w:r>
              <w:rPr>
                <w:rStyle w:val="MdCode"/>
                <w:u w:val="single"/>
              </w:rPr>
              <w:t xml:space="preserve">newbalanceOrig</w:t>
            </w:r>
            <w:r>
              <w:t xml:space="preserve">). Ces champs permettent de calculer des statistiques (moyenne, médiane, écart-type) pour identifier les montants anormaux.</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UC2 : Horaire inhabituel</w:t>
            </w:r>
          </w:p>
        </w:tc>
        <w:tc>
          <w:tcPr>
            <w:tcMar>
              <w:top w:type="dxa" w:w="80"/>
              <w:left w:type="dxa" w:w="120"/>
              <w:bottom w:type="dxa" w:w="80"/>
              <w:right w:type="dxa" w:w="120"/>
            </w:tcMar>
            <w:vAlign w:val="center"/>
          </w:tcPr>
          <w:p>
            <w:pPr>
              <w:pStyle w:val="MdTableCell"/>
              <w:jc w:val="left"/>
            </w:pPr>
            <w:hyperlink w:history="1" r:id="rId-gcoiai4lkv6nf-ddbth8">
              <w:r>
                <w:rPr>
                  <w:rStyle w:val="MdLink"/>
                </w:rPr>
                <w:t xml:space="preserve">Credit Card Transactions Fraud Detection Dataset (Kartik Shenoy, Kaggle)</w:t>
              </w:r>
            </w:hyperlink>
          </w:p>
        </w:tc>
        <w:tc>
          <w:tcPr>
            <w:tcBorders>
              <w:right w:val="none"/>
            </w:tcBorders>
            <w:tcMar>
              <w:top w:type="dxa" w:w="80"/>
              <w:left w:type="dxa" w:w="120"/>
              <w:bottom w:type="dxa" w:w="80"/>
              <w:right w:type="dxa" w:w="120"/>
            </w:tcMar>
            <w:vAlign w:val="center"/>
          </w:tcPr>
          <w:p>
            <w:pPr>
              <w:pStyle w:val="MdTableCell"/>
              <w:jc w:val="left"/>
            </w:pPr>
            <w:r>
              <w:t xml:space="preserve">Ce dataset inclut des horodatages précis (</w:t>
            </w:r>
            <w:r>
              <w:rPr>
                <w:rStyle w:val="MdCode"/>
                <w:u w:val="single"/>
              </w:rPr>
              <w:t xml:space="preserve">trans_date_trans_time</w:t>
            </w:r>
            <w:r>
              <w:t xml:space="preserve">) qui sont cruciaux pour établir des profils horaires de transactions et détecter les activités en dehors des plages habituelles du client.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UC3 : Géolocalisation incohérente</w:t>
            </w:r>
          </w:p>
        </w:tc>
        <w:tc>
          <w:tcPr>
            <w:tcMar>
              <w:top w:type="dxa" w:w="80"/>
              <w:left w:type="dxa" w:w="120"/>
              <w:bottom w:type="dxa" w:w="80"/>
              <w:right w:type="dxa" w:w="120"/>
            </w:tcMar>
            <w:vAlign w:val="center"/>
          </w:tcPr>
          <w:p>
            <w:pPr>
              <w:pStyle w:val="MdTableCell"/>
              <w:jc w:val="left"/>
            </w:pPr>
            <w:hyperlink w:history="1" r:id="rIde4sc9uk7djlcq3d_d1bxe">
              <w:r>
                <w:rPr>
                  <w:rStyle w:val="MdLink"/>
                </w:rPr>
                <w:t xml:space="preserve">Credit Card Transactions Fraud Detection Dataset (Kartik Shenoy, Kaggle)</w:t>
              </w:r>
            </w:hyperlink>
          </w:p>
        </w:tc>
        <w:tc>
          <w:tcPr>
            <w:tcBorders>
              <w:right w:val="none"/>
            </w:tcBorders>
            <w:tcMar>
              <w:top w:type="dxa" w:w="80"/>
              <w:left w:type="dxa" w:w="120"/>
              <w:bottom w:type="dxa" w:w="80"/>
              <w:right w:type="dxa" w:w="120"/>
            </w:tcMar>
            <w:vAlign w:val="center"/>
          </w:tcPr>
          <w:p>
            <w:pPr>
              <w:pStyle w:val="MdTableCell"/>
              <w:jc w:val="left"/>
            </w:pPr>
            <w:r>
              <w:t xml:space="preserve">Avec les champs </w:t>
            </w:r>
            <w:r>
              <w:rPr>
                <w:rStyle w:val="MdCode"/>
                <w:u w:val="single"/>
              </w:rPr>
              <w:t xml:space="preserve">lat</w:t>
            </w:r>
            <w:r>
              <w:t xml:space="preserve">, </w:t>
            </w:r>
            <w:r>
              <w:rPr>
                <w:rStyle w:val="MdCode"/>
                <w:u w:val="single"/>
              </w:rPr>
              <w:t xml:space="preserve">long</w:t>
            </w:r>
            <w:r>
              <w:t xml:space="preserve">, </w:t>
            </w:r>
            <w:r>
              <w:rPr>
                <w:rStyle w:val="MdCode"/>
                <w:u w:val="single"/>
              </w:rPr>
              <w:t xml:space="preserve">merch_lat</w:t>
            </w:r>
            <w:r>
              <w:t xml:space="preserve">, et </w:t>
            </w:r>
            <w:r>
              <w:rPr>
                <w:rStyle w:val="MdCode"/>
                <w:u w:val="single"/>
              </w:rPr>
              <w:t xml:space="preserve">merch_long</w:t>
            </w:r>
            <w:r>
              <w:t xml:space="preserve">, ce dataset permet de calculer la distance entre les lieux de transactions successives et d'évaluer la cohérence de la vitesse de déplacement, un indicateur clé d'anomalie géographique.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UC4 : Vitesse anormale des transactions</w:t>
            </w:r>
          </w:p>
        </w:tc>
        <w:tc>
          <w:tcPr>
            <w:tcMar>
              <w:top w:type="dxa" w:w="80"/>
              <w:left w:type="dxa" w:w="120"/>
              <w:bottom w:type="dxa" w:w="80"/>
              <w:right w:type="dxa" w:w="120"/>
            </w:tcMar>
            <w:vAlign w:val="center"/>
          </w:tcPr>
          <w:p>
            <w:pPr>
              <w:pStyle w:val="MdTableCell"/>
              <w:jc w:val="left"/>
            </w:pPr>
            <w:hyperlink w:history="1" r:id="rIdvfeas5jaevt4afgsesjr3">
              <w:r>
                <w:rPr>
                  <w:rStyle w:val="MdLink"/>
                </w:rPr>
                <w:t xml:space="preserve">Bank Transaction Dataset for Fraud Detection (Vala Khorasani, Kaggle)</w:t>
              </w:r>
            </w:hyperlink>
          </w:p>
        </w:tc>
        <w:tc>
          <w:tcPr>
            <w:tcBorders>
              <w:right w:val="none"/>
            </w:tcBorders>
            <w:tcMar>
              <w:top w:type="dxa" w:w="80"/>
              <w:left w:type="dxa" w:w="120"/>
              <w:bottom w:type="dxa" w:w="80"/>
              <w:right w:type="dxa" w:w="120"/>
            </w:tcMar>
            <w:vAlign w:val="center"/>
          </w:tcPr>
          <w:p>
            <w:pPr>
              <w:pStyle w:val="MdTableCell"/>
              <w:jc w:val="left"/>
            </w:pPr>
            <w:r>
              <w:t xml:space="preserve">Ce dataset contient </w:t>
            </w:r>
            <w:r>
              <w:rPr>
                <w:rStyle w:val="MdCode"/>
                <w:u w:val="single"/>
              </w:rPr>
              <w:t xml:space="preserve">PreviousTransactionDate</w:t>
            </w:r>
            <w:r>
              <w:t xml:space="preserve"> et </w:t>
            </w:r>
            <w:r>
              <w:rPr>
                <w:rStyle w:val="MdCode"/>
                <w:u w:val="single"/>
              </w:rPr>
              <w:t xml:space="preserve">TransactionDuration</w:t>
            </w:r>
            <w:r>
              <w:t xml:space="preserve">, qui sont essentiels pour analyser la fréquence et la rapidité des transactions. Il permet de détecter des rafales d'activités suspectes sur une courte période.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UC5 : Transaction vers un pays à risque</w:t>
            </w:r>
          </w:p>
        </w:tc>
        <w:tc>
          <w:tcPr>
            <w:tcMar>
              <w:top w:type="dxa" w:w="80"/>
              <w:left w:type="dxa" w:w="120"/>
              <w:bottom w:type="dxa" w:w="80"/>
              <w:right w:type="dxa" w:w="120"/>
            </w:tcMar>
            <w:vAlign w:val="center"/>
          </w:tcPr>
          <w:p>
            <w:pPr>
              <w:pStyle w:val="MdTableCell"/>
              <w:jc w:val="left"/>
            </w:pPr>
            <w:hyperlink w:history="1" r:id="rIdoceymn8s7mi1rlnfeievk">
              <w:r>
                <w:rPr>
                  <w:rStyle w:val="MdLink"/>
                </w:rPr>
                <w:t xml:space="preserve">Synthetic Transaction Monitoring Dataset (SAML-D, Kaggle)</w:t>
              </w:r>
            </w:hyperlink>
          </w:p>
        </w:tc>
        <w:tc>
          <w:tcPr>
            <w:tcBorders>
              <w:right w:val="none"/>
            </w:tcBorders>
            <w:tcMar>
              <w:top w:type="dxa" w:w="80"/>
              <w:left w:type="dxa" w:w="120"/>
              <w:bottom w:type="dxa" w:w="80"/>
              <w:right w:type="dxa" w:w="120"/>
            </w:tcMar>
            <w:vAlign w:val="center"/>
          </w:tcPr>
          <w:p>
            <w:pPr>
              <w:pStyle w:val="MdTableCell"/>
              <w:jc w:val="left"/>
            </w:pPr>
            <w:r>
              <w:t xml:space="preserve">Bien que les détails spécifiques sur les pays à risque ne soient pas directement présents, ce dataset est conçu pour la surveillance des transactions et l'AML, ce qui implique des indicateurs de risque liés aux destinations. Il peut être enrichi avec une liste externe de pays à risque.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UC6 : Ajout massif de bénéficiaires</w:t>
            </w:r>
          </w:p>
        </w:tc>
        <w:tc>
          <w:tcPr>
            <w:tcMar>
              <w:top w:type="dxa" w:w="80"/>
              <w:left w:type="dxa" w:w="120"/>
              <w:bottom w:type="dxa" w:w="80"/>
              <w:right w:type="dxa" w:w="120"/>
            </w:tcMar>
            <w:vAlign w:val="center"/>
          </w:tcPr>
          <w:p>
            <w:pPr>
              <w:pStyle w:val="MdTableCell"/>
              <w:jc w:val="left"/>
            </w:pPr>
            <w:hyperlink w:history="1" r:id="rIdecmqsovuj1epaombvanrm">
              <w:r>
                <w:rPr>
                  <w:rStyle w:val="MdLink"/>
                </w:rPr>
                <w:t xml:space="preserve">Bank Account Fraud Dataset Suite (NeurIPS 2022, Kaggle)</w:t>
              </w:r>
            </w:hyperlink>
          </w:p>
        </w:tc>
        <w:tc>
          <w:tcPr>
            <w:tcBorders>
              <w:right w:val="none"/>
            </w:tcBorders>
            <w:tcMar>
              <w:top w:type="dxa" w:w="80"/>
              <w:left w:type="dxa" w:w="120"/>
              <w:bottom w:type="dxa" w:w="80"/>
              <w:right w:type="dxa" w:w="120"/>
            </w:tcMar>
            <w:vAlign w:val="center"/>
          </w:tcPr>
          <w:p>
            <w:pPr>
              <w:pStyle w:val="MdTableCell"/>
              <w:jc w:val="left"/>
            </w:pPr>
            <w:r>
              <w:t xml:space="preserve">Ce dataset se concentre sur la fraude à l'ouverture de compte et les comportements initiaux. Bien qu'il ne contienne pas directement des informations sur l'ajout de bénéficiaires, sa nature synthétique et sa focalisation sur les comportements frauduleux peuvent être adaptées pour simuler et détecter des schémas d'ajout massif de bénéficiaires.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UC7 : Bénéficiaire ajouté puis transaction immédiate</w:t>
            </w:r>
          </w:p>
        </w:tc>
        <w:tc>
          <w:tcPr>
            <w:tcMar>
              <w:top w:type="dxa" w:w="80"/>
              <w:left w:type="dxa" w:w="120"/>
              <w:bottom w:type="dxa" w:w="80"/>
              <w:right w:type="dxa" w:w="120"/>
            </w:tcMar>
            <w:vAlign w:val="center"/>
          </w:tcPr>
          <w:p>
            <w:pPr>
              <w:pStyle w:val="MdTableCell"/>
              <w:jc w:val="left"/>
            </w:pPr>
            <w:hyperlink w:history="1" r:id="rId6e8huwyjrrxwepfonte20">
              <w:r>
                <w:rPr>
                  <w:rStyle w:val="MdLink"/>
                </w:rPr>
                <w:t xml:space="preserve">PaySim (Kaggle)</w:t>
              </w:r>
            </w:hyperlink>
          </w:p>
        </w:tc>
        <w:tc>
          <w:tcPr>
            <w:tcBorders>
              <w:right w:val="none"/>
            </w:tcBorders>
            <w:tcMar>
              <w:top w:type="dxa" w:w="80"/>
              <w:left w:type="dxa" w:w="120"/>
              <w:bottom w:type="dxa" w:w="80"/>
              <w:right w:type="dxa" w:w="120"/>
            </w:tcMar>
            <w:vAlign w:val="center"/>
          </w:tcPr>
          <w:p>
            <w:pPr>
              <w:pStyle w:val="MdTableCell"/>
              <w:jc w:val="left"/>
            </w:pPr>
            <w:r>
              <w:t xml:space="preserve">Le dataset PaySim, avec ses types de transactions comme </w:t>
            </w:r>
            <w:r>
              <w:rPr>
                <w:rStyle w:val="MdCode"/>
                <w:u w:val="single"/>
              </w:rPr>
              <w:t xml:space="preserve">TRANSFER</w:t>
            </w:r>
            <w:r>
              <w:t xml:space="preserve"> et </w:t>
            </w:r>
            <w:r>
              <w:rPr>
                <w:rStyle w:val="MdCode"/>
                <w:u w:val="single"/>
              </w:rPr>
              <w:t xml:space="preserve">CASH_OUT</w:t>
            </w:r>
            <w:r>
              <w:t xml:space="preserve">, peut être utilisé pour simuler des scénarios où un transfert suit immédiatement l'ajout d'un nouveau bénéficiaire. La présence d'horodatages permet de calculer le délai entre ces événements.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UC8 : Bénéficiaire en liste noire</w:t>
            </w:r>
          </w:p>
        </w:tc>
        <w:tc>
          <w:tcPr>
            <w:tcBorders>
              <w:bottom w:val="single" w:color="E1E4E8" w:sz="4"/>
            </w:tcBorders>
            <w:tcMar>
              <w:top w:type="dxa" w:w="80"/>
              <w:left w:type="dxa" w:w="120"/>
              <w:bottom w:type="dxa" w:w="80"/>
              <w:right w:type="dxa" w:w="120"/>
            </w:tcMar>
            <w:vAlign w:val="center"/>
          </w:tcPr>
          <w:p>
            <w:pPr>
              <w:pStyle w:val="MdTableCell"/>
              <w:jc w:val="left"/>
            </w:pPr>
            <w:hyperlink w:history="1" r:id="rId9kd9k34c1igjri93ts2vm">
              <w:r>
                <w:rPr>
                  <w:rStyle w:val="MdLink"/>
                </w:rPr>
                <w:t xml:space="preserve">Synthetic Transaction Monitoring Dataset (SAML-D, Kaggle)</w:t>
              </w:r>
            </w:hyperlink>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Ce dataset est orienté AML et contient des identifiants de comptes ainsi que des labels de suspicion, ce qui le rend approprié pour simuler la détection de bénéficiaires figurant sur une liste noire. Il peut être utilisé pour tester des modèles qui comparent les bénéficiaires à une base de données de fraudeurs connus.</w:t>
            </w:r>
          </w:p>
        </w:tc>
      </w:tr>
    </w:tbl>
    <w:p>
      <w:pPr>
        <w:pStyle w:val="Heading2"/>
        <w:pStyle w:val="MdHeading2"/>
      </w:pPr>
      <w:r>
        <w:t xml:space="preserve">Références</w:t>
      </w:r>
    </w:p>
    <w:p>
      <w:pPr>
        <w:pStyle w:val="MdParagraph"/>
      </w:pPr>
      <w:r>
        <w:t xml:space="preserve">[1] PaySim: Synthetic Financial Datasets For Fraud Detection. </w:t>
      </w:r>
      <w:r>
        <w:rPr>
          <w:rStyle w:val="MdEm"/>
          <w:i/>
          <w:iCs/>
        </w:rPr>
        <w:t xml:space="preserve">Kaggle</w:t>
      </w:r>
      <w:r>
        <w:t xml:space="preserve">. Disponible sur: </w:t>
      </w:r>
      <w:hyperlink w:history="1" r:id="rIdtekghebmbqq3dvmxbn1gd">
        <w:r>
          <w:rPr>
            <w:rStyle w:val="MdLink"/>
          </w:rPr>
          <w:t xml:space="preserve">https://www.kaggle.com/datasets/ealaxi/paysim1</w:t>
        </w:r>
      </w:hyperlink>
    </w:p>
    <w:p>
      <w:pPr>
        <w:pStyle w:val="MdSpace"/>
        <w:spacing w:before="0" w:after="60"/>
      </w:pPr>
    </w:p>
    <w:p>
      <w:pPr>
        <w:pStyle w:val="MdParagraph"/>
      </w:pPr>
      <w:r>
        <w:t xml:space="preserve">[2] Credit Card Transactions Fraud Detection Dataset. </w:t>
      </w:r>
      <w:r>
        <w:rPr>
          <w:rStyle w:val="MdEm"/>
          <w:i/>
          <w:iCs/>
        </w:rPr>
        <w:t xml:space="preserve">Kaggle</w:t>
      </w:r>
      <w:r>
        <w:t xml:space="preserve">. Disponible sur: </w:t>
      </w:r>
      <w:hyperlink w:history="1" r:id="rId6lfdg5mm-bhehlvehtrvq">
        <w:r>
          <w:rPr>
            <w:rStyle w:val="MdLink"/>
          </w:rPr>
          <w:t xml:space="preserve">https://www.kaggle.com/datasets/kartik2112/fraud-detection</w:t>
        </w:r>
      </w:hyperlink>
    </w:p>
    <w:p>
      <w:pPr>
        <w:pStyle w:val="MdSpace"/>
        <w:spacing w:before="0" w:after="60"/>
      </w:pPr>
    </w:p>
    <w:p>
      <w:pPr>
        <w:pStyle w:val="MdParagraph"/>
      </w:pPr>
      <w:r>
        <w:t xml:space="preserve">[3] Bank Transaction Dataset for Fraud Detection. </w:t>
      </w:r>
      <w:r>
        <w:rPr>
          <w:rStyle w:val="MdEm"/>
          <w:i/>
          <w:iCs/>
        </w:rPr>
        <w:t xml:space="preserve">Kaggle</w:t>
      </w:r>
      <w:r>
        <w:t xml:space="preserve">. Disponible sur: </w:t>
      </w:r>
      <w:hyperlink w:history="1" r:id="rIdsf7c-brnuwut7isswb4tl">
        <w:r>
          <w:rPr>
            <w:rStyle w:val="MdLink"/>
          </w:rPr>
          <w:t xml:space="preserve">https://www.kaggle.com/datasets/valakhorasani/bank-transaction-dataset-for-fraud-detection</w:t>
        </w:r>
      </w:hyperlink>
    </w:p>
    <w:p>
      <w:pPr>
        <w:pStyle w:val="MdSpace"/>
        <w:spacing w:before="0" w:after="60"/>
      </w:pPr>
    </w:p>
    <w:p>
      <w:pPr>
        <w:pStyle w:val="MdParagraph"/>
      </w:pPr>
      <w:r>
        <w:t xml:space="preserve">[4] Synthetic Transaction Monitoring Dataset (SAML-D). </w:t>
      </w:r>
      <w:r>
        <w:rPr>
          <w:rStyle w:val="MdEm"/>
          <w:i/>
          <w:iCs/>
        </w:rPr>
        <w:t xml:space="preserve">Kaggle</w:t>
      </w:r>
      <w:r>
        <w:t xml:space="preserve">. Disponible sur: </w:t>
      </w:r>
      <w:hyperlink w:history="1" r:id="rIde4xxatdyys1poupokn0hr">
        <w:r>
          <w:rPr>
            <w:rStyle w:val="MdLink"/>
          </w:rPr>
          <w:t xml:space="preserve">https://www.kaggle.com/datasets/berkanoztas/synthetic-transaction-monitoring-dataset-aml</w:t>
        </w:r>
      </w:hyperlink>
    </w:p>
    <w:p>
      <w:pPr>
        <w:pStyle w:val="MdSpace"/>
        <w:spacing w:before="0" w:after="60"/>
      </w:pPr>
    </w:p>
    <w:p>
      <w:pPr>
        <w:pStyle w:val="MdParagraph"/>
      </w:pPr>
      <w:r>
        <w:t xml:space="preserve">[5] Bank Account Fraud Dataset Suite (NeurIPS 2022). </w:t>
      </w:r>
      <w:r>
        <w:rPr>
          <w:rStyle w:val="MdEm"/>
          <w:i/>
          <w:iCs/>
        </w:rPr>
        <w:t xml:space="preserve">Kaggle</w:t>
      </w:r>
      <w:r>
        <w:t xml:space="preserve">. Disponible sur: </w:t>
      </w:r>
      <w:hyperlink w:history="1" r:id="rIduzcury6kr-ikcm1tfd-rl">
        <w:r>
          <w:rPr>
            <w:rStyle w:val="MdLink"/>
          </w:rPr>
          <w:t xml:space="preserve">https://www.kaggle.com/datasets/sgpjesus/bank-account-fraud-dataset-neurips-2022</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cpg7vf0koocih25lp6xpf" Type="http://schemas.openxmlformats.org/officeDocument/2006/relationships/hyperlink" Target="https://www.kaggle.com/datasets/ealaxi/paysim1" TargetMode="External"/><Relationship Id="rId-gcoiai4lkv6nf-ddbth8" Type="http://schemas.openxmlformats.org/officeDocument/2006/relationships/hyperlink" Target="https://www.kaggle.com/datasets/kartik2112/fraud-detection" TargetMode="External"/><Relationship Id="rIde4sc9uk7djlcq3d_d1bxe" Type="http://schemas.openxmlformats.org/officeDocument/2006/relationships/hyperlink" Target="https://www.kaggle.com/datasets/kartik2112/fraud-detection" TargetMode="External"/><Relationship Id="rIdvfeas5jaevt4afgsesjr3" Type="http://schemas.openxmlformats.org/officeDocument/2006/relationships/hyperlink" Target="https://www.kaggle.com/datasets/valakhorasani/bank-transaction-dataset-for-fraud-detection" TargetMode="External"/><Relationship Id="rIdoceymn8s7mi1rlnfeievk" Type="http://schemas.openxmlformats.org/officeDocument/2006/relationships/hyperlink" Target="https://www.kaggle.com/datasets/berkanoztas/synthetic-transaction-monitoring-dataset-aml" TargetMode="External"/><Relationship Id="rIdecmqsovuj1epaombvanrm" Type="http://schemas.openxmlformats.org/officeDocument/2006/relationships/hyperlink" Target="https://www.kaggle.com/datasets/sgpjesus/bank-account-fraud-dataset-neurips-2022" TargetMode="External"/><Relationship Id="rId6e8huwyjrrxwepfonte20" Type="http://schemas.openxmlformats.org/officeDocument/2006/relationships/hyperlink" Target="https://www.kaggle.com/datasets/ealaxi/paysim1" TargetMode="External"/><Relationship Id="rId9kd9k34c1igjri93ts2vm" Type="http://schemas.openxmlformats.org/officeDocument/2006/relationships/hyperlink" Target="https://www.kaggle.com/datasets/berkanoztas/synthetic-transaction-monitoring-dataset-aml" TargetMode="External"/><Relationship Id="rIdtekghebmbqq3dvmxbn1gd" Type="http://schemas.openxmlformats.org/officeDocument/2006/relationships/hyperlink" Target="https://www.kaggle.com/datasets/ealaxi/paysim1" TargetMode="External"/><Relationship Id="rId6lfdg5mm-bhehlvehtrvq" Type="http://schemas.openxmlformats.org/officeDocument/2006/relationships/hyperlink" Target="https://www.kaggle.com/datasets/kartik2112/fraud-detection" TargetMode="External"/><Relationship Id="rIdsf7c-brnuwut7isswb4tl" Type="http://schemas.openxmlformats.org/officeDocument/2006/relationships/hyperlink" Target="https://www.kaggle.com/datasets/valakhorasani/bank-transaction-dataset-for-fraud-detection" TargetMode="External"/><Relationship Id="rIde4xxatdyys1poupokn0hr" Type="http://schemas.openxmlformats.org/officeDocument/2006/relationships/hyperlink" Target="https://www.kaggle.com/datasets/berkanoztas/synthetic-transaction-monitoring-dataset-aml" TargetMode="External"/><Relationship Id="rIduzcury6kr-ikcm1tfd-rl" Type="http://schemas.openxmlformats.org/officeDocument/2006/relationships/hyperlink" Target="https://www.kaggle.com/datasets/sgpjesus/bank-account-fraud-dataset-neurips-2022" TargetMode="External"/><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2026-07-06T22:42:59.942Z</dcterms:created>
  <dcterms:modified xsi:type="dcterms:W3CDTF">2026-07-06T22:42:59.942Z</dcterms:modified>
</cp:coreProperties>
</file>

<file path=docProps/custom.xml><?xml version="1.0" encoding="utf-8"?>
<Properties xmlns="http://schemas.openxmlformats.org/officeDocument/2006/custom-properties" xmlns:vt="http://schemas.openxmlformats.org/officeDocument/2006/docPropsVTypes"/>
</file>