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67E22" w:sz="8"/>
        </w:pBdr>
        <w:shd w:fill="1B3F6E" w:val="clear"/>
        <w:spacing w:after="0" w:before="0"/>
      </w:pPr>
      <w:r>
        <w:rPr>
          <w:sz w:val="4"/>
          <w:szCs w:val="4"/>
        </w:rPr>
        <w:t xml:space="preserve"> </w:t>
      </w:r>
    </w:p>
    <w:p>
      <w:pPr>
        <w:spacing w:after="800" w:before="0"/>
      </w:pPr>
      <w:r>
        <w:t xml:space="preserve"/>
      </w:r>
    </w:p>
    <w:p>
      <w:pPr>
        <w:spacing w:after="60" w:before="0"/>
        <w:jc w:val="center"/>
      </w:pPr>
      <w:r>
        <w:rPr>
          <w:rFonts w:ascii="Arial" w:cs="Arial" w:eastAsia="Arial" w:hAnsi="Arial"/>
          <w:i/>
          <w:iCs/>
          <w:color w:val="555555"/>
          <w:sz w:val="22"/>
          <w:szCs w:val="22"/>
        </w:rPr>
        <w:t xml:space="preserve">Université / Institut Supérieur</w:t>
      </w:r>
    </w:p>
    <w:p>
      <w:pPr>
        <w:spacing w:after="60" w:before="0"/>
        <w:jc w:val="center"/>
      </w:pPr>
      <w:r>
        <w:rPr>
          <w:rFonts w:ascii="Arial" w:cs="Arial" w:eastAsia="Arial" w:hAnsi="Arial"/>
          <w:i/>
          <w:iCs/>
          <w:color w:val="555555"/>
          <w:sz w:val="22"/>
          <w:szCs w:val="22"/>
        </w:rPr>
        <w:t xml:space="preserve">Cours : SoA &amp; Microservices — Dr. Salah Gontara</w:t>
      </w:r>
    </w:p>
    <w:p>
      <w:pPr>
        <w:spacing w:after="0" w:before="0"/>
        <w:jc w:val="center"/>
      </w:pPr>
      <w:r>
        <w:rPr>
          <w:rFonts w:ascii="Arial" w:cs="Arial" w:eastAsia="Arial" w:hAnsi="Arial"/>
          <w:i/>
          <w:iCs/>
          <w:color w:val="555555"/>
          <w:sz w:val="22"/>
          <w:szCs w:val="22"/>
        </w:rPr>
        <w:t xml:space="preserve">Année universitaire : 2025-2026</w:t>
      </w:r>
    </w:p>
    <w:p>
      <w:pPr>
        <w:spacing w:after="600" w:before="0"/>
      </w:pPr>
      <w:r>
        <w:t xml:space="preserve"/>
      </w:r>
    </w:p>
    <w:p>
      <w:pPr>
        <w:pBdr>
          <w:bottom w:val="single" w:color="E67E22" w:sz="6"/>
        </w:pBdr>
        <w:spacing w:after="600" w:before="0"/>
        <w:ind w:left="1000" w:right="1000"/>
      </w:pPr>
      <w:r>
        <w:t xml:space="preserve"> </w:t>
      </w:r>
    </w:p>
    <w:p>
      <w:pPr>
        <w:spacing w:after="240" w:before="0"/>
        <w:jc w:val="center"/>
      </w:pPr>
      <w:r>
        <w:rPr>
          <w:rFonts w:ascii="Arial" w:cs="Arial" w:eastAsia="Arial" w:hAnsi="Arial"/>
          <w:b/>
          <w:bCs/>
          <w:color w:val="1B3F6E"/>
          <w:sz w:val="52"/>
          <w:szCs w:val="52"/>
        </w:rPr>
        <w:t xml:space="preserve">Application Bancaire Simplifiée</w:t>
      </w:r>
    </w:p>
    <w:p>
      <w:pPr>
        <w:spacing w:after="120" w:before="0"/>
        <w:jc w:val="center"/>
      </w:pPr>
      <w:r>
        <w:rPr>
          <w:rFonts w:ascii="Arial" w:cs="Arial" w:eastAsia="Arial" w:hAnsi="Arial"/>
          <w:b/>
          <w:bCs/>
          <w:color w:val="2E75B6"/>
          <w:sz w:val="36"/>
          <w:szCs w:val="36"/>
        </w:rPr>
        <w:t xml:space="preserve">Architecture Microservices</w:t>
      </w:r>
    </w:p>
    <w:p>
      <w:pPr>
        <w:spacing w:after="0" w:before="0"/>
        <w:jc w:val="center"/>
      </w:pPr>
      <w:r>
        <w:rPr>
          <w:rFonts w:ascii="Arial" w:cs="Arial" w:eastAsia="Arial" w:hAnsi="Arial"/>
          <w:i/>
          <w:iCs/>
          <w:color w:val="E67E22"/>
          <w:sz w:val="28"/>
          <w:szCs w:val="28"/>
        </w:rPr>
        <w:t xml:space="preserve">Documentation Technique</w:t>
      </w:r>
    </w:p>
    <w:p>
      <w:pPr>
        <w:spacing w:after="600" w:before="0"/>
      </w:pPr>
      <w:r>
        <w:t xml:space="preserve"/>
      </w:r>
    </w:p>
    <w:p>
      <w:pPr>
        <w:pBdr>
          <w:bottom w:val="single" w:color="E67E22" w:sz="6"/>
        </w:pBdr>
        <w:spacing w:after="800" w:before="0"/>
        <w:ind w:left="1000" w:right="1000"/>
      </w:pPr>
      <w:r>
        <w:t xml:space="preserve"> </w:t>
      </w:r>
    </w:p>
    <w:p>
      <w:pPr>
        <w:spacing w:after="200" w:before="0"/>
        <w:jc w:val="center"/>
      </w:pPr>
      <w:r>
        <w:rPr>
          <w:rFonts w:ascii="Arial" w:cs="Arial" w:eastAsia="Arial" w:hAnsi="Arial"/>
          <w:i/>
          <w:iCs/>
          <w:color w:val="555555"/>
          <w:sz w:val="24"/>
          <w:szCs w:val="24"/>
        </w:rPr>
        <w:t xml:space="preserve">Réalisé par</w:t>
      </w:r>
    </w:p>
    <w:p>
      <w:pPr>
        <w:spacing w:after="120" w:before="0"/>
        <w:jc w:val="center"/>
      </w:pPr>
      <w:r>
        <w:rPr>
          <w:rFonts w:ascii="Arial" w:cs="Arial" w:eastAsia="Arial" w:hAnsi="Arial"/>
          <w:b/>
          <w:bCs/>
          <w:color w:val="1B3F6E"/>
          <w:sz w:val="30"/>
          <w:szCs w:val="30"/>
        </w:rPr>
        <w:t xml:space="preserve">Emna Mkhinini</w:t>
      </w:r>
    </w:p>
    <w:p>
      <w:pPr>
        <w:spacing w:after="120" w:before="0"/>
        <w:jc w:val="center"/>
      </w:pPr>
      <w:r>
        <w:rPr>
          <w:rFonts w:ascii="Arial" w:cs="Arial" w:eastAsia="Arial" w:hAnsi="Arial"/>
          <w:b/>
          <w:bCs/>
          <w:color w:val="1B3F6E"/>
          <w:sz w:val="30"/>
          <w:szCs w:val="30"/>
        </w:rPr>
        <w:t xml:space="preserve">Chikh Zaoui</w:t>
      </w:r>
    </w:p>
    <w:p>
      <w:pPr>
        <w:spacing w:after="0" w:before="0"/>
        <w:jc w:val="center"/>
      </w:pPr>
      <w:r>
        <w:rPr>
          <w:rFonts w:ascii="Arial" w:cs="Arial" w:eastAsia="Arial" w:hAnsi="Arial"/>
          <w:b/>
          <w:bCs/>
          <w:color w:val="1B3F6E"/>
          <w:sz w:val="30"/>
          <w:szCs w:val="30"/>
        </w:rPr>
        <w:t xml:space="preserve">Ines Hmila</w:t>
      </w:r>
    </w:p>
    <w:p>
      <w:pPr>
        <w:spacing w:after="800" w:before="0"/>
      </w:pPr>
      <w:r>
        <w:t xml:space="preserve"/>
      </w:r>
    </w:p>
    <w:p>
      <w:pPr>
        <w:pBdr>
          <w:top w:val="single" w:color="E67E22" w:sz="8"/>
        </w:pBdr>
        <w:shd w:fill="1B3F6E" w:val="clear"/>
        <w:spacing w:after="0" w:before="0"/>
        <w:jc w:val="center"/>
      </w:pPr>
      <w:r>
        <w:rPr>
          <w:rFonts w:ascii="Arial" w:cs="Arial" w:eastAsia="Arial" w:hAnsi="Arial"/>
          <w:color w:val="FFFFFF"/>
          <w:sz w:val="22"/>
          <w:szCs w:val="22"/>
        </w:rPr>
        <w:t xml:space="preserve">Mai 2026</w:t>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Table des matières</w:t>
      </w:r>
    </w:p>
    <w:p>
      <w:pPr>
        <w:spacing w:after="200" w:before="0"/>
      </w:pPr>
      <w:r>
        <w:t xml:space="preserve"/>
      </w:r>
    </w:p>
    <w:p>
      <w:pPr>
        <w:spacing w:after="80" w:before="80"/>
        <w:ind w:left="200"/>
      </w:pPr>
      <w:r>
        <w:rPr>
          <w:rFonts w:ascii="Arial" w:cs="Arial" w:eastAsia="Arial" w:hAnsi="Arial"/>
          <w:color w:val="1A1A2E"/>
          <w:sz w:val="22"/>
          <w:szCs w:val="22"/>
        </w:rPr>
        <w:t xml:space="preserve">1. Introduction</w:t>
      </w:r>
      <w:r>
        <w:rPr>
          <w:rFonts w:ascii="Arial" w:cs="Arial" w:eastAsia="Arial" w:hAnsi="Arial"/>
          <w:color w:val="555555"/>
          <w:sz w:val="22"/>
          <w:szCs w:val="22"/>
        </w:rPr>
        <w:t xml:space="preserve">   ..............................   3</w:t>
      </w:r>
    </w:p>
    <w:p>
      <w:pPr>
        <w:spacing w:after="80" w:before="80"/>
        <w:ind w:left="200"/>
      </w:pPr>
      <w:r>
        <w:rPr>
          <w:rFonts w:ascii="Arial" w:cs="Arial" w:eastAsia="Arial" w:hAnsi="Arial"/>
          <w:color w:val="1A1A2E"/>
          <w:sz w:val="22"/>
          <w:szCs w:val="22"/>
        </w:rPr>
        <w:t xml:space="preserve">2. Architecture générale</w:t>
      </w:r>
      <w:r>
        <w:rPr>
          <w:rFonts w:ascii="Arial" w:cs="Arial" w:eastAsia="Arial" w:hAnsi="Arial"/>
          <w:color w:val="555555"/>
          <w:sz w:val="22"/>
          <w:szCs w:val="22"/>
        </w:rPr>
        <w:t xml:space="preserve">   ..............................   3</w:t>
      </w:r>
    </w:p>
    <w:p>
      <w:pPr>
        <w:spacing w:after="80" w:before="80"/>
        <w:ind w:left="200"/>
      </w:pPr>
      <w:r>
        <w:rPr>
          <w:rFonts w:ascii="Arial" w:cs="Arial" w:eastAsia="Arial" w:hAnsi="Arial"/>
          <w:color w:val="1A1A2E"/>
          <w:sz w:val="22"/>
          <w:szCs w:val="22"/>
        </w:rPr>
        <w:t xml:space="preserve">3. Services gRPC</w:t>
      </w:r>
      <w:r>
        <w:rPr>
          <w:rFonts w:ascii="Arial" w:cs="Arial" w:eastAsia="Arial" w:hAnsi="Arial"/>
          <w:color w:val="555555"/>
          <w:sz w:val="22"/>
          <w:szCs w:val="22"/>
        </w:rPr>
        <w:t xml:space="preserve">   ..............................   4</w:t>
      </w:r>
    </w:p>
    <w:p>
      <w:pPr>
        <w:spacing w:after="80" w:before="80"/>
        <w:ind w:left="200"/>
      </w:pPr>
      <w:r>
        <w:rPr>
          <w:rFonts w:ascii="Arial" w:cs="Arial" w:eastAsia="Arial" w:hAnsi="Arial"/>
          <w:color w:val="1A1A2E"/>
          <w:sz w:val="22"/>
          <w:szCs w:val="22"/>
        </w:rPr>
        <w:t xml:space="preserve">4. API Gateway — REST &amp; GraphQL</w:t>
      </w:r>
      <w:r>
        <w:rPr>
          <w:rFonts w:ascii="Arial" w:cs="Arial" w:eastAsia="Arial" w:hAnsi="Arial"/>
          <w:color w:val="555555"/>
          <w:sz w:val="22"/>
          <w:szCs w:val="22"/>
        </w:rPr>
        <w:t xml:space="preserve">   ..............................   6</w:t>
      </w:r>
    </w:p>
    <w:p>
      <w:pPr>
        <w:spacing w:after="80" w:before="80"/>
        <w:ind w:left="200"/>
      </w:pPr>
      <w:r>
        <w:rPr>
          <w:rFonts w:ascii="Arial" w:cs="Arial" w:eastAsia="Arial" w:hAnsi="Arial"/>
          <w:color w:val="1A1A2E"/>
          <w:sz w:val="22"/>
          <w:szCs w:val="22"/>
        </w:rPr>
        <w:t xml:space="preserve">5. Messagerie Kafka</w:t>
      </w:r>
      <w:r>
        <w:rPr>
          <w:rFonts w:ascii="Arial" w:cs="Arial" w:eastAsia="Arial" w:hAnsi="Arial"/>
          <w:color w:val="555555"/>
          <w:sz w:val="22"/>
          <w:szCs w:val="22"/>
        </w:rPr>
        <w:t xml:space="preserve">   ..............................   8</w:t>
      </w:r>
    </w:p>
    <w:p>
      <w:pPr>
        <w:spacing w:after="80" w:before="80"/>
        <w:ind w:left="200"/>
      </w:pPr>
      <w:r>
        <w:rPr>
          <w:rFonts w:ascii="Arial" w:cs="Arial" w:eastAsia="Arial" w:hAnsi="Arial"/>
          <w:color w:val="1A1A2E"/>
          <w:sz w:val="22"/>
          <w:szCs w:val="22"/>
        </w:rPr>
        <w:t xml:space="preserve">6. Bases de données</w:t>
      </w:r>
      <w:r>
        <w:rPr>
          <w:rFonts w:ascii="Arial" w:cs="Arial" w:eastAsia="Arial" w:hAnsi="Arial"/>
          <w:color w:val="555555"/>
          <w:sz w:val="22"/>
          <w:szCs w:val="22"/>
        </w:rPr>
        <w:t xml:space="preserve">   ..............................   9</w:t>
      </w:r>
    </w:p>
    <w:p>
      <w:pPr>
        <w:spacing w:after="80" w:before="80"/>
        <w:ind w:left="200"/>
      </w:pPr>
      <w:r>
        <w:rPr>
          <w:rFonts w:ascii="Arial" w:cs="Arial" w:eastAsia="Arial" w:hAnsi="Arial"/>
          <w:color w:val="1A1A2E"/>
          <w:sz w:val="22"/>
          <w:szCs w:val="22"/>
        </w:rPr>
        <w:t xml:space="preserve">7. Guide de démarrage</w:t>
      </w:r>
      <w:r>
        <w:rPr>
          <w:rFonts w:ascii="Arial" w:cs="Arial" w:eastAsia="Arial" w:hAnsi="Arial"/>
          <w:color w:val="555555"/>
          <w:sz w:val="22"/>
          <w:szCs w:val="22"/>
        </w:rPr>
        <w:t xml:space="preserve">   ..............................   9</w:t>
      </w:r>
    </w:p>
    <w:p>
      <w:pPr>
        <w:spacing w:after="80" w:before="80"/>
        <w:ind w:left="200"/>
      </w:pPr>
      <w:r>
        <w:rPr>
          <w:rFonts w:ascii="Arial" w:cs="Arial" w:eastAsia="Arial" w:hAnsi="Arial"/>
          <w:color w:val="1A1A2E"/>
          <w:sz w:val="22"/>
          <w:szCs w:val="22"/>
        </w:rPr>
        <w:t xml:space="preserve">8. Conclusion</w:t>
      </w:r>
      <w:r>
        <w:rPr>
          <w:rFonts w:ascii="Arial" w:cs="Arial" w:eastAsia="Arial" w:hAnsi="Arial"/>
          <w:color w:val="555555"/>
          <w:sz w:val="22"/>
          <w:szCs w:val="22"/>
        </w:rPr>
        <w:t xml:space="preserve">   ..............................   11</w:t>
      </w:r>
    </w:p>
    <w:p>
      <w:pPr>
        <w:spacing w:after="4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1. Introduction</w:t>
      </w:r>
    </w:p>
    <w:p>
      <w:pPr>
        <w:spacing w:after="100" w:before="0"/>
      </w:pPr>
      <w:r>
        <w:t xml:space="preserve"/>
      </w:r>
    </w:p>
    <w:p>
      <w:pPr>
        <w:spacing w:after="80" w:before="60"/>
        <w:ind w:left="180"/>
      </w:pPr>
      <w:r>
        <w:rPr>
          <w:rFonts w:ascii="Arial" w:cs="Arial" w:eastAsia="Arial" w:hAnsi="Arial"/>
          <w:color w:val="1A1A2E"/>
          <w:sz w:val="22"/>
          <w:szCs w:val="22"/>
        </w:rPr>
        <w:t xml:space="preserve">Ce document présente la documentation technique de l'application bancaire simplifiée développée dans le cadre du cours SoA &amp; Microservices. L'objectif est de concevoir et d'implémenter une architecture distribuée complète illustrant les bonnes pratiques des systèmes modernes.</w:t>
      </w:r>
    </w:p>
    <w:p>
      <w:pPr>
        <w:spacing w:after="80" w:before="0"/>
      </w:pPr>
      <w:r>
        <w:t xml:space="preserve"/>
      </w:r>
    </w:p>
    <w:p>
      <w:pPr>
        <w:spacing w:after="80" w:before="60"/>
        <w:ind w:left="180"/>
      </w:pPr>
      <w:r>
        <w:rPr>
          <w:rFonts w:ascii="Arial" w:cs="Arial" w:eastAsia="Arial" w:hAnsi="Arial"/>
          <w:color w:val="1A1A2E"/>
          <w:sz w:val="22"/>
          <w:szCs w:val="22"/>
        </w:rPr>
        <w:t xml:space="preserve">L'application repose sur trois microservices indépendants, communiquant via le protocole gRPC et exposés au monde extérieur par un API Gateway unifié offrant à la fois une interface REST et une interface GraphQL. La communication asynchrone entre services est assurée par Apache Kafka.</w:t>
      </w:r>
    </w:p>
    <w:p>
      <w:pPr>
        <w:spacing w:after="80" w:before="0"/>
      </w:pPr>
      <w:r>
        <w:t xml:space="preserve"/>
      </w:r>
    </w:p>
    <w:p>
      <w:pPr>
        <w:pBdr>
          <w:bottom w:val="single" w:color="2E75B6" w:sz="4"/>
        </w:pBdr>
        <w:spacing w:after="120" w:before="240"/>
      </w:pPr>
      <w:r>
        <w:rPr>
          <w:rFonts w:ascii="Arial" w:cs="Arial" w:eastAsia="Arial" w:hAnsi="Arial"/>
          <w:b/>
          <w:bCs/>
          <w:color w:val="1B3F6E"/>
          <w:sz w:val="24"/>
          <w:szCs w:val="24"/>
        </w:rPr>
        <w:t xml:space="preserve">Stack technique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Composant</w:t>
            </w:r>
          </w:p>
        </w:tc>
        <w:tc>
          <w:tcPr>
            <w:tcW w:type="dxa" w:w="65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Technologie / Version</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Runtime</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Node.js ≥ 18</w:t>
            </w:r>
          </w:p>
        </w:tc>
      </w:tr>
      <w:tr>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Communication inter-services</w:t>
            </w:r>
          </w:p>
        </w:tc>
        <w:tc>
          <w:tcPr>
            <w:tcW w:type="dxa" w:w="65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gRPC (HTTP/2 + Protocol Buffers)</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API publique</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REST (Express.js) + GraphQL (Apollo Server)</w:t>
            </w:r>
          </w:p>
        </w:tc>
      </w:tr>
      <w:tr>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Messagerie asynchrone</w:t>
            </w:r>
          </w:p>
        </w:tc>
        <w:tc>
          <w:tcPr>
            <w:tcW w:type="dxa" w:w="65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Apache Kafka 4.2 — mode KRaft (sans Zookeeper)</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Base de données comptes</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SQLite3 — fichier comptes.db</w:t>
            </w:r>
          </w:p>
        </w:tc>
      </w:tr>
      <w:tr>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Base de données transactions</w:t>
            </w:r>
          </w:p>
        </w:tc>
        <w:tc>
          <w:tcPr>
            <w:tcW w:type="dxa" w:w="65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SQLite3 — fichier transactions.db</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Base de données notifications</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RxDB / LokiJS — NoSQL in-memory + persisté</w:t>
            </w:r>
          </w:p>
        </w:tc>
      </w:tr>
    </w:tbl>
    <w:p>
      <w:pPr>
        <w:spacing w:after="3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2. Architecture générale</w:t>
      </w:r>
    </w:p>
    <w:p>
      <w:pPr>
        <w:spacing w:after="100" w:before="0"/>
      </w:pPr>
      <w:r>
        <w:t xml:space="preserve"/>
      </w:r>
    </w:p>
    <w:p>
      <w:pPr>
        <w:spacing w:after="80" w:before="60"/>
        <w:ind w:left="180"/>
      </w:pPr>
      <w:r>
        <w:rPr>
          <w:rFonts w:ascii="Arial" w:cs="Arial" w:eastAsia="Arial" w:hAnsi="Arial"/>
          <w:color w:val="1A1A2E"/>
          <w:sz w:val="22"/>
          <w:szCs w:val="22"/>
        </w:rPr>
        <w:t xml:space="preserve">L'architecture suit le pattern microservices avec un point d'entrée unique (API Gateway). Chaque service est isolé, possède sa propre base de données et son propre contrat de communication.</w:t>
      </w:r>
    </w:p>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2.1 Vue d'ensemble des composants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16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Port</w:t>
            </w:r>
          </w:p>
        </w:tc>
        <w:tc>
          <w:tcPr>
            <w:tcW w:type="dxa" w:w="51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Rôle</w:t>
            </w:r>
          </w:p>
        </w:tc>
      </w:tr>
      <w:tr>
        <w:tc>
          <w:tcPr>
            <w:tcW w:type="dxa" w:w="26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API Gateway</w:t>
            </w:r>
          </w:p>
        </w:tc>
        <w:tc>
          <w:tcPr>
            <w:tcW w:type="dxa" w:w="16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3000</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Point d'entrée unique — REST + GraphQL → gRPC</w:t>
            </w:r>
          </w:p>
        </w:tc>
      </w:tr>
      <w:tr>
        <w:tc>
          <w:tcPr>
            <w:tcW w:type="dxa" w:w="26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Microservice Compte</w:t>
            </w:r>
          </w:p>
        </w:tc>
        <w:tc>
          <w:tcPr>
            <w:tcW w:type="dxa" w:w="16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50051 (gRPC)</w:t>
            </w:r>
          </w:p>
        </w:tc>
        <w:tc>
          <w:tcPr>
            <w:tcW w:type="dxa" w:w="51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Gestion CRUD des comptes bancaires</w:t>
            </w:r>
          </w:p>
        </w:tc>
      </w:tr>
      <w:tr>
        <w:tc>
          <w:tcPr>
            <w:tcW w:type="dxa" w:w="26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Microservice Transaction</w:t>
            </w:r>
          </w:p>
        </w:tc>
        <w:tc>
          <w:tcPr>
            <w:tcW w:type="dxa" w:w="16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50052 (gRPC)</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Opérations financières + producteur Kafka</w:t>
            </w:r>
          </w:p>
        </w:tc>
      </w:tr>
      <w:tr>
        <w:tc>
          <w:tcPr>
            <w:tcW w:type="dxa" w:w="26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Microservice Notification</w:t>
            </w:r>
          </w:p>
        </w:tc>
        <w:tc>
          <w:tcPr>
            <w:tcW w:type="dxa" w:w="16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50053 (gRPC)</w:t>
            </w:r>
          </w:p>
        </w:tc>
        <w:tc>
          <w:tcPr>
            <w:tcW w:type="dxa" w:w="51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Notifications événementielles + consommateur Kafka</w:t>
            </w:r>
          </w:p>
        </w:tc>
      </w:tr>
      <w:tr>
        <w:tc>
          <w:tcPr>
            <w:tcW w:type="dxa" w:w="26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Apache Kafka</w:t>
            </w:r>
          </w:p>
        </w:tc>
        <w:tc>
          <w:tcPr>
            <w:tcW w:type="dxa" w:w="16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9092</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Bus de messages asynchrone (2 topics)</w:t>
            </w:r>
          </w:p>
        </w:tc>
      </w:tr>
    </w:tbl>
    <w:p>
      <w:pPr>
        <w:spacing w:after="200" w:before="0"/>
      </w:pPr>
      <w:r>
        <w:t xml:space="preserve"/>
      </w:r>
    </w:p>
    <w:p>
      <w:pPr>
        <w:pBdr>
          <w:bottom w:val="single" w:color="2E75B6" w:sz="4"/>
        </w:pBdr>
        <w:spacing w:after="120" w:before="240"/>
      </w:pPr>
      <w:r>
        <w:rPr>
          <w:rFonts w:ascii="Arial" w:cs="Arial" w:eastAsia="Arial" w:hAnsi="Arial"/>
          <w:b/>
          <w:bCs/>
          <w:color w:val="1B3F6E"/>
          <w:sz w:val="24"/>
          <w:szCs w:val="24"/>
        </w:rPr>
        <w:t xml:space="preserve">2.2 Flux de communication</w:t>
      </w:r>
    </w:p>
    <w:p>
      <w:pPr>
        <w:spacing w:after="80" w:before="0"/>
      </w:pPr>
      <w:r>
        <w:t xml:space="preserve"/>
      </w:r>
    </w:p>
    <w:p>
      <w:pPr>
        <w:spacing w:after="80" w:before="60"/>
        <w:ind w:left="180"/>
      </w:pPr>
      <w:r>
        <w:rPr>
          <w:rFonts w:ascii="Arial" w:cs="Arial" w:eastAsia="Arial" w:hAnsi="Arial"/>
          <w:color w:val="1A1A2E"/>
          <w:sz w:val="22"/>
          <w:szCs w:val="22"/>
        </w:rPr>
        <w:t xml:space="preserve">Le flux standard d'une opération bancaire se déroule comme suit :</w:t>
      </w:r>
    </w:p>
    <w:p>
      <w:pPr>
        <w:spacing w:after="60" w:before="0"/>
      </w:pPr>
      <w:r>
        <w:t xml:space="preserve"/>
      </w:r>
    </w:p>
    <w:p>
      <w:pPr>
        <w:pStyle w:val="ListParagraph"/>
        <w:numPr>
          <w:ilvl w:val="0"/>
          <w:numId w:val="2"/>
        </w:numPr>
        <w:spacing w:after="60" w:before="40"/>
      </w:pPr>
      <w:r>
        <w:rPr>
          <w:rFonts w:ascii="Arial" w:cs="Arial" w:eastAsia="Arial" w:hAnsi="Arial"/>
          <w:color w:val="1A1A2E"/>
          <w:sz w:val="22"/>
          <w:szCs w:val="22"/>
        </w:rPr>
        <w:t xml:space="preserve">Le client envoie une requête REST (JSON) ou GraphQL vers l'API Gateway (port 3000).</w:t>
      </w:r>
    </w:p>
    <w:p>
      <w:pPr>
        <w:pStyle w:val="ListParagraph"/>
        <w:numPr>
          <w:ilvl w:val="0"/>
          <w:numId w:val="2"/>
        </w:numPr>
        <w:spacing w:after="60" w:before="40"/>
      </w:pPr>
      <w:r>
        <w:rPr>
          <w:rFonts w:ascii="Arial" w:cs="Arial" w:eastAsia="Arial" w:hAnsi="Arial"/>
          <w:color w:val="1A1A2E"/>
          <w:sz w:val="22"/>
          <w:szCs w:val="22"/>
        </w:rPr>
        <w:t xml:space="preserve">Le Gateway traduit la requête en appel gRPC Protobuf vers le microservice concerné.</w:t>
      </w:r>
    </w:p>
    <w:p>
      <w:pPr>
        <w:pStyle w:val="ListParagraph"/>
        <w:numPr>
          <w:ilvl w:val="0"/>
          <w:numId w:val="2"/>
        </w:numPr>
        <w:spacing w:after="60" w:before="40"/>
      </w:pPr>
      <w:r>
        <w:rPr>
          <w:rFonts w:ascii="Arial" w:cs="Arial" w:eastAsia="Arial" w:hAnsi="Arial"/>
          <w:color w:val="1A1A2E"/>
          <w:sz w:val="22"/>
          <w:szCs w:val="22"/>
        </w:rPr>
        <w:t xml:space="preserve">Le Microservice Transaction appelle lui-même le Microservice Compte via gRPC pour débiter ou créditer les soldes.</w:t>
      </w:r>
    </w:p>
    <w:p>
      <w:pPr>
        <w:pStyle w:val="ListParagraph"/>
        <w:numPr>
          <w:ilvl w:val="0"/>
          <w:numId w:val="2"/>
        </w:numPr>
        <w:spacing w:after="60" w:before="40"/>
      </w:pPr>
      <w:r>
        <w:rPr>
          <w:rFonts w:ascii="Arial" w:cs="Arial" w:eastAsia="Arial" w:hAnsi="Arial"/>
          <w:color w:val="1A1A2E"/>
          <w:sz w:val="22"/>
          <w:szCs w:val="22"/>
        </w:rPr>
        <w:t xml:space="preserve">Après validation ou échec, le service Transaction publie un événement sur Kafka (topic transaction-validee ou transaction-echouee).</w:t>
      </w:r>
    </w:p>
    <w:p>
      <w:pPr>
        <w:pStyle w:val="ListParagraph"/>
        <w:numPr>
          <w:ilvl w:val="0"/>
          <w:numId w:val="2"/>
        </w:numPr>
        <w:spacing w:after="60" w:before="40"/>
      </w:pPr>
      <w:r>
        <w:rPr>
          <w:rFonts w:ascii="Arial" w:cs="Arial" w:eastAsia="Arial" w:hAnsi="Arial"/>
          <w:color w:val="1A1A2E"/>
          <w:sz w:val="22"/>
          <w:szCs w:val="22"/>
        </w:rPr>
        <w:t xml:space="preserve">Le Microservice Notification consomme cet événement et persiste la notification dans RxDB.</w:t>
      </w:r>
    </w:p>
    <w:p>
      <w:pPr>
        <w:spacing w:after="3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3. Services gRPC — Contrats Protobuf</w:t>
      </w:r>
    </w:p>
    <w:p>
      <w:pPr>
        <w:spacing w:after="100" w:before="0"/>
      </w:pPr>
      <w:r>
        <w:t xml:space="preserve"/>
      </w:r>
    </w:p>
    <w:p>
      <w:pPr>
        <w:spacing w:after="80" w:before="60"/>
        <w:ind w:left="180"/>
      </w:pPr>
      <w:r>
        <w:rPr>
          <w:rFonts w:ascii="Arial" w:cs="Arial" w:eastAsia="Arial" w:hAnsi="Arial"/>
          <w:color w:val="1A1A2E"/>
          <w:sz w:val="22"/>
          <w:szCs w:val="22"/>
        </w:rPr>
        <w:t xml:space="preserve">Chaque microservice expose ses fonctionnalités via un contrat gRPC défini dans un fichier .proto (Protocol Buffers v3). Ces contrats sont partagés par tous les services et constituent la source de vérité des interfaces.</w:t>
      </w:r>
    </w:p>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3.1 CompteService — Port 50051</w:t>
      </w:r>
    </w:p>
    <w:p>
      <w:pPr>
        <w:spacing w:after="80" w:before="0"/>
      </w:pPr>
      <w:r>
        <w:t xml:space="preserve"/>
      </w:r>
    </w:p>
    <w:p>
      <w:pPr>
        <w:spacing w:after="80" w:before="60"/>
        <w:ind w:left="180"/>
      </w:pPr>
      <w:r>
        <w:rPr>
          <w:rFonts w:ascii="Arial" w:cs="Arial" w:eastAsia="Arial" w:hAnsi="Arial"/>
          <w:color w:val="1A1A2E"/>
          <w:sz w:val="22"/>
          <w:szCs w:val="22"/>
        </w:rPr>
        <w:t xml:space="preserve">Gère le cycle de vie complet des comptes bancaires. Base de données : SQLite3 (comptes.db).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Méthode gRPC</w:t>
            </w:r>
          </w:p>
        </w:tc>
        <w:tc>
          <w:tcPr>
            <w:tcW w:type="dxa" w:w="73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CreateCompte</w:t>
            </w:r>
          </w:p>
        </w:tc>
        <w:tc>
          <w:tcPr>
            <w:tcW w:type="dxa" w:w="73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Crée un nouveau compte (courant ou épargne) avec solde initial, propriétaire et email.</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GetCompte</w:t>
            </w:r>
          </w:p>
        </w:tc>
        <w:tc>
          <w:tcPr>
            <w:tcW w:type="dxa" w:w="73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Récupère les informations d'un compte par son identifiant UUID.</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GetAllComptes</w:t>
            </w:r>
          </w:p>
        </w:tc>
        <w:tc>
          <w:tcPr>
            <w:tcW w:type="dxa" w:w="73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Retourne la liste complète de tous les comptes enregistrés.</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UpdateSolde</w:t>
            </w:r>
          </w:p>
        </w:tc>
        <w:tc>
          <w:tcPr>
            <w:tcW w:type="dxa" w:w="73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Débite (montant négatif) ou crédite (montant positif) le solde — appel interne depuis Transaction.</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BloquerCompte</w:t>
            </w:r>
          </w:p>
        </w:tc>
        <w:tc>
          <w:tcPr>
            <w:tcW w:type="dxa" w:w="73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Passe le statut du compte de 'actif' à 'bloqué'.</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DeleteCompte</w:t>
            </w:r>
          </w:p>
        </w:tc>
        <w:tc>
          <w:tcPr>
            <w:tcW w:type="dxa" w:w="73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Supprime définitivement un compte de la base.</w:t>
            </w:r>
          </w:p>
        </w:tc>
      </w:tr>
    </w:tbl>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3.2 TransactionService — Port 50052</w:t>
      </w:r>
    </w:p>
    <w:p>
      <w:pPr>
        <w:spacing w:after="80" w:before="0"/>
      </w:pPr>
      <w:r>
        <w:t xml:space="preserve"/>
      </w:r>
    </w:p>
    <w:p>
      <w:pPr>
        <w:spacing w:after="80" w:before="60"/>
        <w:ind w:left="180"/>
      </w:pPr>
      <w:r>
        <w:rPr>
          <w:rFonts w:ascii="Arial" w:cs="Arial" w:eastAsia="Arial" w:hAnsi="Arial"/>
          <w:color w:val="1A1A2E"/>
          <w:sz w:val="22"/>
          <w:szCs w:val="22"/>
        </w:rPr>
        <w:t xml:space="preserve">Gère les opérations financières et publie les événements sur Kafka. Base de données : SQLite3 (transactions.db).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Méthode gRPC</w:t>
            </w:r>
          </w:p>
        </w:tc>
        <w:tc>
          <w:tcPr>
            <w:tcW w:type="dxa" w:w="67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CreateTransaction</w:t>
            </w:r>
          </w:p>
        </w:tc>
        <w:tc>
          <w:tcPr>
            <w:tcW w:type="dxa" w:w="73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Exécute un dépôt, retrait ou virement. Appelle UpdateSolde sur CompteService, puis publie l'événement Kafka approprié.</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GetTransaction</w:t>
            </w:r>
          </w:p>
        </w:tc>
        <w:tc>
          <w:tcPr>
            <w:tcW w:type="dxa" w:w="73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Récupère une transaction par son identifiant UUID.</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GetAllTransactions</w:t>
            </w:r>
          </w:p>
        </w:tc>
        <w:tc>
          <w:tcPr>
            <w:tcW w:type="dxa" w:w="73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Retourne la liste complète de toutes les transactions.</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GetTransactionsByCompte</w:t>
            </w:r>
          </w:p>
        </w:tc>
        <w:tc>
          <w:tcPr>
            <w:tcW w:type="dxa" w:w="73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Retourne toutes les transactions associées à un compte donné.</w:t>
            </w:r>
          </w:p>
        </w:tc>
      </w:tr>
    </w:tbl>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3.3 NotificationService — Port 50053</w:t>
      </w:r>
    </w:p>
    <w:p>
      <w:pPr>
        <w:spacing w:after="80" w:before="0"/>
      </w:pPr>
      <w:r>
        <w:t xml:space="preserve"/>
      </w:r>
    </w:p>
    <w:p>
      <w:pPr>
        <w:spacing w:after="80" w:before="60"/>
        <w:ind w:left="180"/>
      </w:pPr>
      <w:r>
        <w:rPr>
          <w:rFonts w:ascii="Arial" w:cs="Arial" w:eastAsia="Arial" w:hAnsi="Arial"/>
          <w:color w:val="1A1A2E"/>
          <w:sz w:val="22"/>
          <w:szCs w:val="22"/>
        </w:rPr>
        <w:t xml:space="preserve">Reçoit et stocke les notifications générées automatiquement par les événements Kafka. Base de données : RxDB / LokiJS (NoSQL, in-memory + persisté).</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Méthode gRPC</w:t>
            </w:r>
          </w:p>
        </w:tc>
        <w:tc>
          <w:tcPr>
            <w:tcW w:type="dxa" w:w="67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GetAllNotifications</w:t>
            </w:r>
          </w:p>
        </w:tc>
        <w:tc>
          <w:tcPr>
            <w:tcW w:type="dxa" w:w="73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Retourne toutes les notifications stockées.</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GetNotificationsByCompte</w:t>
            </w:r>
          </w:p>
        </w:tc>
        <w:tc>
          <w:tcPr>
            <w:tcW w:type="dxa" w:w="73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Retourne toutes les notifications d'un compte spécifique.</w:t>
            </w:r>
          </w:p>
        </w:tc>
      </w:tr>
      <w:tr>
        <w:tc>
          <w:tcPr>
            <w:tcW w:type="dxa" w:w="2000"/>
            <w:tcBorders>
              <w:top w:val="single" w:color="BBBBBB" w:sz="3"/>
              <w:left w:val="single" w:color="BBBBBB" w:sz="3"/>
              <w:bottom w:val="single" w:color="BBBBBB" w:sz="3"/>
              <w:right w:val="single" w:color="BBBBBB" w:sz="3"/>
            </w:tcBorders>
            <w:shd w:fill="D6E4F0" w:val="clear"/>
            <w:tcMar>
              <w:top w:type="dxa" w:w="80"/>
              <w:left w:type="dxa" w:w="150"/>
              <w:bottom w:type="dxa" w:w="80"/>
              <w:right w:type="dxa" w:w="150"/>
            </w:tcMar>
          </w:tcPr>
          <w:p>
            <w:pPr>
              <w:jc w:val="center"/>
            </w:pPr>
            <w:r>
              <w:rPr>
                <w:rFonts w:ascii="Courier New" w:cs="Courier New" w:eastAsia="Courier New" w:hAnsi="Courier New"/>
                <w:b/>
                <w:bCs/>
                <w:color w:val="1B3F6E"/>
                <w:sz w:val="19"/>
                <w:szCs w:val="19"/>
              </w:rPr>
              <w:t xml:space="preserve">MarquerLue</w:t>
            </w:r>
          </w:p>
        </w:tc>
        <w:tc>
          <w:tcPr>
            <w:tcW w:type="dxa" w:w="73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Marque une notification comme lue (lue: true).</w:t>
            </w:r>
          </w:p>
        </w:tc>
      </w:tr>
    </w:tbl>
    <w:p>
      <w:pPr>
        <w:spacing w:after="3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4. API Gateway — REST &amp; GraphQL</w:t>
      </w:r>
    </w:p>
    <w:p>
      <w:pPr>
        <w:spacing w:after="100" w:before="0"/>
      </w:pPr>
      <w:r>
        <w:t xml:space="preserve"/>
      </w:r>
    </w:p>
    <w:p>
      <w:pPr>
        <w:spacing w:after="80" w:before="60"/>
        <w:ind w:left="180"/>
      </w:pPr>
      <w:r>
        <w:rPr>
          <w:rFonts w:ascii="Arial" w:cs="Arial" w:eastAsia="Arial" w:hAnsi="Arial"/>
          <w:color w:val="1A1A2E"/>
          <w:sz w:val="22"/>
          <w:szCs w:val="22"/>
        </w:rPr>
        <w:t xml:space="preserve">L'API Gateway (Express.js + Apollo Server) expose l'ensemble des fonctionnalités aux clients externes. Il traduit les requêtes REST et GraphQL en appels gRPC vers les microservices correspondants.</w:t>
      </w:r>
    </w:p>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4.1 Endpoints REST — /api</w:t>
      </w:r>
    </w:p>
    <w:p>
      <w:pPr>
        <w:spacing w:after="80" w:before="0"/>
      </w:pPr>
      <w:r>
        <w:t xml:space="preserve"/>
      </w:r>
    </w:p>
    <w:p>
      <w:pPr>
        <w:spacing w:after="80" w:before="60"/>
        <w:ind w:left="180"/>
      </w:pPr>
      <w:r>
        <w:rPr>
          <w:rFonts w:ascii="Arial" w:cs="Arial" w:eastAsia="Arial" w:hAnsi="Arial"/>
          <w:color w:val="1A1A2E"/>
          <w:sz w:val="22"/>
          <w:szCs w:val="22"/>
        </w:rPr>
        <w:t xml:space="preserve">Gestion des comptes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Méthode</w:t>
            </w:r>
          </w:p>
        </w:tc>
        <w:tc>
          <w:tcPr>
            <w:tcW w:type="dxa" w:w="32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w:t>
            </w:r>
          </w:p>
        </w:tc>
        <w:tc>
          <w:tcPr>
            <w:tcW w:type="dxa" w:w="51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BBBBBB" w:sz="3"/>
              <w:left w:val="single" w:color="BBBBBB" w:sz="3"/>
              <w:bottom w:val="single" w:color="BBBBBB" w:sz="3"/>
              <w:right w:val="single" w:color="BBBBBB" w:sz="3"/>
            </w:tcBorders>
            <w:shd w:fill="DAE8FC" w:val="clear"/>
            <w:tcMar>
              <w:top w:type="dxa" w:w="80"/>
              <w:left w:type="dxa" w:w="100"/>
              <w:bottom w:type="dxa" w:w="80"/>
              <w:right w:type="dxa" w:w="100"/>
            </w:tcMar>
            <w:vAlign w:val="center"/>
          </w:tcPr>
          <w:p>
            <w:pPr>
              <w:jc w:val="center"/>
            </w:pPr>
            <w:r>
              <w:rPr>
                <w:rFonts w:ascii="Arial" w:cs="Arial" w:eastAsia="Arial" w:hAnsi="Arial"/>
                <w:b/>
                <w:bCs/>
                <w:color w:val="083D6B"/>
                <w:sz w:val="18"/>
                <w:szCs w:val="18"/>
              </w:rPr>
              <w:t xml:space="preserve">POST</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Courier New" w:cs="Courier New" w:eastAsia="Courier New" w:hAnsi="Courier New"/>
                <w:color w:val="1A1A2E"/>
                <w:sz w:val="19"/>
                <w:szCs w:val="19"/>
              </w:rPr>
              <w:t xml:space="preserve">/api/comptes</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Créer un compte (proprietaire, email, soldeInitial, type)</w:t>
            </w:r>
          </w:p>
        </w:tc>
      </w:tr>
      <w:tr>
        <w:tc>
          <w:tcPr>
            <w:tcW w:type="dxa" w:w="1000"/>
            <w:tcBorders>
              <w:top w:val="single" w:color="BBBBBB" w:sz="3"/>
              <w:left w:val="single" w:color="BBBBBB" w:sz="3"/>
              <w:bottom w:val="single" w:color="BBBBBB" w:sz="3"/>
              <w:right w:val="single" w:color="BBBBBB" w:sz="3"/>
            </w:tcBorders>
            <w:shd w:fill="D5E8D4" w:val="clear"/>
            <w:tcMar>
              <w:top w:type="dxa" w:w="80"/>
              <w:left w:type="dxa" w:w="100"/>
              <w:bottom w:type="dxa" w:w="80"/>
              <w:right w:type="dxa" w:w="100"/>
            </w:tcMar>
            <w:vAlign w:val="center"/>
          </w:tcPr>
          <w:p>
            <w:pPr>
              <w:jc w:val="center"/>
            </w:pPr>
            <w:r>
              <w:rPr>
                <w:rFonts w:ascii="Arial" w:cs="Arial" w:eastAsia="Arial" w:hAnsi="Arial"/>
                <w:b/>
                <w:bCs/>
                <w:color w:val="2D7031"/>
                <w:sz w:val="18"/>
                <w:szCs w:val="18"/>
              </w:rPr>
              <w:t xml:space="preserve">GET</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Courier New" w:cs="Courier New" w:eastAsia="Courier New" w:hAnsi="Courier New"/>
                <w:color w:val="1A1A2E"/>
                <w:sz w:val="19"/>
                <w:szCs w:val="19"/>
              </w:rPr>
              <w:t xml:space="preserve">/api/comptes</w:t>
            </w:r>
          </w:p>
        </w:tc>
        <w:tc>
          <w:tcPr>
            <w:tcW w:type="dxa" w:w="51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Lister tous les comptes</w:t>
            </w:r>
          </w:p>
        </w:tc>
      </w:tr>
      <w:tr>
        <w:tc>
          <w:tcPr>
            <w:tcW w:type="dxa" w:w="1000"/>
            <w:tcBorders>
              <w:top w:val="single" w:color="BBBBBB" w:sz="3"/>
              <w:left w:val="single" w:color="BBBBBB" w:sz="3"/>
              <w:bottom w:val="single" w:color="BBBBBB" w:sz="3"/>
              <w:right w:val="single" w:color="BBBBBB" w:sz="3"/>
            </w:tcBorders>
            <w:shd w:fill="D5E8D4" w:val="clear"/>
            <w:tcMar>
              <w:top w:type="dxa" w:w="80"/>
              <w:left w:type="dxa" w:w="100"/>
              <w:bottom w:type="dxa" w:w="80"/>
              <w:right w:type="dxa" w:w="100"/>
            </w:tcMar>
            <w:vAlign w:val="center"/>
          </w:tcPr>
          <w:p>
            <w:pPr>
              <w:jc w:val="center"/>
            </w:pPr>
            <w:r>
              <w:rPr>
                <w:rFonts w:ascii="Arial" w:cs="Arial" w:eastAsia="Arial" w:hAnsi="Arial"/>
                <w:b/>
                <w:bCs/>
                <w:color w:val="2D7031"/>
                <w:sz w:val="18"/>
                <w:szCs w:val="18"/>
              </w:rPr>
              <w:t xml:space="preserve">GET</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Courier New" w:cs="Courier New" w:eastAsia="Courier New" w:hAnsi="Courier New"/>
                <w:color w:val="1A1A2E"/>
                <w:sz w:val="19"/>
                <w:szCs w:val="19"/>
              </w:rPr>
              <w:t xml:space="preserve">/api/comptes/:id</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Obtenir un compte par ID</w:t>
            </w:r>
          </w:p>
        </w:tc>
      </w:tr>
      <w:tr>
        <w:tc>
          <w:tcPr>
            <w:tcW w:type="dxa" w:w="1000"/>
            <w:tcBorders>
              <w:top w:val="single" w:color="BBBBBB" w:sz="3"/>
              <w:left w:val="single" w:color="BBBBBB" w:sz="3"/>
              <w:bottom w:val="single" w:color="BBBBBB" w:sz="3"/>
              <w:right w:val="single" w:color="BBBBBB" w:sz="3"/>
            </w:tcBorders>
            <w:shd w:fill="FFF2CC" w:val="clear"/>
            <w:tcMar>
              <w:top w:type="dxa" w:w="80"/>
              <w:left w:type="dxa" w:w="100"/>
              <w:bottom w:type="dxa" w:w="80"/>
              <w:right w:type="dxa" w:w="100"/>
            </w:tcMar>
            <w:vAlign w:val="center"/>
          </w:tcPr>
          <w:p>
            <w:pPr>
              <w:jc w:val="center"/>
            </w:pPr>
            <w:r>
              <w:rPr>
                <w:rFonts w:ascii="Arial" w:cs="Arial" w:eastAsia="Arial" w:hAnsi="Arial"/>
                <w:b/>
                <w:bCs/>
                <w:color w:val="7A5C00"/>
                <w:sz w:val="18"/>
                <w:szCs w:val="18"/>
              </w:rPr>
              <w:t xml:space="preserve">PATCH</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Courier New" w:cs="Courier New" w:eastAsia="Courier New" w:hAnsi="Courier New"/>
                <w:color w:val="1A1A2E"/>
                <w:sz w:val="19"/>
                <w:szCs w:val="19"/>
              </w:rPr>
              <w:t xml:space="preserve">/api/comptes/:id/bloquer</w:t>
            </w:r>
          </w:p>
        </w:tc>
        <w:tc>
          <w:tcPr>
            <w:tcW w:type="dxa" w:w="51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Bloquer un compte</w:t>
            </w:r>
          </w:p>
        </w:tc>
      </w:tr>
      <w:tr>
        <w:tc>
          <w:tcPr>
            <w:tcW w:type="dxa" w:w="1000"/>
            <w:tcBorders>
              <w:top w:val="single" w:color="BBBBBB" w:sz="3"/>
              <w:left w:val="single" w:color="BBBBBB" w:sz="3"/>
              <w:bottom w:val="single" w:color="BBBBBB" w:sz="3"/>
              <w:right w:val="single" w:color="BBBBBB" w:sz="3"/>
            </w:tcBorders>
            <w:shd w:fill="F8CECC" w:val="clear"/>
            <w:tcMar>
              <w:top w:type="dxa" w:w="80"/>
              <w:left w:type="dxa" w:w="100"/>
              <w:bottom w:type="dxa" w:w="80"/>
              <w:right w:type="dxa" w:w="100"/>
            </w:tcMar>
            <w:vAlign w:val="center"/>
          </w:tcPr>
          <w:p>
            <w:pPr>
              <w:jc w:val="center"/>
            </w:pPr>
            <w:r>
              <w:rPr>
                <w:rFonts w:ascii="Arial" w:cs="Arial" w:eastAsia="Arial" w:hAnsi="Arial"/>
                <w:b/>
                <w:bCs/>
                <w:color w:val="7A1B1B"/>
                <w:sz w:val="18"/>
                <w:szCs w:val="18"/>
              </w:rPr>
              <w:t xml:space="preserve">DELETE</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Courier New" w:cs="Courier New" w:eastAsia="Courier New" w:hAnsi="Courier New"/>
                <w:color w:val="1A1A2E"/>
                <w:sz w:val="19"/>
                <w:szCs w:val="19"/>
              </w:rPr>
              <w:t xml:space="preserve">/api/comptes/:id</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Supprimer un compte</w:t>
            </w:r>
          </w:p>
        </w:tc>
      </w:tr>
    </w:tbl>
    <w:p>
      <w:pPr>
        <w:spacing w:after="120" w:before="0"/>
      </w:pPr>
      <w:r>
        <w:t xml:space="preserve"/>
      </w:r>
    </w:p>
    <w:p>
      <w:pPr>
        <w:spacing w:after="80" w:before="60"/>
        <w:ind w:left="180"/>
      </w:pPr>
      <w:r>
        <w:rPr>
          <w:rFonts w:ascii="Arial" w:cs="Arial" w:eastAsia="Arial" w:hAnsi="Arial"/>
          <w:color w:val="1A1A2E"/>
          <w:sz w:val="22"/>
          <w:szCs w:val="22"/>
        </w:rPr>
        <w:t xml:space="preserve">Gestion des transactions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Méthode</w:t>
            </w:r>
          </w:p>
        </w:tc>
        <w:tc>
          <w:tcPr>
            <w:tcW w:type="dxa" w:w="35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w:t>
            </w:r>
          </w:p>
        </w:tc>
        <w:tc>
          <w:tcPr>
            <w:tcW w:type="dxa" w:w="48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BBBBBB" w:sz="3"/>
              <w:left w:val="single" w:color="BBBBBB" w:sz="3"/>
              <w:bottom w:val="single" w:color="BBBBBB" w:sz="3"/>
              <w:right w:val="single" w:color="BBBBBB" w:sz="3"/>
            </w:tcBorders>
            <w:shd w:fill="DAE8FC" w:val="clear"/>
            <w:tcMar>
              <w:top w:type="dxa" w:w="80"/>
              <w:left w:type="dxa" w:w="100"/>
              <w:bottom w:type="dxa" w:w="80"/>
              <w:right w:type="dxa" w:w="100"/>
            </w:tcMar>
            <w:vAlign w:val="center"/>
          </w:tcPr>
          <w:p>
            <w:pPr>
              <w:jc w:val="center"/>
            </w:pPr>
            <w:r>
              <w:rPr>
                <w:rFonts w:ascii="Arial" w:cs="Arial" w:eastAsia="Arial" w:hAnsi="Arial"/>
                <w:b/>
                <w:bCs/>
                <w:color w:val="083D6B"/>
                <w:sz w:val="18"/>
                <w:szCs w:val="18"/>
              </w:rPr>
              <w:t xml:space="preserve">POST</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Courier New" w:cs="Courier New" w:eastAsia="Courier New" w:hAnsi="Courier New"/>
                <w:color w:val="1A1A2E"/>
                <w:sz w:val="19"/>
                <w:szCs w:val="19"/>
              </w:rPr>
              <w:t xml:space="preserve">/api/transactions</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Effectuer une transaction (virement, dépôt, retrait)</w:t>
            </w:r>
          </w:p>
        </w:tc>
      </w:tr>
      <w:tr>
        <w:tc>
          <w:tcPr>
            <w:tcW w:type="dxa" w:w="1000"/>
            <w:tcBorders>
              <w:top w:val="single" w:color="BBBBBB" w:sz="3"/>
              <w:left w:val="single" w:color="BBBBBB" w:sz="3"/>
              <w:bottom w:val="single" w:color="BBBBBB" w:sz="3"/>
              <w:right w:val="single" w:color="BBBBBB" w:sz="3"/>
            </w:tcBorders>
            <w:shd w:fill="D5E8D4" w:val="clear"/>
            <w:tcMar>
              <w:top w:type="dxa" w:w="80"/>
              <w:left w:type="dxa" w:w="100"/>
              <w:bottom w:type="dxa" w:w="80"/>
              <w:right w:type="dxa" w:w="100"/>
            </w:tcMar>
            <w:vAlign w:val="center"/>
          </w:tcPr>
          <w:p>
            <w:pPr>
              <w:jc w:val="center"/>
            </w:pPr>
            <w:r>
              <w:rPr>
                <w:rFonts w:ascii="Arial" w:cs="Arial" w:eastAsia="Arial" w:hAnsi="Arial"/>
                <w:b/>
                <w:bCs/>
                <w:color w:val="2D7031"/>
                <w:sz w:val="18"/>
                <w:szCs w:val="18"/>
              </w:rPr>
              <w:t xml:space="preserve">GET</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Courier New" w:cs="Courier New" w:eastAsia="Courier New" w:hAnsi="Courier New"/>
                <w:color w:val="1A1A2E"/>
                <w:sz w:val="19"/>
                <w:szCs w:val="19"/>
              </w:rPr>
              <w:t xml:space="preserve">/api/transactions</w:t>
            </w:r>
          </w:p>
        </w:tc>
        <w:tc>
          <w:tcPr>
            <w:tcW w:type="dxa" w:w="51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Lister toutes les transactions</w:t>
            </w:r>
          </w:p>
        </w:tc>
      </w:tr>
      <w:tr>
        <w:tc>
          <w:tcPr>
            <w:tcW w:type="dxa" w:w="1000"/>
            <w:tcBorders>
              <w:top w:val="single" w:color="BBBBBB" w:sz="3"/>
              <w:left w:val="single" w:color="BBBBBB" w:sz="3"/>
              <w:bottom w:val="single" w:color="BBBBBB" w:sz="3"/>
              <w:right w:val="single" w:color="BBBBBB" w:sz="3"/>
            </w:tcBorders>
            <w:shd w:fill="D5E8D4" w:val="clear"/>
            <w:tcMar>
              <w:top w:type="dxa" w:w="80"/>
              <w:left w:type="dxa" w:w="100"/>
              <w:bottom w:type="dxa" w:w="80"/>
              <w:right w:type="dxa" w:w="100"/>
            </w:tcMar>
            <w:vAlign w:val="center"/>
          </w:tcPr>
          <w:p>
            <w:pPr>
              <w:jc w:val="center"/>
            </w:pPr>
            <w:r>
              <w:rPr>
                <w:rFonts w:ascii="Arial" w:cs="Arial" w:eastAsia="Arial" w:hAnsi="Arial"/>
                <w:b/>
                <w:bCs/>
                <w:color w:val="2D7031"/>
                <w:sz w:val="18"/>
                <w:szCs w:val="18"/>
              </w:rPr>
              <w:t xml:space="preserve">GET</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Courier New" w:cs="Courier New" w:eastAsia="Courier New" w:hAnsi="Courier New"/>
                <w:color w:val="1A1A2E"/>
                <w:sz w:val="19"/>
                <w:szCs w:val="19"/>
              </w:rPr>
              <w:t xml:space="preserve">/api/transactions/:id</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Obtenir une transaction par ID</w:t>
            </w:r>
          </w:p>
        </w:tc>
      </w:tr>
      <w:tr>
        <w:tc>
          <w:tcPr>
            <w:tcW w:type="dxa" w:w="1000"/>
            <w:tcBorders>
              <w:top w:val="single" w:color="BBBBBB" w:sz="3"/>
              <w:left w:val="single" w:color="BBBBBB" w:sz="3"/>
              <w:bottom w:val="single" w:color="BBBBBB" w:sz="3"/>
              <w:right w:val="single" w:color="BBBBBB" w:sz="3"/>
            </w:tcBorders>
            <w:shd w:fill="D5E8D4" w:val="clear"/>
            <w:tcMar>
              <w:top w:type="dxa" w:w="80"/>
              <w:left w:type="dxa" w:w="100"/>
              <w:bottom w:type="dxa" w:w="80"/>
              <w:right w:type="dxa" w:w="100"/>
            </w:tcMar>
            <w:vAlign w:val="center"/>
          </w:tcPr>
          <w:p>
            <w:pPr>
              <w:jc w:val="center"/>
            </w:pPr>
            <w:r>
              <w:rPr>
                <w:rFonts w:ascii="Arial" w:cs="Arial" w:eastAsia="Arial" w:hAnsi="Arial"/>
                <w:b/>
                <w:bCs/>
                <w:color w:val="2D7031"/>
                <w:sz w:val="18"/>
                <w:szCs w:val="18"/>
              </w:rPr>
              <w:t xml:space="preserve">GET</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Courier New" w:cs="Courier New" w:eastAsia="Courier New" w:hAnsi="Courier New"/>
                <w:color w:val="1A1A2E"/>
                <w:sz w:val="19"/>
                <w:szCs w:val="19"/>
              </w:rPr>
              <w:t xml:space="preserve">/api/comptes/:id/transactions</w:t>
            </w:r>
          </w:p>
        </w:tc>
        <w:tc>
          <w:tcPr>
            <w:tcW w:type="dxa" w:w="51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Transactions d'un compte</w:t>
            </w:r>
          </w:p>
        </w:tc>
      </w:tr>
    </w:tbl>
    <w:p>
      <w:pPr>
        <w:spacing w:after="120" w:before="0"/>
      </w:pPr>
      <w:r>
        <w:t xml:space="preserve"/>
      </w:r>
    </w:p>
    <w:p>
      <w:pPr>
        <w:spacing w:after="80" w:before="60"/>
        <w:ind w:left="180"/>
      </w:pPr>
      <w:r>
        <w:rPr>
          <w:rFonts w:ascii="Arial" w:cs="Arial" w:eastAsia="Arial" w:hAnsi="Arial"/>
          <w:color w:val="1A1A2E"/>
          <w:sz w:val="22"/>
          <w:szCs w:val="22"/>
        </w:rPr>
        <w:t xml:space="preserve">Gestion des notifications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Méthode</w:t>
            </w:r>
          </w:p>
        </w:tc>
        <w:tc>
          <w:tcPr>
            <w:tcW w:type="dxa" w:w="38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w:t>
            </w:r>
          </w:p>
        </w:tc>
        <w:tc>
          <w:tcPr>
            <w:tcW w:type="dxa" w:w="45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BBBBBB" w:sz="3"/>
              <w:left w:val="single" w:color="BBBBBB" w:sz="3"/>
              <w:bottom w:val="single" w:color="BBBBBB" w:sz="3"/>
              <w:right w:val="single" w:color="BBBBBB" w:sz="3"/>
            </w:tcBorders>
            <w:shd w:fill="D5E8D4" w:val="clear"/>
            <w:tcMar>
              <w:top w:type="dxa" w:w="80"/>
              <w:left w:type="dxa" w:w="100"/>
              <w:bottom w:type="dxa" w:w="80"/>
              <w:right w:type="dxa" w:w="100"/>
            </w:tcMar>
            <w:vAlign w:val="center"/>
          </w:tcPr>
          <w:p>
            <w:pPr>
              <w:jc w:val="center"/>
            </w:pPr>
            <w:r>
              <w:rPr>
                <w:rFonts w:ascii="Arial" w:cs="Arial" w:eastAsia="Arial" w:hAnsi="Arial"/>
                <w:b/>
                <w:bCs/>
                <w:color w:val="2D7031"/>
                <w:sz w:val="18"/>
                <w:szCs w:val="18"/>
              </w:rPr>
              <w:t xml:space="preserve">GET</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Courier New" w:cs="Courier New" w:eastAsia="Courier New" w:hAnsi="Courier New"/>
                <w:color w:val="1A1A2E"/>
                <w:sz w:val="19"/>
                <w:szCs w:val="19"/>
              </w:rPr>
              <w:t xml:space="preserve">/api/notifications</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Toutes les notifications</w:t>
            </w:r>
          </w:p>
        </w:tc>
      </w:tr>
      <w:tr>
        <w:tc>
          <w:tcPr>
            <w:tcW w:type="dxa" w:w="1000"/>
            <w:tcBorders>
              <w:top w:val="single" w:color="BBBBBB" w:sz="3"/>
              <w:left w:val="single" w:color="BBBBBB" w:sz="3"/>
              <w:bottom w:val="single" w:color="BBBBBB" w:sz="3"/>
              <w:right w:val="single" w:color="BBBBBB" w:sz="3"/>
            </w:tcBorders>
            <w:shd w:fill="D5E8D4" w:val="clear"/>
            <w:tcMar>
              <w:top w:type="dxa" w:w="80"/>
              <w:left w:type="dxa" w:w="100"/>
              <w:bottom w:type="dxa" w:w="80"/>
              <w:right w:type="dxa" w:w="100"/>
            </w:tcMar>
            <w:vAlign w:val="center"/>
          </w:tcPr>
          <w:p>
            <w:pPr>
              <w:jc w:val="center"/>
            </w:pPr>
            <w:r>
              <w:rPr>
                <w:rFonts w:ascii="Arial" w:cs="Arial" w:eastAsia="Arial" w:hAnsi="Arial"/>
                <w:b/>
                <w:bCs/>
                <w:color w:val="2D7031"/>
                <w:sz w:val="18"/>
                <w:szCs w:val="18"/>
              </w:rPr>
              <w:t xml:space="preserve">GET</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Courier New" w:cs="Courier New" w:eastAsia="Courier New" w:hAnsi="Courier New"/>
                <w:color w:val="1A1A2E"/>
                <w:sz w:val="19"/>
                <w:szCs w:val="19"/>
              </w:rPr>
              <w:t xml:space="preserve">/api/comptes/:id/notifications</w:t>
            </w:r>
          </w:p>
        </w:tc>
        <w:tc>
          <w:tcPr>
            <w:tcW w:type="dxa" w:w="51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tcPr>
          <w:p>
            <w:r>
              <w:rPr>
                <w:rFonts w:ascii="Arial" w:cs="Arial" w:eastAsia="Arial" w:hAnsi="Arial"/>
                <w:color w:val="1A1A2E"/>
                <w:sz w:val="20"/>
                <w:szCs w:val="20"/>
              </w:rPr>
              <w:t xml:space="preserve">Notifications d'un compte</w:t>
            </w:r>
          </w:p>
        </w:tc>
      </w:tr>
      <w:tr>
        <w:tc>
          <w:tcPr>
            <w:tcW w:type="dxa" w:w="1000"/>
            <w:tcBorders>
              <w:top w:val="single" w:color="BBBBBB" w:sz="3"/>
              <w:left w:val="single" w:color="BBBBBB" w:sz="3"/>
              <w:bottom w:val="single" w:color="BBBBBB" w:sz="3"/>
              <w:right w:val="single" w:color="BBBBBB" w:sz="3"/>
            </w:tcBorders>
            <w:shd w:fill="FFF2CC" w:val="clear"/>
            <w:tcMar>
              <w:top w:type="dxa" w:w="80"/>
              <w:left w:type="dxa" w:w="100"/>
              <w:bottom w:type="dxa" w:w="80"/>
              <w:right w:type="dxa" w:w="100"/>
            </w:tcMar>
            <w:vAlign w:val="center"/>
          </w:tcPr>
          <w:p>
            <w:pPr>
              <w:jc w:val="center"/>
            </w:pPr>
            <w:r>
              <w:rPr>
                <w:rFonts w:ascii="Arial" w:cs="Arial" w:eastAsia="Arial" w:hAnsi="Arial"/>
                <w:b/>
                <w:bCs/>
                <w:color w:val="7A5C00"/>
                <w:sz w:val="18"/>
                <w:szCs w:val="18"/>
              </w:rPr>
              <w:t xml:space="preserve">PATCH</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Courier New" w:cs="Courier New" w:eastAsia="Courier New" w:hAnsi="Courier New"/>
                <w:color w:val="1A1A2E"/>
                <w:sz w:val="19"/>
                <w:szCs w:val="19"/>
              </w:rPr>
              <w:t xml:space="preserve">/api/notifications/:id/lue</w:t>
            </w:r>
          </w:p>
        </w:tc>
        <w:tc>
          <w:tcPr>
            <w:tcW w:type="dxa" w:w="51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tcPr>
          <w:p>
            <w:r>
              <w:rPr>
                <w:rFonts w:ascii="Arial" w:cs="Arial" w:eastAsia="Arial" w:hAnsi="Arial"/>
                <w:color w:val="1A1A2E"/>
                <w:sz w:val="20"/>
                <w:szCs w:val="20"/>
              </w:rPr>
              <w:t xml:space="preserve">Marquer une notification comme lue</w:t>
            </w:r>
          </w:p>
        </w:tc>
      </w:tr>
    </w:tbl>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4.2 Interface GraphQL — /graphql</w:t>
      </w:r>
    </w:p>
    <w:p>
      <w:pPr>
        <w:spacing w:after="80" w:before="0"/>
      </w:pPr>
      <w:r>
        <w:t xml:space="preserve"/>
      </w:r>
    </w:p>
    <w:p>
      <w:pPr>
        <w:spacing w:after="80" w:before="60"/>
        <w:ind w:left="180"/>
      </w:pPr>
      <w:r>
        <w:rPr>
          <w:rFonts w:ascii="Arial" w:cs="Arial" w:eastAsia="Arial" w:hAnsi="Arial"/>
          <w:color w:val="1A1A2E"/>
          <w:sz w:val="22"/>
          <w:szCs w:val="22"/>
        </w:rPr>
        <w:t xml:space="preserve">Le schéma GraphQL est servi par Apollo Server sur le même port (3000). Il expose les queries et mutations suivantes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32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Nom</w:t>
            </w:r>
          </w:p>
        </w:tc>
        <w:tc>
          <w:tcPr>
            <w:tcW w:type="dxa" w:w="47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Query</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comptes</w:t>
            </w:r>
          </w:p>
        </w:tc>
        <w:tc>
          <w:tcPr>
            <w:tcW w:type="dxa" w:w="47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Liste tous les comptes</w:t>
            </w:r>
          </w:p>
        </w:tc>
      </w:tr>
      <w:tr>
        <w:tc>
          <w:tcPr>
            <w:tcW w:type="dxa" w:w="14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Query</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compte(id)</w:t>
            </w:r>
          </w:p>
        </w:tc>
        <w:tc>
          <w:tcPr>
            <w:tcW w:type="dxa" w:w="47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Récupère un compte par ID</w:t>
            </w:r>
          </w:p>
        </w:tc>
      </w:tr>
      <w:tr>
        <w:tc>
          <w:tcPr>
            <w:tcW w:type="dxa" w:w="14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Query</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transactionsDuCompte(compteId)</w:t>
            </w:r>
          </w:p>
        </w:tc>
        <w:tc>
          <w:tcPr>
            <w:tcW w:type="dxa" w:w="47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Transactions d'un compte</w:t>
            </w:r>
          </w:p>
        </w:tc>
      </w:tr>
      <w:tr>
        <w:tc>
          <w:tcPr>
            <w:tcW w:type="dxa" w:w="14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Query</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notificationsDuCompte(compteId)</w:t>
            </w:r>
          </w:p>
        </w:tc>
        <w:tc>
          <w:tcPr>
            <w:tcW w:type="dxa" w:w="47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Notifications d'un compte</w:t>
            </w:r>
          </w:p>
        </w:tc>
      </w:tr>
      <w:tr>
        <w:tc>
          <w:tcPr>
            <w:tcW w:type="dxa" w:w="14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Mutation</w:t>
            </w:r>
          </w:p>
        </w:tc>
        <w:tc>
          <w:tcPr>
            <w:tcW w:type="dxa" w:w="32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creerCompte(...)</w:t>
            </w:r>
          </w:p>
        </w:tc>
        <w:tc>
          <w:tcPr>
            <w:tcW w:type="dxa" w:w="47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Créer un nouveau compte</w:t>
            </w:r>
          </w:p>
        </w:tc>
      </w:tr>
      <w:tr>
        <w:tc>
          <w:tcPr>
            <w:tcW w:type="dxa" w:w="14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Mutation</w:t>
            </w:r>
          </w:p>
        </w:tc>
        <w:tc>
          <w:tcPr>
            <w:tcW w:type="dxa" w:w="32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effectuerTransaction(...)</w:t>
            </w:r>
          </w:p>
        </w:tc>
        <w:tc>
          <w:tcPr>
            <w:tcW w:type="dxa" w:w="47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Effectuer un virement / dépôt / retrait</w:t>
            </w:r>
          </w:p>
        </w:tc>
      </w:tr>
    </w:tbl>
    <w:p>
      <w:pPr>
        <w:spacing w:after="3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5. Messagerie Kafka — Communication asynchrone</w:t>
      </w:r>
    </w:p>
    <w:p>
      <w:pPr>
        <w:spacing w:after="100" w:before="0"/>
      </w:pPr>
      <w:r>
        <w:t xml:space="preserve"/>
      </w:r>
    </w:p>
    <w:p>
      <w:pPr>
        <w:spacing w:after="80" w:before="60"/>
        <w:ind w:left="180"/>
      </w:pPr>
      <w:r>
        <w:rPr>
          <w:rFonts w:ascii="Arial" w:cs="Arial" w:eastAsia="Arial" w:hAnsi="Arial"/>
          <w:color w:val="1A1A2E"/>
          <w:sz w:val="22"/>
          <w:szCs w:val="22"/>
        </w:rPr>
        <w:t xml:space="preserve">Apache Kafka est utilisé pour découpler le Microservice Transaction du Microservice Notification. Deux topics sont créés avec 3 partitions chacun pour permettre le parallélisme des consommateurs.</w:t>
      </w:r>
    </w:p>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5.1 Topics et flux d'événements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Topic</w:t>
            </w:r>
          </w:p>
        </w:tc>
        <w:tc>
          <w:tcPr>
            <w:tcW w:type="dxa" w:w="28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Producteur</w:t>
            </w:r>
          </w:p>
        </w:tc>
        <w:tc>
          <w:tcPr>
            <w:tcW w:type="dxa" w:w="20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Consommateur</w:t>
            </w:r>
          </w:p>
        </w:tc>
        <w:tc>
          <w:tcPr>
            <w:tcW w:type="dxa" w:w="17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Déclencheur</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transaction-validee</w:t>
            </w:r>
          </w:p>
        </w:tc>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Microservice Transaction</w:t>
            </w:r>
          </w:p>
        </w:tc>
        <w:tc>
          <w:tcPr>
            <w:tcW w:type="dxa" w:w="20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Notification</w:t>
            </w:r>
          </w:p>
        </w:tc>
        <w:tc>
          <w:tcPr>
            <w:tcW w:type="dxa" w:w="17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Transaction réussie</w:t>
            </w:r>
          </w:p>
        </w:tc>
      </w:tr>
      <w:tr>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transaction-echouee</w:t>
            </w:r>
          </w:p>
        </w:tc>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Microservice Transaction</w:t>
            </w:r>
          </w:p>
        </w:tc>
        <w:tc>
          <w:tcPr>
            <w:tcW w:type="dxa" w:w="20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Notification</w:t>
            </w:r>
          </w:p>
        </w:tc>
        <w:tc>
          <w:tcPr>
            <w:tcW w:type="dxa" w:w="17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Solde insuffisant / compte bloqué</w:t>
            </w:r>
          </w:p>
        </w:tc>
      </w:tr>
    </w:tbl>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5.2 Structure des messages</w:t>
      </w:r>
    </w:p>
    <w:p>
      <w:pPr>
        <w:spacing w:after="80" w:before="0"/>
      </w:pPr>
      <w:r>
        <w:t xml:space="preserve"/>
      </w:r>
    </w:p>
    <w:p>
      <w:pPr>
        <w:spacing w:after="80" w:before="60"/>
        <w:ind w:left="180"/>
      </w:pPr>
      <w:r>
        <w:rPr>
          <w:rFonts w:ascii="Arial" w:cs="Arial" w:eastAsia="Arial" w:hAnsi="Arial"/>
          <w:color w:val="1A1A2E"/>
          <w:sz w:val="22"/>
          <w:szCs w:val="22"/>
        </w:rPr>
        <w:t xml:space="preserve">Topic transaction-validee :</w:t>
      </w:r>
    </w:p>
    <w:p>
      <w:pPr>
        <w:spacing w:after="60" w:before="0"/>
      </w:pPr>
      <w:r>
        <w:t xml:space="preserve"/>
      </w:r>
    </w:p>
    <w:p>
      <w:pPr>
        <w:shd w:fill="F2F2F2" w:val="clear"/>
        <w:spacing w:after="0" w:before="0"/>
        <w:ind w:left="400" w:right="400"/>
      </w:pPr>
      <w:r>
        <w:rPr>
          <w:rFonts w:ascii="Courier New" w:cs="Courier New" w:eastAsia="Courier New" w:hAnsi="Courier New"/>
          <w:color w:val="1A1A2E"/>
          <w:sz w:val="19"/>
          <w:szCs w:val="19"/>
        </w:rPr>
        <w:t xml:space="preserve">{ "transactionId": "uuid", "compteSource": "uuid", "compteDest": "uuid",</w:t>
      </w:r>
    </w:p>
    <w:p>
      <w:pPr>
        <w:shd w:fill="F2F2F2" w:val="clear"/>
        <w:spacing w:after="60" w:before="0"/>
        <w:ind w:left="400" w:right="400"/>
      </w:pPr>
      <w:r>
        <w:rPr>
          <w:rFonts w:ascii="Courier New" w:cs="Courier New" w:eastAsia="Courier New" w:hAnsi="Courier New"/>
          <w:color w:val="1A1A2E"/>
          <w:sz w:val="19"/>
          <w:szCs w:val="19"/>
        </w:rPr>
        <w:t xml:space="preserve">  "montant": 500.0, "type": "virement", "createdAt": "2025-01-01T12:00:00.000Z" }</w:t>
      </w:r>
    </w:p>
    <w:p>
      <w:pPr>
        <w:spacing w:after="80" w:before="0"/>
      </w:pPr>
      <w:r>
        <w:t xml:space="preserve"/>
      </w:r>
    </w:p>
    <w:p>
      <w:pPr>
        <w:spacing w:after="80" w:before="60"/>
        <w:ind w:left="180"/>
      </w:pPr>
      <w:r>
        <w:rPr>
          <w:rFonts w:ascii="Arial" w:cs="Arial" w:eastAsia="Arial" w:hAnsi="Arial"/>
          <w:color w:val="1A1A2E"/>
          <w:sz w:val="22"/>
          <w:szCs w:val="22"/>
        </w:rPr>
        <w:t xml:space="preserve">Topic transaction-echouee :</w:t>
      </w:r>
    </w:p>
    <w:p>
      <w:pPr>
        <w:spacing w:after="60" w:before="0"/>
      </w:pPr>
      <w:r>
        <w:t xml:space="preserve"/>
      </w:r>
    </w:p>
    <w:p>
      <w:pPr>
        <w:shd w:fill="F2F2F2" w:val="clear"/>
        <w:spacing w:after="60" w:before="0"/>
        <w:ind w:left="400" w:right="400"/>
      </w:pPr>
      <w:r>
        <w:rPr>
          <w:rFonts w:ascii="Courier New" w:cs="Courier New" w:eastAsia="Courier New" w:hAnsi="Courier New"/>
          <w:color w:val="1A1A2E"/>
          <w:sz w:val="19"/>
          <w:szCs w:val="19"/>
        </w:rPr>
        <w:t xml:space="preserve">{ "transactionId": "uuid", "compteSource": "uuid", "raison": "Solde insuffisant" }</w:t>
      </w:r>
    </w:p>
    <w:p>
      <w:pPr>
        <w:spacing w:after="100" w:before="0"/>
      </w:pPr>
      <w:r>
        <w:t xml:space="preserve"/>
      </w:r>
    </w:p>
    <w:p>
      <w:pPr>
        <w:spacing w:after="80" w:before="60"/>
        <w:ind w:left="180"/>
      </w:pPr>
      <w:r>
        <w:rPr>
          <w:rFonts w:ascii="Arial" w:cs="Arial" w:eastAsia="Arial" w:hAnsi="Arial"/>
          <w:color w:val="1A1A2E"/>
          <w:sz w:val="22"/>
          <w:szCs w:val="22"/>
        </w:rPr>
        <w:t xml:space="preserve">Note : en mode dégradé (Kafka indisponible), les microservices démarrent normalement sans publier d'événements. La gestion d'erreur Kafka est intégrée dans chaque service.</w:t>
      </w:r>
    </w:p>
    <w:p>
      <w:pPr>
        <w:spacing w:after="2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6. Bases de données</w:t>
      </w:r>
    </w:p>
    <w:p>
      <w:pPr>
        <w:spacing w:after="100" w:before="0"/>
      </w:pPr>
      <w:r>
        <w:t xml:space="preserve"/>
      </w:r>
    </w:p>
    <w:p>
      <w:pPr>
        <w:spacing w:after="80" w:before="60"/>
        <w:ind w:left="180"/>
      </w:pPr>
      <w:r>
        <w:rPr>
          <w:rFonts w:ascii="Arial" w:cs="Arial" w:eastAsia="Arial" w:hAnsi="Arial"/>
          <w:color w:val="1A1A2E"/>
          <w:sz w:val="22"/>
          <w:szCs w:val="22"/>
        </w:rPr>
        <w:t xml:space="preserve">Chaque microservice possède sa propre base de données isolée, conformément au principe « database per service » de l'architecture microservices.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Microservice</w:t>
            </w:r>
          </w:p>
        </w:tc>
        <w:tc>
          <w:tcPr>
            <w:tcW w:type="dxa" w:w="18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SGBD</w:t>
            </w:r>
          </w:p>
        </w:tc>
        <w:tc>
          <w:tcPr>
            <w:tcW w:type="dxa" w:w="18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37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Détails</w:t>
            </w:r>
          </w:p>
        </w:tc>
      </w:tr>
      <w:tr>
        <w:tc>
          <w:tcPr>
            <w:tcW w:type="dxa" w:w="20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Compte</w:t>
            </w:r>
          </w:p>
        </w:tc>
        <w:tc>
          <w:tcPr>
            <w:tcW w:type="dxa" w:w="1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SQLite3</w:t>
            </w:r>
          </w:p>
        </w:tc>
        <w:tc>
          <w:tcPr>
            <w:tcW w:type="dxa" w:w="1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Relationnel (SQL)</w:t>
            </w:r>
          </w:p>
        </w:tc>
        <w:tc>
          <w:tcPr>
            <w:tcW w:type="dxa" w:w="37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Fichier comptes.db — schéma avec id, proprietaire, email, solde, type, statut, createdAt</w:t>
            </w:r>
          </w:p>
        </w:tc>
      </w:tr>
      <w:tr>
        <w:tc>
          <w:tcPr>
            <w:tcW w:type="dxa" w:w="20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Transaction</w:t>
            </w:r>
          </w:p>
        </w:tc>
        <w:tc>
          <w:tcPr>
            <w:tcW w:type="dxa" w:w="1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SQLite3</w:t>
            </w:r>
          </w:p>
        </w:tc>
        <w:tc>
          <w:tcPr>
            <w:tcW w:type="dxa" w:w="1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Relationnel (SQL)</w:t>
            </w:r>
          </w:p>
        </w:tc>
        <w:tc>
          <w:tcPr>
            <w:tcW w:type="dxa" w:w="37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Fichier transactions.db — schéma avec id, compteSource, compteDest, montant, type, statut, description, createdAt</w:t>
            </w:r>
          </w:p>
        </w:tc>
      </w:tr>
      <w:tr>
        <w:tc>
          <w:tcPr>
            <w:tcW w:type="dxa" w:w="20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Notification</w:t>
            </w:r>
          </w:p>
        </w:tc>
        <w:tc>
          <w:tcPr>
            <w:tcW w:type="dxa" w:w="1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RxDB / LokiJS</w:t>
            </w:r>
          </w:p>
        </w:tc>
        <w:tc>
          <w:tcPr>
            <w:tcW w:type="dxa" w:w="1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NoSQL (documents)</w:t>
            </w:r>
          </w:p>
        </w:tc>
        <w:tc>
          <w:tcPr>
            <w:tcW w:type="dxa" w:w="37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In-memory avec persistance — schéma avec id, compteId, email, type, message, lue, createdAt</w:t>
            </w:r>
          </w:p>
        </w:tc>
      </w:tr>
    </w:tbl>
    <w:p>
      <w:pPr>
        <w:spacing w:after="3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7. Guide de démarrage</w:t>
      </w:r>
    </w:p>
    <w:p>
      <w:pPr>
        <w:spacing w:after="100" w:before="0"/>
      </w:pPr>
      <w:r>
        <w:t xml:space="preserve"/>
      </w:r>
    </w:p>
    <w:p>
      <w:pPr>
        <w:pBdr>
          <w:bottom w:val="single" w:color="2E75B6" w:sz="4"/>
        </w:pBdr>
        <w:spacing w:after="120" w:before="240"/>
      </w:pPr>
      <w:r>
        <w:rPr>
          <w:rFonts w:ascii="Arial" w:cs="Arial" w:eastAsia="Arial" w:hAnsi="Arial"/>
          <w:b/>
          <w:bCs/>
          <w:color w:val="1B3F6E"/>
          <w:sz w:val="24"/>
          <w:szCs w:val="24"/>
        </w:rPr>
        <w:t xml:space="preserve">7.1 Prérequis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Logiciel</w:t>
            </w:r>
          </w:p>
        </w:tc>
        <w:tc>
          <w:tcPr>
            <w:tcW w:type="dxa" w:w="68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 requise</w:t>
            </w:r>
          </w:p>
        </w:tc>
      </w:tr>
      <w:tr>
        <w:tc>
          <w:tcPr>
            <w:tcW w:type="dxa" w:w="25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Node.js</w:t>
            </w:r>
          </w:p>
        </w:tc>
        <w:tc>
          <w:tcPr>
            <w:tcW w:type="dxa" w:w="68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 18.x</w:t>
            </w:r>
          </w:p>
        </w:tc>
      </w:tr>
      <w:tr>
        <w:tc>
          <w:tcPr>
            <w:tcW w:type="dxa" w:w="25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Java JDK</w:t>
            </w:r>
          </w:p>
        </w:tc>
        <w:tc>
          <w:tcPr>
            <w:tcW w:type="dxa" w:w="68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 17 (requis pour Kafka)</w:t>
            </w:r>
          </w:p>
        </w:tc>
      </w:tr>
      <w:tr>
        <w:tc>
          <w:tcPr>
            <w:tcW w:type="dxa" w:w="25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Apache Kafka</w:t>
            </w:r>
          </w:p>
        </w:tc>
        <w:tc>
          <w:tcPr>
            <w:tcW w:type="dxa" w:w="68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4.2 (téléchargeable sur kafka.apache.org)</w:t>
            </w:r>
          </w:p>
        </w:tc>
      </w:tr>
    </w:tbl>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7.2 Installation des dépendances</w:t>
      </w:r>
    </w:p>
    <w:p>
      <w:pPr>
        <w:spacing w:after="80" w:before="0"/>
      </w:pPr>
      <w:r>
        <w:t xml:space="preserve"/>
      </w:r>
    </w:p>
    <w:p>
      <w:pPr>
        <w:spacing w:after="80" w:before="60"/>
        <w:ind w:left="180"/>
      </w:pPr>
      <w:r>
        <w:rPr>
          <w:rFonts w:ascii="Arial" w:cs="Arial" w:eastAsia="Arial" w:hAnsi="Arial"/>
          <w:color w:val="1A1A2E"/>
          <w:sz w:val="22"/>
          <w:szCs w:val="22"/>
        </w:rPr>
        <w:t xml:space="preserve">Exécuter dans chaque répertoire de microservice :</w:t>
      </w:r>
    </w:p>
    <w:p>
      <w:pPr>
        <w:spacing w:after="60" w:before="0"/>
      </w:pPr>
      <w:r>
        <w:t xml:space="preserve"/>
      </w:r>
    </w:p>
    <w:p>
      <w:pPr>
        <w:shd w:fill="F2F2F2" w:val="clear"/>
        <w:spacing w:after="0" w:before="0"/>
        <w:ind w:left="400" w:right="400"/>
      </w:pPr>
      <w:r>
        <w:rPr>
          <w:rFonts w:ascii="Courier New" w:cs="Courier New" w:eastAsia="Courier New" w:hAnsi="Courier New"/>
          <w:color w:val="1A1A2E"/>
          <w:sz w:val="19"/>
          <w:szCs w:val="19"/>
        </w:rPr>
        <w:t xml:space="preserve">cd microservice-compte      &amp;&amp; npm install</w:t>
      </w:r>
    </w:p>
    <w:p>
      <w:pPr>
        <w:shd w:fill="F2F2F2" w:val="clear"/>
        <w:spacing w:after="0" w:before="0"/>
        <w:ind w:left="400" w:right="400"/>
      </w:pPr>
      <w:r>
        <w:rPr>
          <w:rFonts w:ascii="Courier New" w:cs="Courier New" w:eastAsia="Courier New" w:hAnsi="Courier New"/>
          <w:color w:val="1A1A2E"/>
          <w:sz w:val="19"/>
          <w:szCs w:val="19"/>
        </w:rPr>
        <w:t xml:space="preserve">cd ../microservice-transaction &amp;&amp; npm install</w:t>
      </w:r>
    </w:p>
    <w:p>
      <w:pPr>
        <w:shd w:fill="F2F2F2" w:val="clear"/>
        <w:spacing w:after="0" w:before="0"/>
        <w:ind w:left="400" w:right="400"/>
      </w:pPr>
      <w:r>
        <w:rPr>
          <w:rFonts w:ascii="Courier New" w:cs="Courier New" w:eastAsia="Courier New" w:hAnsi="Courier New"/>
          <w:color w:val="1A1A2E"/>
          <w:sz w:val="19"/>
          <w:szCs w:val="19"/>
        </w:rPr>
        <w:t xml:space="preserve">cd ../microservice-notification &amp;&amp; npm install</w:t>
      </w:r>
    </w:p>
    <w:p>
      <w:pPr>
        <w:shd w:fill="F2F2F2" w:val="clear"/>
        <w:spacing w:after="0" w:before="0"/>
        <w:ind w:left="400" w:right="400"/>
      </w:pPr>
      <w:r>
        <w:rPr>
          <w:rFonts w:ascii="Courier New" w:cs="Courier New" w:eastAsia="Courier New" w:hAnsi="Courier New"/>
          <w:color w:val="1A1A2E"/>
          <w:sz w:val="19"/>
          <w:szCs w:val="19"/>
        </w:rPr>
        <w:t xml:space="preserve">cd ../api-gateway            &amp;&amp; npm install</w:t>
      </w:r>
    </w:p>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7.3 Démarrage de Kafka (mode KRaft)</w:t>
      </w:r>
    </w:p>
    <w:p>
      <w:pPr>
        <w:spacing w:after="80" w:before="0"/>
      </w:pPr>
      <w:r>
        <w:t xml:space="preserve"/>
      </w:r>
    </w:p>
    <w:p>
      <w:pPr>
        <w:spacing w:after="80" w:before="60"/>
        <w:ind w:left="180"/>
      </w:pPr>
      <w:r>
        <w:rPr>
          <w:rFonts w:ascii="Arial" w:cs="Arial" w:eastAsia="Arial" w:hAnsi="Arial"/>
          <w:color w:val="1A1A2E"/>
          <w:sz w:val="22"/>
          <w:szCs w:val="22"/>
        </w:rPr>
        <w:t xml:space="preserve">Générer un identifiant de cluster et formater le stockage :</w:t>
      </w:r>
    </w:p>
    <w:p>
      <w:pPr>
        <w:spacing w:after="60" w:before="0"/>
      </w:pPr>
      <w:r>
        <w:t xml:space="preserve"/>
      </w:r>
    </w:p>
    <w:p>
      <w:pPr>
        <w:shd w:fill="F2F2F2" w:val="clear"/>
        <w:spacing w:after="0" w:before="0"/>
        <w:ind w:left="400" w:right="400"/>
      </w:pPr>
      <w:r>
        <w:rPr>
          <w:rFonts w:ascii="Courier New" w:cs="Courier New" w:eastAsia="Courier New" w:hAnsi="Courier New"/>
          <w:color w:val="1A1A2E"/>
          <w:sz w:val="19"/>
          <w:szCs w:val="19"/>
        </w:rPr>
        <w:t xml:space="preserve">KAFKA_CLUSTER_ID="$(bin/kafka-storage.sh random-uuid)"</w:t>
      </w:r>
    </w:p>
    <w:p>
      <w:pPr>
        <w:shd w:fill="F2F2F2" w:val="clear"/>
        <w:spacing w:after="0" w:before="0"/>
        <w:ind w:left="400" w:right="400"/>
      </w:pPr>
      <w:r>
        <w:rPr>
          <w:rFonts w:ascii="Courier New" w:cs="Courier New" w:eastAsia="Courier New" w:hAnsi="Courier New"/>
          <w:color w:val="1A1A2E"/>
          <w:sz w:val="19"/>
          <w:szCs w:val="19"/>
        </w:rPr>
        <w:t xml:space="preserve">bin/kafka-storage.sh format --standalone \</w:t>
      </w:r>
    </w:p>
    <w:p>
      <w:pPr>
        <w:shd w:fill="F2F2F2" w:val="clear"/>
        <w:spacing w:after="0" w:before="0"/>
        <w:ind w:left="400" w:right="400"/>
      </w:pPr>
      <w:r>
        <w:rPr>
          <w:rFonts w:ascii="Courier New" w:cs="Courier New" w:eastAsia="Courier New" w:hAnsi="Courier New"/>
          <w:color w:val="1A1A2E"/>
          <w:sz w:val="19"/>
          <w:szCs w:val="19"/>
        </w:rPr>
        <w:t xml:space="preserve">  -t "$KAFKA_CLUSTER_ID" -c config/server.properties</w:t>
      </w:r>
    </w:p>
    <w:p>
      <w:pPr>
        <w:shd w:fill="F2F2F2" w:val="clear"/>
        <w:spacing w:after="0" w:before="0"/>
        <w:ind w:left="400" w:right="400"/>
      </w:pPr>
      <w:r>
        <w:rPr>
          <w:rFonts w:ascii="Courier New" w:cs="Courier New" w:eastAsia="Courier New" w:hAnsi="Courier New"/>
          <w:color w:val="1A1A2E"/>
          <w:sz w:val="19"/>
          <w:szCs w:val="19"/>
        </w:rPr>
        <w:t xml:space="preserve">bin/kafka-server-start.sh config/server.properties</w:t>
      </w:r>
    </w:p>
    <w:p>
      <w:pPr>
        <w:spacing w:after="80" w:before="0"/>
      </w:pPr>
      <w:r>
        <w:t xml:space="preserve"/>
      </w:r>
    </w:p>
    <w:p>
      <w:pPr>
        <w:spacing w:after="80" w:before="60"/>
        <w:ind w:left="180"/>
      </w:pPr>
      <w:r>
        <w:rPr>
          <w:rFonts w:ascii="Arial" w:cs="Arial" w:eastAsia="Arial" w:hAnsi="Arial"/>
          <w:color w:val="1A1A2E"/>
          <w:sz w:val="22"/>
          <w:szCs w:val="22"/>
        </w:rPr>
        <w:t xml:space="preserve">Créer les topics Kafka :</w:t>
      </w:r>
    </w:p>
    <w:p>
      <w:pPr>
        <w:spacing w:after="60" w:before="0"/>
      </w:pPr>
      <w:r>
        <w:t xml:space="preserve"/>
      </w:r>
    </w:p>
    <w:p>
      <w:pPr>
        <w:shd w:fill="F2F2F2" w:val="clear"/>
        <w:spacing w:after="0" w:before="0"/>
        <w:ind w:left="400" w:right="400"/>
      </w:pPr>
      <w:r>
        <w:rPr>
          <w:rFonts w:ascii="Courier New" w:cs="Courier New" w:eastAsia="Courier New" w:hAnsi="Courier New"/>
          <w:color w:val="1A1A2E"/>
          <w:sz w:val="19"/>
          <w:szCs w:val="19"/>
        </w:rPr>
        <w:t xml:space="preserve">bin/kafka-topics.sh --create --partitions 3 --replication-factor 1 \</w:t>
      </w:r>
    </w:p>
    <w:p>
      <w:pPr>
        <w:shd w:fill="F2F2F2" w:val="clear"/>
        <w:spacing w:after="0" w:before="0"/>
        <w:ind w:left="400" w:right="400"/>
      </w:pPr>
      <w:r>
        <w:rPr>
          <w:rFonts w:ascii="Courier New" w:cs="Courier New" w:eastAsia="Courier New" w:hAnsi="Courier New"/>
          <w:color w:val="1A1A2E"/>
          <w:sz w:val="19"/>
          <w:szCs w:val="19"/>
        </w:rPr>
        <w:t xml:space="preserve">  --topic transaction-validee --bootstrap-server localhost:9092</w:t>
      </w:r>
    </w:p>
    <w:p>
      <w:pPr>
        <w:shd w:fill="F2F2F2" w:val="clear"/>
        <w:spacing w:after="0" w:before="0"/>
        <w:ind w:left="400" w:right="400"/>
      </w:pPr>
      <w:r>
        <w:rPr>
          <w:rFonts w:ascii="Courier New" w:cs="Courier New" w:eastAsia="Courier New" w:hAnsi="Courier New"/>
          <w:color w:val="1A1A2E"/>
          <w:sz w:val="19"/>
          <w:szCs w:val="19"/>
        </w:rPr>
        <w:t xml:space="preserve"/>
      </w:r>
    </w:p>
    <w:p>
      <w:pPr>
        <w:shd w:fill="F2F2F2" w:val="clear"/>
        <w:spacing w:after="0" w:before="0"/>
        <w:ind w:left="400" w:right="400"/>
      </w:pPr>
      <w:r>
        <w:rPr>
          <w:rFonts w:ascii="Courier New" w:cs="Courier New" w:eastAsia="Courier New" w:hAnsi="Courier New"/>
          <w:color w:val="1A1A2E"/>
          <w:sz w:val="19"/>
          <w:szCs w:val="19"/>
        </w:rPr>
        <w:t xml:space="preserve">bin/kafka-topics.sh --create --partitions 3 --replication-factor 1 \</w:t>
      </w:r>
    </w:p>
    <w:p>
      <w:pPr>
        <w:shd w:fill="F2F2F2" w:val="clear"/>
        <w:spacing w:after="0" w:before="0"/>
        <w:ind w:left="400" w:right="400"/>
      </w:pPr>
      <w:r>
        <w:rPr>
          <w:rFonts w:ascii="Courier New" w:cs="Courier New" w:eastAsia="Courier New" w:hAnsi="Courier New"/>
          <w:color w:val="1A1A2E"/>
          <w:sz w:val="19"/>
          <w:szCs w:val="19"/>
        </w:rPr>
        <w:t xml:space="preserve">  --topic transaction-echouee --bootstrap-server localhost:9092</w:t>
      </w:r>
    </w:p>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7.4 Démarrage des services</w:t>
      </w:r>
    </w:p>
    <w:p>
      <w:pPr>
        <w:spacing w:after="80" w:before="0"/>
      </w:pPr>
      <w:r>
        <w:t xml:space="preserve"/>
      </w:r>
    </w:p>
    <w:p>
      <w:pPr>
        <w:spacing w:after="80" w:before="60"/>
        <w:ind w:left="180"/>
      </w:pPr>
      <w:r>
        <w:rPr>
          <w:rFonts w:ascii="Arial" w:cs="Arial" w:eastAsia="Arial" w:hAnsi="Arial"/>
          <w:color w:val="1A1A2E"/>
          <w:sz w:val="22"/>
          <w:szCs w:val="22"/>
        </w:rPr>
        <w:t xml:space="preserve">Ouvrir 4 terminaux distincts et exécuter :</w:t>
      </w:r>
    </w:p>
    <w:p>
      <w:pPr>
        <w:spacing w:after="60" w:before="0"/>
      </w:pPr>
      <w:r>
        <w:t xml:space="preserve"/>
      </w:r>
    </w:p>
    <w:p>
      <w:pPr>
        <w:shd w:fill="F2F2F2" w:val="clear"/>
        <w:spacing w:after="0" w:before="0"/>
        <w:ind w:left="400" w:right="400"/>
      </w:pPr>
      <w:r>
        <w:rPr>
          <w:rFonts w:ascii="Courier New" w:cs="Courier New" w:eastAsia="Courier New" w:hAnsi="Courier New"/>
          <w:color w:val="1A1A2E"/>
          <w:sz w:val="19"/>
          <w:szCs w:val="19"/>
        </w:rPr>
        <w:t xml:space="preserve"># Terminal 1 — Microservice Compte (gRPC port 50051)</w:t>
      </w:r>
    </w:p>
    <w:p>
      <w:pPr>
        <w:shd w:fill="F2F2F2" w:val="clear"/>
        <w:spacing w:after="0" w:before="0"/>
        <w:ind w:left="400" w:right="400"/>
      </w:pPr>
      <w:r>
        <w:rPr>
          <w:rFonts w:ascii="Courier New" w:cs="Courier New" w:eastAsia="Courier New" w:hAnsi="Courier New"/>
          <w:color w:val="1A1A2E"/>
          <w:sz w:val="19"/>
          <w:szCs w:val="19"/>
        </w:rPr>
        <w:t xml:space="preserve">cd microservice-compte      &amp;&amp; node server.js</w:t>
      </w:r>
    </w:p>
    <w:p>
      <w:pPr>
        <w:shd w:fill="F2F2F2" w:val="clear"/>
        <w:spacing w:after="0" w:before="0"/>
        <w:ind w:left="400" w:right="400"/>
      </w:pPr>
      <w:r>
        <w:rPr>
          <w:rFonts w:ascii="Courier New" w:cs="Courier New" w:eastAsia="Courier New" w:hAnsi="Courier New"/>
          <w:color w:val="1A1A2E"/>
          <w:sz w:val="19"/>
          <w:szCs w:val="19"/>
        </w:rPr>
        <w:t xml:space="preserve"/>
      </w:r>
    </w:p>
    <w:p>
      <w:pPr>
        <w:shd w:fill="F2F2F2" w:val="clear"/>
        <w:spacing w:after="0" w:before="0"/>
        <w:ind w:left="400" w:right="400"/>
      </w:pPr>
      <w:r>
        <w:rPr>
          <w:rFonts w:ascii="Courier New" w:cs="Courier New" w:eastAsia="Courier New" w:hAnsi="Courier New"/>
          <w:color w:val="1A1A2E"/>
          <w:sz w:val="19"/>
          <w:szCs w:val="19"/>
        </w:rPr>
        <w:t xml:space="preserve"># Terminal 2 — Microservice Transaction (gRPC port 50052)</w:t>
      </w:r>
    </w:p>
    <w:p>
      <w:pPr>
        <w:shd w:fill="F2F2F2" w:val="clear"/>
        <w:spacing w:after="0" w:before="0"/>
        <w:ind w:left="400" w:right="400"/>
      </w:pPr>
      <w:r>
        <w:rPr>
          <w:rFonts w:ascii="Courier New" w:cs="Courier New" w:eastAsia="Courier New" w:hAnsi="Courier New"/>
          <w:color w:val="1A1A2E"/>
          <w:sz w:val="19"/>
          <w:szCs w:val="19"/>
        </w:rPr>
        <w:t xml:space="preserve">cd microservice-transaction &amp;&amp; node server.js</w:t>
      </w:r>
    </w:p>
    <w:p>
      <w:pPr>
        <w:shd w:fill="F2F2F2" w:val="clear"/>
        <w:spacing w:after="0" w:before="0"/>
        <w:ind w:left="400" w:right="400"/>
      </w:pPr>
      <w:r>
        <w:rPr>
          <w:rFonts w:ascii="Courier New" w:cs="Courier New" w:eastAsia="Courier New" w:hAnsi="Courier New"/>
          <w:color w:val="1A1A2E"/>
          <w:sz w:val="19"/>
          <w:szCs w:val="19"/>
        </w:rPr>
        <w:t xml:space="preserve"/>
      </w:r>
    </w:p>
    <w:p>
      <w:pPr>
        <w:shd w:fill="F2F2F2" w:val="clear"/>
        <w:spacing w:after="0" w:before="0"/>
        <w:ind w:left="400" w:right="400"/>
      </w:pPr>
      <w:r>
        <w:rPr>
          <w:rFonts w:ascii="Courier New" w:cs="Courier New" w:eastAsia="Courier New" w:hAnsi="Courier New"/>
          <w:color w:val="1A1A2E"/>
          <w:sz w:val="19"/>
          <w:szCs w:val="19"/>
        </w:rPr>
        <w:t xml:space="preserve"># Terminal 3 — Microservice Notification (gRPC port 50053)</w:t>
      </w:r>
    </w:p>
    <w:p>
      <w:pPr>
        <w:shd w:fill="F2F2F2" w:val="clear"/>
        <w:spacing w:after="0" w:before="0"/>
        <w:ind w:left="400" w:right="400"/>
      </w:pPr>
      <w:r>
        <w:rPr>
          <w:rFonts w:ascii="Courier New" w:cs="Courier New" w:eastAsia="Courier New" w:hAnsi="Courier New"/>
          <w:color w:val="1A1A2E"/>
          <w:sz w:val="19"/>
          <w:szCs w:val="19"/>
        </w:rPr>
        <w:t xml:space="preserve">cd microservice-notification &amp;&amp; node server.js</w:t>
      </w:r>
    </w:p>
    <w:p>
      <w:pPr>
        <w:shd w:fill="F2F2F2" w:val="clear"/>
        <w:spacing w:after="0" w:before="0"/>
        <w:ind w:left="400" w:right="400"/>
      </w:pPr>
      <w:r>
        <w:rPr>
          <w:rFonts w:ascii="Courier New" w:cs="Courier New" w:eastAsia="Courier New" w:hAnsi="Courier New"/>
          <w:color w:val="1A1A2E"/>
          <w:sz w:val="19"/>
          <w:szCs w:val="19"/>
        </w:rPr>
        <w:t xml:space="preserve"/>
      </w:r>
    </w:p>
    <w:p>
      <w:pPr>
        <w:shd w:fill="F2F2F2" w:val="clear"/>
        <w:spacing w:after="0" w:before="0"/>
        <w:ind w:left="400" w:right="400"/>
      </w:pPr>
      <w:r>
        <w:rPr>
          <w:rFonts w:ascii="Courier New" w:cs="Courier New" w:eastAsia="Courier New" w:hAnsi="Courier New"/>
          <w:color w:val="1A1A2E"/>
          <w:sz w:val="19"/>
          <w:szCs w:val="19"/>
        </w:rPr>
        <w:t xml:space="preserve"># Terminal 4 — API Gateway (REST + GraphQL port 3000)</w:t>
      </w:r>
    </w:p>
    <w:p>
      <w:pPr>
        <w:shd w:fill="F2F2F2" w:val="clear"/>
        <w:spacing w:after="0" w:before="0"/>
        <w:ind w:left="400" w:right="400"/>
      </w:pPr>
      <w:r>
        <w:rPr>
          <w:rFonts w:ascii="Courier New" w:cs="Courier New" w:eastAsia="Courier New" w:hAnsi="Courier New"/>
          <w:color w:val="1A1A2E"/>
          <w:sz w:val="19"/>
          <w:szCs w:val="19"/>
        </w:rPr>
        <w:t xml:space="preserve">cd api-gateway              &amp;&amp; node server.js</w:t>
      </w:r>
    </w:p>
    <w:p>
      <w:pPr>
        <w:spacing w:after="120" w:before="0"/>
      </w:pPr>
      <w:r>
        <w:t xml:space="preserve"/>
      </w:r>
    </w:p>
    <w:p>
      <w:pPr>
        <w:pBdr>
          <w:bottom w:val="single" w:color="2E75B6" w:sz="4"/>
        </w:pBdr>
        <w:spacing w:after="120" w:before="240"/>
      </w:pPr>
      <w:r>
        <w:rPr>
          <w:rFonts w:ascii="Arial" w:cs="Arial" w:eastAsia="Arial" w:hAnsi="Arial"/>
          <w:b/>
          <w:bCs/>
          <w:color w:val="1B3F6E"/>
          <w:sz w:val="24"/>
          <w:szCs w:val="24"/>
        </w:rPr>
        <w:t xml:space="preserve">7.5 Récapitulatif des points d'accès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Interface</w:t>
            </w:r>
          </w:p>
        </w:tc>
        <w:tc>
          <w:tcPr>
            <w:tcW w:type="dxa" w:w="6560"/>
            <w:tcBorders>
              <w:top w:val="single" w:color="1B3F6E" w:sz="6"/>
              <w:left w:val="single" w:color="1B3F6E" w:sz="6"/>
              <w:bottom w:val="single" w:color="1B3F6E" w:sz="6"/>
              <w:right w:val="single" w:color="1B3F6E" w:sz="6"/>
            </w:tcBorders>
            <w:shd w:fill="1B3F6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 / Port</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REST API</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http://localhost:3000/api/</w:t>
            </w:r>
          </w:p>
        </w:tc>
      </w:tr>
      <w:tr>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GraphQL Playground</w:t>
            </w:r>
          </w:p>
        </w:tc>
        <w:tc>
          <w:tcPr>
            <w:tcW w:type="dxa" w:w="65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http://localhost:3000/graphql</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Health Check</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http://localhost:3000/health</w:t>
            </w:r>
          </w:p>
        </w:tc>
      </w:tr>
      <w:tr>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CompteService gRPC</w:t>
            </w:r>
          </w:p>
        </w:tc>
        <w:tc>
          <w:tcPr>
            <w:tcW w:type="dxa" w:w="65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localhost:50051</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TransactionService gRPC</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localhost:50052</w:t>
            </w:r>
          </w:p>
        </w:tc>
      </w:tr>
      <w:tr>
        <w:tc>
          <w:tcPr>
            <w:tcW w:type="dxa" w:w="280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NotificationService gRPC</w:t>
            </w:r>
          </w:p>
        </w:tc>
        <w:tc>
          <w:tcPr>
            <w:tcW w:type="dxa" w:w="6560"/>
            <w:tcBorders>
              <w:top w:val="single" w:color="BBBBBB" w:sz="3"/>
              <w:left w:val="single" w:color="BBBBBB" w:sz="3"/>
              <w:bottom w:val="single" w:color="BBBBBB" w:sz="3"/>
              <w:right w:val="single" w:color="BBBBBB" w:sz="3"/>
            </w:tcBorders>
            <w:shd w:fill="F2F2F2"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localhost:50053</w:t>
            </w:r>
          </w:p>
        </w:tc>
      </w:tr>
      <w:tr>
        <w:tc>
          <w:tcPr>
            <w:tcW w:type="dxa" w:w="280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left"/>
            </w:pPr>
            <w:r>
              <w:rPr>
                <w:rFonts w:ascii="Arial" w:cs="Arial" w:eastAsia="Arial" w:hAnsi="Arial"/>
                <w:color w:val="1A1A2E"/>
                <w:sz w:val="20"/>
                <w:szCs w:val="20"/>
              </w:rPr>
              <w:t xml:space="preserve">Kafka Broker</w:t>
            </w:r>
          </w:p>
        </w:tc>
        <w:tc>
          <w:tcPr>
            <w:tcW w:type="dxa" w:w="6560"/>
            <w:tcBorders>
              <w:top w:val="single" w:color="BBBBBB" w:sz="3"/>
              <w:left w:val="single" w:color="BBBBBB" w:sz="3"/>
              <w:bottom w:val="single" w:color="BBBBBB" w:sz="3"/>
              <w:right w:val="single" w:color="BBBBBB" w:sz="3"/>
            </w:tcBorders>
            <w:shd w:fill="FFFFFF" w:val="clear"/>
            <w:tcMar>
              <w:top w:type="dxa" w:w="80"/>
              <w:left w:type="dxa" w:w="150"/>
              <w:bottom w:type="dxa" w:w="80"/>
              <w:right w:type="dxa" w:w="150"/>
            </w:tcMar>
            <w:vAlign w:val="center"/>
          </w:tcPr>
          <w:p>
            <w:pPr>
              <w:jc w:val="center"/>
            </w:pPr>
            <w:r>
              <w:rPr>
                <w:rFonts w:ascii="Arial" w:cs="Arial" w:eastAsia="Arial" w:hAnsi="Arial"/>
                <w:color w:val="1A1A2E"/>
                <w:sz w:val="20"/>
                <w:szCs w:val="20"/>
              </w:rPr>
              <w:t xml:space="preserve">localhost:9092</w:t>
            </w:r>
          </w:p>
        </w:tc>
      </w:tr>
    </w:tbl>
    <w:p>
      <w:pPr>
        <w:spacing w:after="300" w:before="0"/>
      </w:pPr>
      <w:r>
        <w:t xml:space="preserve"/>
      </w:r>
    </w:p>
    <w:p>
      <w:pPr>
        <w:spacing w:after="0" w:before="0"/>
      </w:pPr>
      <w:r>
        <w:br w:type="page"/>
      </w:r>
    </w:p>
    <w:p>
      <w:pPr>
        <w:pBdr>
          <w:bottom w:val="single" w:color="E67E22" w:sz="6"/>
        </w:pBdr>
        <w:shd w:fill="1B3F6E" w:val="clear"/>
        <w:spacing w:after="160" w:before="320"/>
        <w:ind w:left="200" w:right="200"/>
      </w:pPr>
      <w:r>
        <w:rPr>
          <w:rFonts w:ascii="Arial" w:cs="Arial" w:eastAsia="Arial" w:hAnsi="Arial"/>
          <w:b/>
          <w:bCs/>
          <w:color w:val="FFFFFF"/>
          <w:sz w:val="28"/>
          <w:szCs w:val="28"/>
        </w:rPr>
        <w:t xml:space="preserve">8. Conclusion</w:t>
      </w:r>
    </w:p>
    <w:p>
      <w:pPr>
        <w:spacing w:after="100" w:before="0"/>
      </w:pPr>
      <w:r>
        <w:t xml:space="preserve"/>
      </w:r>
    </w:p>
    <w:p>
      <w:pPr>
        <w:spacing w:after="80" w:before="60"/>
        <w:ind w:left="180"/>
      </w:pPr>
      <w:r>
        <w:rPr>
          <w:rFonts w:ascii="Arial" w:cs="Arial" w:eastAsia="Arial" w:hAnsi="Arial"/>
          <w:color w:val="1A1A2E"/>
          <w:sz w:val="22"/>
          <w:szCs w:val="22"/>
        </w:rPr>
        <w:t xml:space="preserve">Ce projet illustre l'implémentation complète d'une architecture microservices moderne appliquée au domaine bancaire. Chaque composant a été conçu de façon indépendante, communiquant via des interfaces standardisées et échangeant des événements de façon asynchrone.</w:t>
      </w:r>
    </w:p>
    <w:p>
      <w:pPr>
        <w:spacing w:after="80" w:before="0"/>
      </w:pPr>
      <w:r>
        <w:t xml:space="preserve"/>
      </w:r>
    </w:p>
    <w:p>
      <w:pPr>
        <w:spacing w:after="80" w:before="60"/>
        <w:ind w:left="180"/>
      </w:pPr>
      <w:r>
        <w:rPr>
          <w:rFonts w:ascii="Arial" w:cs="Arial" w:eastAsia="Arial" w:hAnsi="Arial"/>
          <w:color w:val="1A1A2E"/>
          <w:sz w:val="22"/>
          <w:szCs w:val="22"/>
        </w:rPr>
        <w:t xml:space="preserve">Les principaux apports techniques de ce projet sont :</w:t>
      </w:r>
    </w:p>
    <w:p>
      <w:pPr>
        <w:spacing w:after="60" w:before="0"/>
      </w:pPr>
      <w:r>
        <w:t xml:space="preserve"/>
      </w:r>
    </w:p>
    <w:p>
      <w:pPr>
        <w:pStyle w:val="ListParagraph"/>
        <w:numPr>
          <w:ilvl w:val="0"/>
          <w:numId w:val="2"/>
        </w:numPr>
        <w:spacing w:after="60" w:before="40"/>
      </w:pPr>
      <w:r>
        <w:rPr>
          <w:rFonts w:ascii="Arial" w:cs="Arial" w:eastAsia="Arial" w:hAnsi="Arial"/>
          <w:color w:val="1A1A2E"/>
          <w:sz w:val="22"/>
          <w:szCs w:val="22"/>
        </w:rPr>
        <w:t xml:space="preserve">Maîtrise de gRPC avec Protocol Buffers v3 pour la communication synchrone haute performance entre services.</w:t>
      </w:r>
    </w:p>
    <w:p>
      <w:pPr>
        <w:pStyle w:val="ListParagraph"/>
        <w:numPr>
          <w:ilvl w:val="0"/>
          <w:numId w:val="2"/>
        </w:numPr>
        <w:spacing w:after="60" w:before="40"/>
      </w:pPr>
      <w:r>
        <w:rPr>
          <w:rFonts w:ascii="Arial" w:cs="Arial" w:eastAsia="Arial" w:hAnsi="Arial"/>
          <w:color w:val="1A1A2E"/>
          <w:sz w:val="22"/>
          <w:szCs w:val="22"/>
        </w:rPr>
        <w:t xml:space="preserve">Mise en place d'un API Gateway unifié supportant simultanément REST et GraphQL.</w:t>
      </w:r>
    </w:p>
    <w:p>
      <w:pPr>
        <w:pStyle w:val="ListParagraph"/>
        <w:numPr>
          <w:ilvl w:val="0"/>
          <w:numId w:val="2"/>
        </w:numPr>
        <w:spacing w:after="60" w:before="40"/>
      </w:pPr>
      <w:r>
        <w:rPr>
          <w:rFonts w:ascii="Arial" w:cs="Arial" w:eastAsia="Arial" w:hAnsi="Arial"/>
          <w:color w:val="1A1A2E"/>
          <w:sz w:val="22"/>
          <w:szCs w:val="22"/>
        </w:rPr>
        <w:t xml:space="preserve">Intégration d'Apache Kafka pour la communication événementielle asynchrone et le découplage des services.</w:t>
      </w:r>
    </w:p>
    <w:p>
      <w:pPr>
        <w:pStyle w:val="ListParagraph"/>
        <w:numPr>
          <w:ilvl w:val="0"/>
          <w:numId w:val="2"/>
        </w:numPr>
        <w:spacing w:after="60" w:before="40"/>
      </w:pPr>
      <w:r>
        <w:rPr>
          <w:rFonts w:ascii="Arial" w:cs="Arial" w:eastAsia="Arial" w:hAnsi="Arial"/>
          <w:color w:val="1A1A2E"/>
          <w:sz w:val="22"/>
          <w:szCs w:val="22"/>
        </w:rPr>
        <w:t xml:space="preserve">Utilisation de bases de données hétérogènes (SQL et NoSQL) adaptées à chaque type de données.</w:t>
      </w:r>
    </w:p>
    <w:p>
      <w:pPr>
        <w:pStyle w:val="ListParagraph"/>
        <w:numPr>
          <w:ilvl w:val="0"/>
          <w:numId w:val="2"/>
        </w:numPr>
        <w:spacing w:after="60" w:before="40"/>
      </w:pPr>
      <w:r>
        <w:rPr>
          <w:rFonts w:ascii="Arial" w:cs="Arial" w:eastAsia="Arial" w:hAnsi="Arial"/>
          <w:color w:val="1A1A2E"/>
          <w:sz w:val="22"/>
          <w:szCs w:val="22"/>
        </w:rPr>
        <w:t xml:space="preserve">Application du principe de base de données isolée par service pour garantir l'indépendance de déploiement.</w:t>
      </w:r>
    </w:p>
    <w:p>
      <w:pPr>
        <w:spacing w:after="120" w:before="0"/>
      </w:pPr>
      <w:r>
        <w:t xml:space="preserve"/>
      </w:r>
    </w:p>
    <w:p>
      <w:pPr>
        <w:spacing w:after="80" w:before="60"/>
        <w:ind w:left="180"/>
      </w:pPr>
      <w:r>
        <w:rPr>
          <w:rFonts w:ascii="Arial" w:cs="Arial" w:eastAsia="Arial" w:hAnsi="Arial"/>
          <w:color w:val="1A1A2E"/>
          <w:sz w:val="22"/>
          <w:szCs w:val="22"/>
        </w:rPr>
        <w:t xml:space="preserve">Ce travail a été réalisé dans le cadre du cours SoA &amp; Microservices (Dr. Salah Gontara — A.U. 2025-2026) par Emna Mkhinini, Chikh Zaoui et Ines Hmila.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after="0" w:before="80"/>
    </w:pPr>
    <w:r>
      <w:rPr>
        <w:rFonts w:ascii="Arial" w:cs="Arial" w:eastAsia="Arial" w:hAnsi="Arial"/>
        <w:color w:val="555555"/>
        <w:sz w:val="16"/>
        <w:szCs w:val="16"/>
      </w:rPr>
      <w:t xml:space="preserve">Documentation technique confidentielle — 2026</w:t>
    </w:r>
    <w:r>
      <w:rPr>
        <w:sz w:val="16"/>
        <w:szCs w:val="16"/>
      </w:rPr>
      <w:t xml:space="preserve">	</w:t>
    </w:r>
    <w:r>
      <w:rPr>
        <w:rFonts w:ascii="Arial" w:cs="Arial" w:eastAsia="Arial" w:hAnsi="Arial"/>
        <w:color w:val="555555"/>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spacing w:after="80" w:before="0"/>
    </w:pPr>
    <w:r>
      <w:rPr>
        <w:rFonts w:ascii="Arial" w:cs="Arial" w:eastAsia="Arial" w:hAnsi="Arial"/>
        <w:i/>
        <w:iCs/>
        <w:color w:val="2E75B6"/>
        <w:sz w:val="18"/>
        <w:szCs w:val="18"/>
      </w:rPr>
      <w:t xml:space="preserve">Application Bancaire — Architecture Microservices</w:t>
    </w:r>
    <w:r>
      <w:rPr>
        <w:sz w:val="18"/>
        <w:szCs w:val="18"/>
      </w:rPr>
      <w:t xml:space="preserve">		</w:t>
    </w:r>
    <w:r>
      <w:rPr>
        <w:rFonts w:ascii="Arial" w:cs="Arial" w:eastAsia="Arial" w:hAnsi="Arial"/>
        <w:color w:val="555555"/>
        <w:sz w:val="18"/>
        <w:szCs w:val="18"/>
      </w:rPr>
      <w:t xml:space="preserve">Emna Mkhinini | Chikh Zaoui | Ines Hmila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2026-05-18T21:59:20.505Z</dcterms:created>
  <dcterms:modified xsi:type="dcterms:W3CDTF">2026-05-18T21:59:20.505Z</dcterms:modified>
</cp:coreProperties>
</file>

<file path=docProps/custom.xml><?xml version="1.0" encoding="utf-8"?>
<Properties xmlns="http://schemas.openxmlformats.org/officeDocument/2006/custom-properties" xmlns:vt="http://schemas.openxmlformats.org/officeDocument/2006/docPropsVTypes"/>
</file>