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QUẢN LÝ QUYỀN TRUY CẬP</w:t>
      </w:r>
    </w:p>
    <w:p>
      <w:r>
        <w:rPr>
          <w:i/>
          <w:sz w:val="20"/>
        </w:rPr>
        <w:t>Công ty Cổ phần Công nghệ ABC (abc.example)</w:t>
      </w:r>
    </w:p>
    <w:p>
      <w:r>
        <w:rPr>
          <w:i/>
          <w:sz w:val="20"/>
        </w:rPr>
        <w:t>Mã văn bản: QĐ-AN-008/2026    |    Hiệu lực: 01/03/2026    |    Phân loại: Nội bộ</w:t>
      </w:r>
    </w:p>
    <w:p>
      <w:r>
        <w:rPr>
          <w:i/>
          <w:sz w:val="20"/>
        </w:rPr>
        <w:t>(Tài liệu nội bộ GIẢ ĐỊNH — dùng để minh hoạ demo RAG.)</w:t>
      </w:r>
    </w:p>
    <w:p>
      <w:pPr>
        <w:pStyle w:val="Heading1"/>
      </w:pPr>
      <w:r>
        <w:t>1. Mục đích và phạm vi</w:t>
      </w:r>
    </w:p>
    <w:p>
      <w:r>
        <w:t>Quy trình quy định cách cấp, rà soát và thu hồi quyền truy cập vào hệ thống thông tin của công ty, bảo đảm mỗi người chỉ có đúng quyền cần thiết cho công việc. Áp dụng cho mọi tài khoản người dùng và tài khoản đặc quyền.</w:t>
      </w:r>
    </w:p>
    <w:p>
      <w:pPr>
        <w:pStyle w:val="Heading1"/>
      </w:pPr>
      <w:r>
        <w:t>2. Nguyên tắc</w:t>
      </w:r>
    </w:p>
    <w:p>
      <w:pPr>
        <w:pStyle w:val="ListBullet"/>
      </w:pPr>
      <w:r>
        <w:t>Quyền tối thiểu: chỉ cấp quyền vừa đủ để hoàn thành công việc.</w:t>
      </w:r>
    </w:p>
    <w:p>
      <w:pPr>
        <w:pStyle w:val="ListBullet"/>
      </w:pPr>
      <w:r>
        <w:t>Cần-mới-cấp: cấp khi có nhu cầu rõ ràng, được phê duyệt.</w:t>
      </w:r>
    </w:p>
    <w:p>
      <w:pPr>
        <w:pStyle w:val="ListBullet"/>
      </w:pPr>
      <w:r>
        <w:t>Truy vết: mọi yêu cầu cấp/thu hồi quyền đều được ghi nhận.</w:t>
      </w:r>
    </w:p>
    <w:p>
      <w:pPr>
        <w:pStyle w:val="Heading1"/>
      </w:pPr>
      <w:r>
        <w:t>3. Quy trình cấp quyền</w:t>
      </w:r>
    </w:p>
    <w:p>
      <w:pPr>
        <w:pStyle w:val="ListNumber"/>
      </w:pPr>
      <w:r>
        <w:t>Bước 1: Nhân viên gửi yêu cầu theo biểu mẫu BM-AN-008 (nêu hệ thống, mức quyền, lý do).</w:t>
      </w:r>
    </w:p>
    <w:p>
      <w:pPr>
        <w:pStyle w:val="ListNumber"/>
      </w:pPr>
      <w:r>
        <w:t>Bước 2: Quản lý trực tiếp phê duyệt nhu cầu công việc.</w:t>
      </w:r>
    </w:p>
    <w:p>
      <w:pPr>
        <w:pStyle w:val="ListNumber"/>
      </w:pPr>
      <w:r>
        <w:t>Bước 3: Phòng CNTT cấp quyền theo nguyên tắc tối thiểu và thông báo cho người yêu cầu.</w:t>
      </w:r>
    </w:p>
    <w:p>
      <w:pPr>
        <w:pStyle w:val="ListNumber"/>
      </w:pPr>
      <w:r>
        <w:t>Bước 4: Yêu cầu và phê duyệt được lưu hồ sơ tối thiểu 2 năm.</w:t>
      </w:r>
    </w:p>
    <w:p>
      <w:pPr>
        <w:pStyle w:val="Heading1"/>
      </w:pPr>
      <w:r>
        <w:t>4. Tài khoản đặc quyền (quản trị)</w:t>
      </w:r>
    </w:p>
    <w:p>
      <w:r>
        <w:t>Tài khoản quản trị bắt buộc bật xác thực hai yếu tố (MFA), không dùng chung, và chỉ dùng cho công việc quản trị. Mật khẩu tài khoản đặc quyền đổi định kỳ 60 ngày.</w:t>
      </w:r>
    </w:p>
    <w:p>
      <w:pPr>
        <w:pStyle w:val="Heading1"/>
      </w:pPr>
      <w:r>
        <w:t>5. Rà soát định kỳ</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Loại tài khoản</w:t>
            </w:r>
          </w:p>
        </w:tc>
        <w:tc>
          <w:tcPr>
            <w:tcW w:type="dxa" w:w="2880"/>
          </w:tcPr>
          <w:p>
            <w:r/>
            <w:r>
              <w:rPr>
                <w:b/>
              </w:rPr>
              <w:t>Chu kỳ rà soát</w:t>
            </w:r>
          </w:p>
        </w:tc>
        <w:tc>
          <w:tcPr>
            <w:tcW w:type="dxa" w:w="2880"/>
          </w:tcPr>
          <w:p>
            <w:r/>
            <w:r>
              <w:rPr>
                <w:b/>
              </w:rPr>
              <w:t>Người thực hiện</w:t>
            </w:r>
          </w:p>
        </w:tc>
      </w:tr>
      <w:tr>
        <w:tc>
          <w:tcPr>
            <w:tcW w:type="dxa" w:w="2880"/>
          </w:tcPr>
          <w:p>
            <w:r>
              <w:t>Tài khoản người dùng thường</w:t>
            </w:r>
          </w:p>
        </w:tc>
        <w:tc>
          <w:tcPr>
            <w:tcW w:type="dxa" w:w="2880"/>
          </w:tcPr>
          <w:p>
            <w:r>
              <w:t>6 tháng/lần</w:t>
            </w:r>
          </w:p>
        </w:tc>
        <w:tc>
          <w:tcPr>
            <w:tcW w:type="dxa" w:w="2880"/>
          </w:tcPr>
          <w:p>
            <w:r>
              <w:t>Quản lý bộ phận</w:t>
            </w:r>
          </w:p>
        </w:tc>
      </w:tr>
      <w:tr>
        <w:tc>
          <w:tcPr>
            <w:tcW w:type="dxa" w:w="2880"/>
          </w:tcPr>
          <w:p>
            <w:r>
              <w:t>Tài khoản đặc quyền (admin)</w:t>
            </w:r>
          </w:p>
        </w:tc>
        <w:tc>
          <w:tcPr>
            <w:tcW w:type="dxa" w:w="2880"/>
          </w:tcPr>
          <w:p>
            <w:r>
              <w:t>3 tháng/lần</w:t>
            </w:r>
          </w:p>
        </w:tc>
        <w:tc>
          <w:tcPr>
            <w:tcW w:type="dxa" w:w="2880"/>
          </w:tcPr>
          <w:p>
            <w:r>
              <w:t>Tổ An toàn thông tin</w:t>
            </w:r>
          </w:p>
        </w:tc>
      </w:tr>
      <w:tr>
        <w:tc>
          <w:tcPr>
            <w:tcW w:type="dxa" w:w="2880"/>
          </w:tcPr>
          <w:p>
            <w:r>
              <w:t>Tài khoản bên thứ ba/nhà thầu</w:t>
            </w:r>
          </w:p>
        </w:tc>
        <w:tc>
          <w:tcPr>
            <w:tcW w:type="dxa" w:w="2880"/>
          </w:tcPr>
          <w:p>
            <w:r>
              <w:t>3 tháng/lần</w:t>
            </w:r>
          </w:p>
        </w:tc>
        <w:tc>
          <w:tcPr>
            <w:tcW w:type="dxa" w:w="2880"/>
          </w:tcPr>
          <w:p>
            <w:r>
              <w:t>Phòng CNTT</w:t>
            </w:r>
          </w:p>
        </w:tc>
      </w:tr>
    </w:tbl>
    <w:p/>
    <w:p>
      <w:pPr>
        <w:pStyle w:val="Heading1"/>
      </w:pPr>
      <w:r>
        <w:t>6. Thu hồi quyền</w:t>
      </w:r>
    </w:p>
    <w:p>
      <w:r>
        <w:t>Khi nhân viên nghỉ việc hoặc chuyển bộ phận, mọi quyền truy cập không còn cần thiết phải được thu hồi trong vòng 1 ngày làm việc. Phòng Nhân sự thông báo cho Phòng CNTT ngay khi có quyết định nghỉ việc để khoá tài khoản đúng hạn.</w:t>
      </w:r>
    </w:p>
    <w:p>
      <w:pPr>
        <w:pStyle w:val="Heading1"/>
      </w:pPr>
      <w:r>
        <w:t>7. Liên hệ</w:t>
      </w:r>
    </w:p>
    <w:p>
      <w:r>
        <w:t>IT Helpdesk: it@abc.example — máy lẻ 1234. Tổ ATTT: soc@abc.example.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