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124A4" w14:textId="6F99EE68" w:rsidR="00144DB0" w:rsidRDefault="00144DB0">
      <w:r>
        <w:t>Available data</w:t>
      </w:r>
    </w:p>
    <w:p w14:paraId="6AD9A0C2" w14:textId="251B77BD" w:rsidR="00144DB0" w:rsidRDefault="00144DB0">
      <w:r>
        <w:t>Biomass sorted to species , 12 mown plots, 4 factorial combinations of fertilization and removal</w:t>
      </w:r>
      <w:r w:rsidR="00823779">
        <w:t>, for 16 years</w:t>
      </w:r>
      <w:r>
        <w:t xml:space="preserve">. </w:t>
      </w:r>
    </w:p>
    <w:p w14:paraId="27C99295" w14:textId="77777777" w:rsidR="00144DB0" w:rsidRDefault="00144DB0"/>
    <w:p w14:paraId="79CFAFB8" w14:textId="2B0B13F0" w:rsidR="00144DB0" w:rsidRDefault="00144DB0">
      <w:r>
        <w:t>The goal – to find the relationship between stability of total biomass, and stability of species composition, and its dependence on methodological choices</w:t>
      </w:r>
      <w:r w:rsidR="00E633F4">
        <w:t xml:space="preserve"> (composition in terms of absolute values, and of species proportions, and dependence on possible transformation of biomass to </w:t>
      </w:r>
      <w:proofErr w:type="spellStart"/>
      <w:r w:rsidR="00E633F4">
        <w:t>downweight</w:t>
      </w:r>
      <w:proofErr w:type="spellEnd"/>
      <w:r w:rsidR="00E633F4">
        <w:t xml:space="preserve"> the dominants)</w:t>
      </w:r>
      <w:r>
        <w:t>.</w:t>
      </w:r>
    </w:p>
    <w:p w14:paraId="09A1D7EF" w14:textId="77777777" w:rsidR="00144DB0" w:rsidRDefault="00144DB0"/>
    <w:p w14:paraId="62987376" w14:textId="77777777" w:rsidR="00144DB0" w:rsidRDefault="00144DB0">
      <w:r>
        <w:t xml:space="preserve">Rationale: </w:t>
      </w:r>
    </w:p>
    <w:p w14:paraId="4B8529C5" w14:textId="5264081F" w:rsidR="00144DB0" w:rsidRDefault="00144DB0">
      <w:r>
        <w:t xml:space="preserve">1. The temporal stability depends on the “state variables”. From conservation point of view, and in endangered communities, the stability of species composition is much more important, stability of total biomass is of a theoretical interest only. </w:t>
      </w:r>
    </w:p>
    <w:p w14:paraId="04EF0638" w14:textId="2F80E376" w:rsidR="00144DB0" w:rsidRDefault="00144DB0">
      <w:r>
        <w:t>2. The theory predicts that the asynchrony in individual species fluctuations should stabilize the total biomass. The asynchrony necessarily means increased variability of species composition.</w:t>
      </w:r>
    </w:p>
    <w:p w14:paraId="4B97F2B0" w14:textId="7A373ADF" w:rsidR="00144DB0" w:rsidRDefault="00144DB0">
      <w:r>
        <w:t>Methodolog</w:t>
      </w:r>
      <w:r w:rsidR="00051BEF">
        <w:t>y:</w:t>
      </w:r>
    </w:p>
    <w:p w14:paraId="5CF1BC1B" w14:textId="77777777" w:rsidR="00051BEF" w:rsidRDefault="00051BEF"/>
    <w:p w14:paraId="2BC4F21A" w14:textId="69D750CA" w:rsidR="00051BEF" w:rsidRDefault="00051BEF">
      <w:r>
        <w:t>The stability of total biomass</w:t>
      </w:r>
      <w:r w:rsidR="00682DEB">
        <w:t xml:space="preserve"> in an observational unit (typically a plot) over time</w:t>
      </w:r>
      <w:r>
        <w:t xml:space="preserve"> can be measured as CV = </w:t>
      </w:r>
      <w:proofErr w:type="spellStart"/>
      <w:r>
        <w:t>s.d.</w:t>
      </w:r>
      <w:proofErr w:type="spellEnd"/>
      <w:r>
        <w:t>/mean</w:t>
      </w:r>
      <w:r w:rsidR="00DD4C1F">
        <w:t>;</w:t>
      </w:r>
      <w:r w:rsidR="004C2436">
        <w:t xml:space="preserve"> </w:t>
      </w:r>
      <w:proofErr w:type="spellStart"/>
      <w:r w:rsidR="004C2436">
        <w:t>s.d.</w:t>
      </w:r>
      <w:proofErr w:type="spellEnd"/>
      <w:r w:rsidR="004C2436">
        <w:t xml:space="preserve"> is standard deviation and is a square root of variance</w:t>
      </w:r>
      <w:r w:rsidR="00682DEB">
        <w:t>, calculated over time (usually years)</w:t>
      </w:r>
      <w:r w:rsidR="004C2436">
        <w:t>. V</w:t>
      </w:r>
      <w:r w:rsidR="00DD4C1F">
        <w:t xml:space="preserve">ariance can be calculated using the classical formula, </w:t>
      </w:r>
      <w:r>
        <w:t xml:space="preserve">i.e. </w:t>
      </w:r>
    </w:p>
    <w:p w14:paraId="75026C08" w14:textId="6D50696F" w:rsidR="00051BEF" w:rsidRPr="00DD4C1F" w:rsidRDefault="00DD4C1F">
      <w:pPr>
        <w:rPr>
          <w:rFonts w:eastAsiaTheme="minorEastAsia"/>
        </w:rPr>
      </w:pPr>
      <m:oMathPara>
        <m:oMath>
          <m:r>
            <w:rPr>
              <w:rFonts w:ascii="Cambria Math" w:hAnsi="Cambria Math"/>
            </w:rPr>
            <m:t>var=</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t</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-mean</m:t>
                          </m:r>
                        </m:e>
                      </m:d>
                    </m:e>
                    <m:sup>
                      <m:r>
                        <w:rPr>
                          <w:rFonts w:ascii="Cambria Math" w:hAnsi="Cambria Math"/>
                        </w:rPr>
                        <m:t>2</m:t>
                      </m:r>
                    </m:sup>
                  </m:sSup>
                </m:e>
              </m:nary>
            </m:num>
            <m:den>
              <m:r>
                <w:rPr>
                  <w:rFonts w:ascii="Cambria Math" w:hAnsi="Cambria Math"/>
                </w:rPr>
                <m:t>t-1</m:t>
              </m:r>
            </m:den>
          </m:f>
        </m:oMath>
      </m:oMathPara>
    </w:p>
    <w:p w14:paraId="65B2D8D3" w14:textId="30D11A6B" w:rsidR="00DD4C1F" w:rsidRDefault="00CA289B">
      <w:pPr>
        <w:rPr>
          <w:rFonts w:eastAsiaTheme="minorEastAsia"/>
        </w:rPr>
      </w:pPr>
      <w:r>
        <w:rPr>
          <w:rFonts w:eastAsiaTheme="minorEastAsia"/>
        </w:rPr>
        <w:t xml:space="preserve">Where </w:t>
      </w:r>
      <w:proofErr w:type="spellStart"/>
      <w:r>
        <w:rPr>
          <w:rFonts w:eastAsiaTheme="minorEastAsia"/>
          <w:i/>
          <w:iCs/>
        </w:rPr>
        <w:t>t</w:t>
      </w:r>
      <w:proofErr w:type="spellEnd"/>
      <w:r>
        <w:rPr>
          <w:rFonts w:eastAsiaTheme="minorEastAsia"/>
          <w:i/>
          <w:iCs/>
        </w:rPr>
        <w:t xml:space="preserve"> </w:t>
      </w:r>
      <w:r>
        <w:rPr>
          <w:rFonts w:eastAsiaTheme="minorEastAsia"/>
        </w:rPr>
        <w:t>is the total length of the time series</w:t>
      </w:r>
      <w:r w:rsidR="00682DEB">
        <w:rPr>
          <w:rFonts w:eastAsiaTheme="minorEastAsia"/>
        </w:rPr>
        <w:t xml:space="preserve"> and </w:t>
      </w:r>
      <w:r w:rsidR="00682DEB">
        <w:rPr>
          <w:rFonts w:eastAsiaTheme="minorEastAsia"/>
          <w:i/>
          <w:iCs/>
        </w:rPr>
        <w:t>x</w:t>
      </w:r>
      <w:r w:rsidR="00682DEB">
        <w:rPr>
          <w:rFonts w:eastAsiaTheme="minorEastAsia"/>
          <w:i/>
          <w:iCs/>
          <w:vertAlign w:val="subscript"/>
        </w:rPr>
        <w:t xml:space="preserve">i </w:t>
      </w:r>
      <w:r w:rsidR="00682DEB">
        <w:rPr>
          <w:rFonts w:eastAsiaTheme="minorEastAsia"/>
          <w:i/>
          <w:iCs/>
        </w:rPr>
        <w:t xml:space="preserve"> </w:t>
      </w:r>
      <w:r w:rsidR="00682DEB">
        <w:rPr>
          <w:rFonts w:eastAsiaTheme="minorEastAsia"/>
        </w:rPr>
        <w:t xml:space="preserve">is total biomass in the year </w:t>
      </w:r>
      <w:proofErr w:type="spellStart"/>
      <w:r w:rsidR="00682DEB">
        <w:rPr>
          <w:rFonts w:eastAsiaTheme="minorEastAsia"/>
          <w:i/>
          <w:iCs/>
        </w:rPr>
        <w:t>i</w:t>
      </w:r>
      <w:proofErr w:type="spellEnd"/>
      <w:r w:rsidR="00682DEB">
        <w:rPr>
          <w:rFonts w:eastAsiaTheme="minorEastAsia"/>
          <w:i/>
          <w:iCs/>
        </w:rPr>
        <w:t xml:space="preserve">. </w:t>
      </w:r>
      <w:r>
        <w:rPr>
          <w:rFonts w:eastAsiaTheme="minorEastAsia"/>
        </w:rPr>
        <w:t xml:space="preserve">Alternatively, variance can be calculated </w:t>
      </w:r>
      <w:r w:rsidR="00DD4C1F">
        <w:rPr>
          <w:rFonts w:eastAsiaTheme="minorEastAsia"/>
        </w:rPr>
        <w:t xml:space="preserve">as a two term local quadrat variance </w:t>
      </w:r>
      <w:r>
        <w:rPr>
          <w:rFonts w:eastAsiaTheme="minorEastAsia"/>
        </w:rPr>
        <w:t>(</w:t>
      </w:r>
      <w:proofErr w:type="spellStart"/>
      <w:r>
        <w:rPr>
          <w:rFonts w:eastAsiaTheme="minorEastAsia"/>
        </w:rPr>
        <w:t>Ttlqv</w:t>
      </w:r>
      <w:proofErr w:type="spellEnd"/>
      <w:r>
        <w:rPr>
          <w:rFonts w:eastAsiaTheme="minorEastAsia"/>
        </w:rPr>
        <w:t xml:space="preserve">) </w:t>
      </w:r>
      <w:r w:rsidR="00DD4C1F">
        <w:rPr>
          <w:rFonts w:eastAsiaTheme="minorEastAsia"/>
        </w:rPr>
        <w:t xml:space="preserve">of </w:t>
      </w:r>
      <w:r w:rsidR="00DD4C1F">
        <w:rPr>
          <w:rFonts w:eastAsiaTheme="minorEastAsia"/>
        </w:rPr>
        <w:fldChar w:fldCharType="begin"/>
      </w:r>
      <w:r w:rsidR="00DD4C1F">
        <w:rPr>
          <w:rFonts w:eastAsiaTheme="minorEastAsia"/>
        </w:rPr>
        <w:instrText xml:space="preserve"> ADDIN ZOTERO_ITEM CSL_CITATION {"citationID":"yzt6ATOv","properties":{"formattedCitation":"(Hill, 1973)","plainCitation":"(Hill, 1973)","noteIndex":0},"citationItems":[{"id":4602,"uris":["http://zotero.org/users/local/9KqQoM1w/items/MK7EMNP6"],"itemData":{"id":4602,"type":"article-journal","container-title":"The Journal of Ecology","DOI":"10.2307/2258930","ISSN":"00220477","issue":"1","journalAbbreviation":"The Journal of Ecology","page":"225","source":"DOI.org (Crossref)","title":"The Intensity of Spatial Pattern in Plant Communities","URL":"https://www.jstor.org/stable/2258930?origin=crossref","volume":"61","author":[{"family":"Hill","given":"M. O."}],"accessed":{"date-parts":[["2025",6,12]]},"issued":{"date-parts":[["1973",3]]}}}],"schema":"https://github.com/citation-style-language/schema/raw/master/csl-citation.json"} </w:instrText>
      </w:r>
      <w:r w:rsidR="00DD4C1F">
        <w:rPr>
          <w:rFonts w:eastAsiaTheme="minorEastAsia"/>
        </w:rPr>
        <w:fldChar w:fldCharType="separate"/>
      </w:r>
      <w:r w:rsidR="00DD4C1F" w:rsidRPr="00DD4C1F">
        <w:rPr>
          <w:rFonts w:ascii="Aptos" w:hAnsi="Aptos"/>
        </w:rPr>
        <w:t>(Hill, 1973)</w:t>
      </w:r>
      <w:r w:rsidR="00DD4C1F">
        <w:rPr>
          <w:rFonts w:eastAsiaTheme="minorEastAsia"/>
        </w:rPr>
        <w:fldChar w:fldCharType="end"/>
      </w:r>
      <w:r w:rsidR="00DD4C1F">
        <w:rPr>
          <w:rFonts w:eastAsiaTheme="minorEastAsia"/>
        </w:rPr>
        <w:t xml:space="preserve">, , which emphasizes the year to year changes and removes the effect of possible trend </w:t>
      </w:r>
      <w:r w:rsidR="00DD4C1F">
        <w:rPr>
          <w:rFonts w:eastAsiaTheme="minorEastAsia"/>
        </w:rPr>
        <w:fldChar w:fldCharType="begin"/>
      </w:r>
      <w:r>
        <w:rPr>
          <w:rFonts w:eastAsiaTheme="minorEastAsia"/>
        </w:rPr>
        <w:instrText xml:space="preserve"> ADDIN ZOTERO_ITEM CSL_CITATION {"citationID":"aEsjdE3k","properties":{"formattedCitation":"(Lep\\uc0\\u353{} et al., 2019)","plainCitation":"(Lepš et al., 2019)","noteIndex":0},"citationItems":[{"id":809,"uris":["http://zotero.org/users/local/9KqQoM1w/items/GYAZX4K6"],"itemData":{"id":809,"type":"article-journal","abstract":"What determines the stability of communities under environmental fluctuations remains one of the most debated questions in ecology. Scholars generally agree that the similarity in year-to-year fluctuations between species is an important determinant of this stability. Concordant fluctuations in species abundances through time (synchrony) decrease stability while discordance in fluctuations (anti-synchrony) should stabilize communities. Researchers have interpreted the community-wide degree of synchrony in temporal fluctuations as the outcome of different processes. However, existing synchrony measures depend not only on year-to-year species fluctuations, but also on long-term directional trends in species composition, for example due to land-use or climate change. The neglected effect of directional trends in species composition could cause an apparent increase in synchrony that is not due to year-to-year fluctuations, as species that simultaneously increase (or decrease) in abundance over time will appear correlated, even if they fluctuate discordantly from year to year. The opposite pattern is also conceivable, where different species show contrasting trends in their abundances, thus overestimating year-to-year anti-synchrony. Therefore, trends in species composition may limit our understanding of potential ecological mechanisms behind synchrony between species. We propose two easily implementable solutions, with corresponding R functions, for testing and accounting for the effect of trends in species composition on overall synchrony. The first approach is based on computing synchrony over the residuals of fitted species trends over time. The second approach, applicable to already existing indices, is based on three-terms local variance, i.e. computing variance over three-years-long, movable windows. We demonstrate these methods using simulations and data from real plant communities under long-term directional changes, discussing when one approach can be preferred. We show that accounting for long-term temporal trends is necessary and that separation of effect of trends and year-to-year fluctuation provides a better understanding of ecological mechanisms and their connections with ecological theory.","container-title":"Ecography","DOI":"10.1111/ecog.04528","ISSN":"1600-0587","issue":"10","language":"en","license":"© 2019 The Authors","note":"number: 10\n_eprint: https://onlinelibrary.wiley.com/doi/pdf/10.1111/ecog.04528","page":"1728-1741","source":"Wiley Online Library","title":"Accounting for long-term directional trends on year-to-year synchrony in species fluctuations","URL":"http://onlinelibrary.wiley.com/doi/abs/10.1111/ecog.04528","volume":"42","author":[{"family":"Lepš","given":"Jan"},{"family":"Götzenberger","given":"Lars"},{"family":"Valencia","given":"Enrique"},{"family":"Bello","given":"Francesco","dropping-particle":"de"}],"accessed":{"date-parts":[["2020",3,23]]},"issued":{"date-parts":[["2019"]]}}}],"schema":"https://github.com/citation-style-language/schema/raw/master/csl-citation.json"} </w:instrText>
      </w:r>
      <w:r w:rsidR="00DD4C1F">
        <w:rPr>
          <w:rFonts w:eastAsiaTheme="minorEastAsia"/>
        </w:rPr>
        <w:fldChar w:fldCharType="separate"/>
      </w:r>
      <w:r w:rsidRPr="00CA289B">
        <w:rPr>
          <w:rFonts w:ascii="Aptos" w:hAnsi="Aptos" w:cs="Times New Roman"/>
          <w:kern w:val="0"/>
        </w:rPr>
        <w:t>(Lepš et al., 2019)</w:t>
      </w:r>
      <w:r w:rsidR="00DD4C1F">
        <w:rPr>
          <w:rFonts w:eastAsiaTheme="minorEastAsia"/>
        </w:rPr>
        <w:fldChar w:fldCharType="end"/>
      </w:r>
      <w:r>
        <w:rPr>
          <w:rFonts w:eastAsiaTheme="minorEastAsia"/>
        </w:rPr>
        <w:t>.</w:t>
      </w:r>
    </w:p>
    <w:p w14:paraId="3F553374" w14:textId="22C7AA53" w:rsidR="00CA289B" w:rsidRPr="00CA289B" w:rsidRDefault="00CA289B" w:rsidP="00CA289B">
      <w:pPr>
        <w:rPr>
          <w:rFonts w:eastAsiaTheme="minorEastAsia"/>
        </w:rPr>
      </w:pPr>
      <m:oMathPara>
        <m:oMath>
          <m:r>
            <w:rPr>
              <w:rFonts w:ascii="Cambria Math" w:hAnsi="Cambria Math"/>
            </w:rPr>
            <m:t>Ttlqv=</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t-1</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num>
            <m:den>
              <m:r>
                <w:rPr>
                  <w:rFonts w:ascii="Cambria Math" w:hAnsi="Cambria Math"/>
                </w:rPr>
                <m:t>2*(t-1)</m:t>
              </m:r>
            </m:den>
          </m:f>
        </m:oMath>
      </m:oMathPara>
    </w:p>
    <w:p w14:paraId="6BFEB163" w14:textId="7219A2FB" w:rsidR="00CA289B" w:rsidRDefault="00CA289B" w:rsidP="00CA289B">
      <w:pPr>
        <w:rPr>
          <w:rFonts w:eastAsiaTheme="minorEastAsia"/>
        </w:rPr>
      </w:pPr>
    </w:p>
    <w:p w14:paraId="6B0140E7" w14:textId="0453F7FA" w:rsidR="006079A9" w:rsidRPr="00682DEB" w:rsidRDefault="006079A9" w:rsidP="00CA289B">
      <w:pPr>
        <w:rPr>
          <w:rFonts w:eastAsiaTheme="minorEastAsia"/>
        </w:rPr>
      </w:pPr>
      <w:r>
        <w:rPr>
          <w:rFonts w:eastAsiaTheme="minorEastAsia"/>
        </w:rPr>
        <w:lastRenderedPageBreak/>
        <w:t>CV</w:t>
      </w:r>
      <w:r w:rsidR="00682DEB">
        <w:rPr>
          <w:rFonts w:eastAsiaTheme="minorEastAsia"/>
        </w:rPr>
        <w:t xml:space="preserve"> as a temporal stability</w:t>
      </w:r>
      <w:r>
        <w:rPr>
          <w:rFonts w:eastAsiaTheme="minorEastAsia"/>
        </w:rPr>
        <w:t xml:space="preserve"> can be then calculated </w:t>
      </w:r>
      <w:r w:rsidR="004C2436">
        <w:rPr>
          <w:rFonts w:eastAsiaTheme="minorEastAsia"/>
        </w:rPr>
        <w:t xml:space="preserve">either with </w:t>
      </w:r>
      <w:r w:rsidR="00682DEB">
        <w:rPr>
          <w:rFonts w:eastAsiaTheme="minorEastAsia"/>
        </w:rPr>
        <w:t xml:space="preserve">square root of </w:t>
      </w:r>
      <w:r w:rsidR="00682DEB">
        <w:rPr>
          <w:rFonts w:eastAsiaTheme="minorEastAsia"/>
          <w:i/>
          <w:iCs/>
        </w:rPr>
        <w:t xml:space="preserve">var </w:t>
      </w:r>
      <w:r w:rsidR="00682DEB">
        <w:rPr>
          <w:rFonts w:eastAsiaTheme="minorEastAsia"/>
        </w:rPr>
        <w:t>in numerator (</w:t>
      </w:r>
      <w:proofErr w:type="spellStart"/>
      <w:r w:rsidR="00682DEB">
        <w:rPr>
          <w:rFonts w:eastAsiaTheme="minorEastAsia"/>
        </w:rPr>
        <w:t>CV</w:t>
      </w:r>
      <w:r w:rsidR="00682DEB">
        <w:rPr>
          <w:rFonts w:eastAsiaTheme="minorEastAsia"/>
          <w:vertAlign w:val="subscript"/>
        </w:rPr>
        <w:t>var</w:t>
      </w:r>
      <w:proofErr w:type="spellEnd"/>
      <w:r w:rsidR="00682DEB">
        <w:rPr>
          <w:rFonts w:eastAsiaTheme="minorEastAsia"/>
        </w:rPr>
        <w:t>), or as its detrended version (</w:t>
      </w:r>
      <w:proofErr w:type="spellStart"/>
      <w:r w:rsidR="00682DEB">
        <w:rPr>
          <w:rFonts w:eastAsiaTheme="minorEastAsia"/>
        </w:rPr>
        <w:t>CV</w:t>
      </w:r>
      <w:r w:rsidR="00682DEB">
        <w:rPr>
          <w:rFonts w:eastAsiaTheme="minorEastAsia"/>
          <w:vertAlign w:val="subscript"/>
        </w:rPr>
        <w:t>Ttlqv</w:t>
      </w:r>
      <w:proofErr w:type="spellEnd"/>
      <w:r w:rsidR="00682DEB">
        <w:rPr>
          <w:rFonts w:eastAsiaTheme="minorEastAsia"/>
        </w:rPr>
        <w:t xml:space="preserve">) with square root of </w:t>
      </w:r>
      <w:proofErr w:type="spellStart"/>
      <w:r w:rsidR="00682DEB">
        <w:rPr>
          <w:rFonts w:eastAsiaTheme="minorEastAsia"/>
          <w:i/>
          <w:iCs/>
        </w:rPr>
        <w:t>Ttlqv</w:t>
      </w:r>
      <w:proofErr w:type="spellEnd"/>
      <w:r w:rsidR="00682DEB">
        <w:rPr>
          <w:rFonts w:eastAsiaTheme="minorEastAsia"/>
          <w:i/>
          <w:iCs/>
        </w:rPr>
        <w:t xml:space="preserve"> </w:t>
      </w:r>
      <w:r w:rsidR="00682DEB">
        <w:rPr>
          <w:rFonts w:eastAsiaTheme="minorEastAsia"/>
        </w:rPr>
        <w:t xml:space="preserve"> in numerator. </w:t>
      </w:r>
    </w:p>
    <w:p w14:paraId="77C543EF" w14:textId="6A69F963" w:rsidR="00CA289B" w:rsidRPr="00DD4C1F" w:rsidRDefault="00CA289B" w:rsidP="00CA289B">
      <w:pPr>
        <w:rPr>
          <w:rFonts w:eastAsiaTheme="minorEastAsia"/>
        </w:rPr>
      </w:pPr>
      <w:r>
        <w:rPr>
          <w:rFonts w:eastAsiaTheme="minorEastAsia"/>
        </w:rPr>
        <w:t xml:space="preserve">In a very similar </w:t>
      </w:r>
      <w:r w:rsidR="006079A9">
        <w:rPr>
          <w:rFonts w:eastAsiaTheme="minorEastAsia"/>
        </w:rPr>
        <w:t xml:space="preserve">manner, we can calculate </w:t>
      </w:r>
      <w:r w:rsidR="00682DEB">
        <w:rPr>
          <w:rFonts w:eastAsiaTheme="minorEastAsia"/>
        </w:rPr>
        <w:t xml:space="preserve">temporal stability of species composition. For each observational unit, we can calculate its compositional average over the years, where each species has its biomass calculated as a </w:t>
      </w:r>
      <w:r w:rsidR="00EE1CD8">
        <w:rPr>
          <w:rFonts w:eastAsiaTheme="minorEastAsia"/>
        </w:rPr>
        <w:t xml:space="preserve">temporal </w:t>
      </w:r>
      <w:r w:rsidR="00682DEB">
        <w:rPr>
          <w:rFonts w:eastAsiaTheme="minorEastAsia"/>
        </w:rPr>
        <w:t xml:space="preserve">mean </w:t>
      </w:r>
      <w:r w:rsidR="00EE1CD8">
        <w:rPr>
          <w:rFonts w:eastAsiaTheme="minorEastAsia"/>
        </w:rPr>
        <w:t xml:space="preserve">over </w:t>
      </w:r>
      <w:proofErr w:type="spellStart"/>
      <w:r w:rsidR="00EE1CD8">
        <w:rPr>
          <w:rFonts w:eastAsiaTheme="minorEastAsia"/>
        </w:rPr>
        <w:t>th</w:t>
      </w:r>
      <w:proofErr w:type="spellEnd"/>
      <w:r w:rsidR="00EE1CD8">
        <w:rPr>
          <w:rFonts w:eastAsiaTheme="minorEastAsia"/>
        </w:rPr>
        <w:t xml:space="preserve"> period of observations.  The multivariate analogy </w:t>
      </w:r>
      <w:r w:rsidR="00ED7E5E">
        <w:rPr>
          <w:rFonts w:eastAsiaTheme="minorEastAsia"/>
        </w:rPr>
        <w:t xml:space="preserve">of variance would be </w:t>
      </w:r>
      <w:r w:rsidR="00EE1CD8">
        <w:rPr>
          <w:rFonts w:eastAsiaTheme="minorEastAsia"/>
        </w:rPr>
        <w:t xml:space="preserve"> </w:t>
      </w:r>
      <w:r w:rsidR="00682DEB">
        <w:rPr>
          <w:rFonts w:eastAsiaTheme="minorEastAsia"/>
        </w:rPr>
        <w:t xml:space="preserve">  </w:t>
      </w:r>
    </w:p>
    <w:p w14:paraId="2CC66EE7" w14:textId="77777777" w:rsidR="00CA289B" w:rsidRDefault="00CA289B">
      <w:pPr>
        <w:rPr>
          <w:rFonts w:eastAsiaTheme="minorEastAsia"/>
        </w:rPr>
      </w:pPr>
    </w:p>
    <w:p w14:paraId="23238EA7" w14:textId="2CC7F858" w:rsidR="00ED7E5E" w:rsidRPr="00DD4C1F" w:rsidRDefault="00000000" w:rsidP="00ED7E5E">
      <w:pPr>
        <w:rPr>
          <w:rFonts w:eastAsiaTheme="minorEastAsia"/>
        </w:rPr>
      </w:pPr>
      <m:oMathPara>
        <m:oMath>
          <m:sSub>
            <m:sSubPr>
              <m:ctrlPr>
                <w:rPr>
                  <w:rFonts w:ascii="Cambria Math" w:hAnsi="Cambria Math"/>
                  <w:i/>
                </w:rPr>
              </m:ctrlPr>
            </m:sSubPr>
            <m:e>
              <m:r>
                <w:rPr>
                  <w:rFonts w:ascii="Cambria Math" w:hAnsi="Cambria Math"/>
                </w:rPr>
                <m:t>var</m:t>
              </m:r>
            </m:e>
            <m:sub>
              <m:r>
                <w:rPr>
                  <w:rFonts w:ascii="Cambria Math" w:hAnsi="Cambria Math"/>
                </w:rPr>
                <m:t>mv</m:t>
              </m:r>
            </m:sub>
          </m:sSub>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t</m:t>
                  </m:r>
                </m:sup>
                <m:e>
                  <m:sSup>
                    <m:sSupPr>
                      <m:ctrlPr>
                        <w:rPr>
                          <w:rFonts w:ascii="Cambria Math" w:hAnsi="Cambria Math"/>
                          <w:i/>
                        </w:rPr>
                      </m:ctrlPr>
                    </m:sSupPr>
                    <m:e>
                      <m:d>
                        <m:dPr>
                          <m:ctrlPr>
                            <w:rPr>
                              <w:rFonts w:ascii="Cambria Math" w:hAnsi="Cambria Math"/>
                              <w:i/>
                            </w:rPr>
                          </m:ctrlPr>
                        </m:dPr>
                        <m:e>
                          <m:r>
                            <w:rPr>
                              <w:rFonts w:ascii="Cambria Math" w:hAnsi="Cambria Math"/>
                            </w:rPr>
                            <m:t>dist</m:t>
                          </m:r>
                          <m:d>
                            <m:dPr>
                              <m:ctrlPr>
                                <w:rPr>
                                  <w:rFonts w:ascii="Cambria Math" w:hAnsi="Cambria Math"/>
                                  <w:i/>
                                </w:rPr>
                              </m:ctrlPr>
                            </m:dPr>
                            <m:e>
                              <m:sSub>
                                <m:sSubPr>
                                  <m:ctrlPr>
                                    <w:rPr>
                                      <w:rFonts w:ascii="Cambria Math" w:hAnsi="Cambria Math"/>
                                      <w:i/>
                                    </w:rPr>
                                  </m:ctrlPr>
                                </m:sSubPr>
                                <m:e>
                                  <m:r>
                                    <w:rPr>
                                      <w:rFonts w:ascii="Cambria Math" w:hAnsi="Cambria Math"/>
                                    </w:rPr>
                                    <m:t>SpCom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SpCom</m:t>
                                  </m:r>
                                </m:e>
                                <m:sub>
                                  <m:r>
                                    <w:rPr>
                                      <w:rFonts w:ascii="Cambria Math" w:hAnsi="Cambria Math"/>
                                    </w:rPr>
                                    <m:t>mean</m:t>
                                  </m:r>
                                </m:sub>
                              </m:sSub>
                            </m:e>
                          </m:d>
                        </m:e>
                      </m:d>
                    </m:e>
                    <m:sup>
                      <m:r>
                        <w:rPr>
                          <w:rFonts w:ascii="Cambria Math" w:hAnsi="Cambria Math"/>
                        </w:rPr>
                        <m:t>2</m:t>
                      </m:r>
                    </m:sup>
                  </m:sSup>
                </m:e>
              </m:nary>
            </m:num>
            <m:den>
              <m:r>
                <w:rPr>
                  <w:rFonts w:ascii="Cambria Math" w:hAnsi="Cambria Math"/>
                </w:rPr>
                <m:t>t-1</m:t>
              </m:r>
            </m:den>
          </m:f>
        </m:oMath>
      </m:oMathPara>
    </w:p>
    <w:p w14:paraId="618F52B0" w14:textId="304884E6" w:rsidR="00144DB0" w:rsidRDefault="00ED7E5E">
      <w:r>
        <w:t xml:space="preserve">Where </w:t>
      </w:r>
      <m:oMath>
        <m:r>
          <w:rPr>
            <w:rFonts w:ascii="Cambria Math" w:hAnsi="Cambria Math"/>
          </w:rPr>
          <m:t>dist</m:t>
        </m:r>
        <m:d>
          <m:dPr>
            <m:ctrlPr>
              <w:rPr>
                <w:rFonts w:ascii="Cambria Math" w:hAnsi="Cambria Math"/>
                <w:i/>
              </w:rPr>
            </m:ctrlPr>
          </m:dPr>
          <m:e>
            <m:sSub>
              <m:sSubPr>
                <m:ctrlPr>
                  <w:rPr>
                    <w:rFonts w:ascii="Cambria Math" w:hAnsi="Cambria Math"/>
                    <w:i/>
                  </w:rPr>
                </m:ctrlPr>
              </m:sSubPr>
              <m:e>
                <m:r>
                  <w:rPr>
                    <w:rFonts w:ascii="Cambria Math" w:hAnsi="Cambria Math"/>
                  </w:rPr>
                  <m:t>SpCom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SpCom</m:t>
                </m:r>
              </m:e>
              <m:sub>
                <m:r>
                  <w:rPr>
                    <w:rFonts w:ascii="Cambria Math" w:hAnsi="Cambria Math"/>
                  </w:rPr>
                  <m:t>mean</m:t>
                </m:r>
              </m:sub>
            </m:sSub>
          </m:e>
        </m:d>
      </m:oMath>
      <w:r>
        <w:rPr>
          <w:i/>
          <w:iCs/>
        </w:rPr>
        <w:t xml:space="preserve"> </w:t>
      </w:r>
      <w:r>
        <w:t xml:space="preserve"> is the distance (dissimilarity) between species composition in year </w:t>
      </w:r>
      <w:proofErr w:type="spellStart"/>
      <w:r>
        <w:rPr>
          <w:i/>
          <w:iCs/>
        </w:rPr>
        <w:t>i</w:t>
      </w:r>
      <w:proofErr w:type="spellEnd"/>
      <w:r>
        <w:rPr>
          <w:i/>
          <w:iCs/>
        </w:rPr>
        <w:t xml:space="preserve"> </w:t>
      </w:r>
      <w:r>
        <w:t xml:space="preserve">and average species composition. </w:t>
      </w:r>
      <w:r w:rsidR="00F11EB6">
        <w:t>Should we use the (</w:t>
      </w:r>
      <w:proofErr w:type="spellStart"/>
      <w:r w:rsidR="00F11EB6">
        <w:t>nonstandardized</w:t>
      </w:r>
      <w:proofErr w:type="spellEnd"/>
      <w:r w:rsidR="00F11EB6">
        <w:t>) Euclidean distance, the analogy with the univariate approach will be straightforward and in the case that the community will be composed of a single species, we will get directly the CV.</w:t>
      </w:r>
    </w:p>
    <w:p w14:paraId="70963B46" w14:textId="224E2F39" w:rsidR="00F11EB6" w:rsidRDefault="00F11EB6">
      <w:r>
        <w:t>Similarly, we can also calculate the “detrended” analogy</w:t>
      </w:r>
      <w:r w:rsidR="004D100C">
        <w:t xml:space="preserve">, i.e. the analogy of </w:t>
      </w:r>
      <w:proofErr w:type="spellStart"/>
      <w:r w:rsidR="004D100C">
        <w:rPr>
          <w:i/>
          <w:iCs/>
        </w:rPr>
        <w:t>Ttlqv</w:t>
      </w:r>
      <w:proofErr w:type="spellEnd"/>
      <w:r w:rsidR="004D100C">
        <w:rPr>
          <w:i/>
          <w:iCs/>
        </w:rPr>
        <w:t>.</w:t>
      </w:r>
      <w:r>
        <w:t xml:space="preserve"> </w:t>
      </w:r>
    </w:p>
    <w:p w14:paraId="4717E5C8" w14:textId="77777777" w:rsidR="004D100C" w:rsidRDefault="004D100C"/>
    <w:p w14:paraId="6BDB4EAD" w14:textId="66ACC63A" w:rsidR="004D100C" w:rsidRPr="004D100C" w:rsidRDefault="00000000" w:rsidP="004D100C">
      <w:pPr>
        <w:rPr>
          <w:rFonts w:eastAsiaTheme="minorEastAsia"/>
        </w:rPr>
      </w:pPr>
      <m:oMathPara>
        <m:oMath>
          <m:sSub>
            <m:sSubPr>
              <m:ctrlPr>
                <w:rPr>
                  <w:rFonts w:ascii="Cambria Math" w:hAnsi="Cambria Math"/>
                  <w:i/>
                </w:rPr>
              </m:ctrlPr>
            </m:sSubPr>
            <m:e>
              <m:r>
                <w:rPr>
                  <w:rFonts w:ascii="Cambria Math" w:hAnsi="Cambria Math"/>
                </w:rPr>
                <m:t>Ttlqv</m:t>
              </m:r>
            </m:e>
            <m:sub>
              <m:r>
                <w:rPr>
                  <w:rFonts w:ascii="Cambria Math" w:hAnsi="Cambria Math"/>
                </w:rPr>
                <m:t>mv</m:t>
              </m:r>
            </m:sub>
          </m:sSub>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t-1</m:t>
                  </m:r>
                </m:sup>
                <m:e>
                  <m:sSup>
                    <m:sSupPr>
                      <m:ctrlPr>
                        <w:rPr>
                          <w:rFonts w:ascii="Cambria Math" w:hAnsi="Cambria Math"/>
                          <w:i/>
                        </w:rPr>
                      </m:ctrlPr>
                    </m:sSupPr>
                    <m:e>
                      <m:d>
                        <m:dPr>
                          <m:ctrlPr>
                            <w:rPr>
                              <w:rFonts w:ascii="Cambria Math" w:hAnsi="Cambria Math"/>
                              <w:i/>
                            </w:rPr>
                          </m:ctrlPr>
                        </m:dPr>
                        <m:e>
                          <m:r>
                            <w:rPr>
                              <w:rFonts w:ascii="Cambria Math" w:hAnsi="Cambria Math"/>
                            </w:rPr>
                            <m:t>dist</m:t>
                          </m:r>
                          <m:d>
                            <m:dPr>
                              <m:ctrlPr>
                                <w:rPr>
                                  <w:rFonts w:ascii="Cambria Math" w:hAnsi="Cambria Math"/>
                                  <w:i/>
                                </w:rPr>
                              </m:ctrlPr>
                            </m:dPr>
                            <m:e>
                              <m:sSub>
                                <m:sSubPr>
                                  <m:ctrlPr>
                                    <w:rPr>
                                      <w:rFonts w:ascii="Cambria Math" w:hAnsi="Cambria Math"/>
                                      <w:i/>
                                    </w:rPr>
                                  </m:ctrlPr>
                                </m:sSubPr>
                                <m:e>
                                  <m:r>
                                    <w:rPr>
                                      <w:rFonts w:ascii="Cambria Math" w:hAnsi="Cambria Math"/>
                                    </w:rPr>
                                    <m:t>SpCom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SpCom</m:t>
                                  </m:r>
                                </m:e>
                                <m:sub>
                                  <m:r>
                                    <w:rPr>
                                      <w:rFonts w:ascii="Cambria Math" w:hAnsi="Cambria Math"/>
                                    </w:rPr>
                                    <m:t>i+1</m:t>
                                  </m:r>
                                </m:sub>
                              </m:sSub>
                            </m:e>
                          </m:d>
                        </m:e>
                      </m:d>
                    </m:e>
                    <m:sup>
                      <m:r>
                        <w:rPr>
                          <w:rFonts w:ascii="Cambria Math" w:hAnsi="Cambria Math"/>
                        </w:rPr>
                        <m:t>2</m:t>
                      </m:r>
                    </m:sup>
                  </m:sSup>
                </m:e>
              </m:nary>
            </m:num>
            <m:den>
              <m:r>
                <w:rPr>
                  <w:rFonts w:ascii="Cambria Math" w:hAnsi="Cambria Math"/>
                </w:rPr>
                <m:t>2*(t-1)</m:t>
              </m:r>
            </m:den>
          </m:f>
        </m:oMath>
      </m:oMathPara>
    </w:p>
    <w:p w14:paraId="34D5B3A9" w14:textId="77777777" w:rsidR="004D100C" w:rsidRPr="00CA289B" w:rsidRDefault="004D100C" w:rsidP="004D100C">
      <w:pPr>
        <w:rPr>
          <w:rFonts w:eastAsiaTheme="minorEastAsia"/>
        </w:rPr>
      </w:pPr>
    </w:p>
    <w:p w14:paraId="250FD7EC" w14:textId="03A42312" w:rsidR="004D100C" w:rsidRDefault="006A60B5">
      <w:pPr>
        <w:rPr>
          <w:rFonts w:eastAsiaTheme="minorEastAsia"/>
        </w:rPr>
      </w:pPr>
      <w:r>
        <w:t xml:space="preserve">Similarly as for the univariate case, also here, we can calculate multivariate counterpart of s.d. as a square root of </w:t>
      </w:r>
      <m:oMath>
        <m:sSub>
          <m:sSubPr>
            <m:ctrlPr>
              <w:rPr>
                <w:rFonts w:ascii="Cambria Math" w:hAnsi="Cambria Math"/>
                <w:i/>
              </w:rPr>
            </m:ctrlPr>
          </m:sSubPr>
          <m:e>
            <m:r>
              <w:rPr>
                <w:rFonts w:ascii="Cambria Math" w:hAnsi="Cambria Math"/>
              </w:rPr>
              <m:t>var</m:t>
            </m:r>
          </m:e>
          <m:sub>
            <m:r>
              <w:rPr>
                <w:rFonts w:ascii="Cambria Math" w:hAnsi="Cambria Math"/>
              </w:rPr>
              <m:t>mv</m:t>
            </m:r>
          </m:sub>
        </m:sSub>
      </m:oMath>
      <w:r>
        <w:rPr>
          <w:rFonts w:eastAsiaTheme="minorEastAsia"/>
        </w:rPr>
        <w:t xml:space="preserve"> or </w:t>
      </w:r>
      <m:oMath>
        <m:sSub>
          <m:sSubPr>
            <m:ctrlPr>
              <w:rPr>
                <w:rFonts w:ascii="Cambria Math" w:hAnsi="Cambria Math"/>
                <w:i/>
              </w:rPr>
            </m:ctrlPr>
          </m:sSubPr>
          <m:e>
            <m:r>
              <w:rPr>
                <w:rFonts w:ascii="Cambria Math" w:hAnsi="Cambria Math"/>
              </w:rPr>
              <m:t>Ttlqv</m:t>
            </m:r>
          </m:e>
          <m:sub>
            <m:r>
              <w:rPr>
                <w:rFonts w:ascii="Cambria Math" w:hAnsi="Cambria Math"/>
              </w:rPr>
              <m:t>mv</m:t>
            </m:r>
          </m:sub>
        </m:sSub>
        <m:r>
          <w:rPr>
            <w:rFonts w:ascii="Cambria Math" w:hAnsi="Cambria Math"/>
          </w:rPr>
          <m:t xml:space="preserve">. </m:t>
        </m:r>
      </m:oMath>
      <w:r>
        <w:rPr>
          <w:rFonts w:eastAsiaTheme="minorEastAsia"/>
        </w:rPr>
        <w:t xml:space="preserve"> These need to be scaled, </w:t>
      </w:r>
      <w:proofErr w:type="spellStart"/>
      <w:r>
        <w:rPr>
          <w:rFonts w:eastAsiaTheme="minorEastAsia"/>
        </w:rPr>
        <w:t>i</w:t>
      </w:r>
      <w:proofErr w:type="spellEnd"/>
      <w:r>
        <w:rPr>
          <w:rFonts w:eastAsiaTheme="minorEastAsia"/>
        </w:rPr>
        <w:t>.;e. divided by mean, and analogically to univariate case, the mean should be the length of the vect</w:t>
      </w:r>
      <w:r w:rsidR="009207E0">
        <w:rPr>
          <w:rFonts w:eastAsiaTheme="minorEastAsia"/>
        </w:rPr>
        <w:t>o</w:t>
      </w:r>
      <w:r>
        <w:rPr>
          <w:rFonts w:eastAsiaTheme="minorEastAsia"/>
        </w:rPr>
        <w:t>r of</w:t>
      </w:r>
      <w:r w:rsidR="009207E0">
        <w:rPr>
          <w:rFonts w:eastAsiaTheme="minorEastAsia"/>
        </w:rPr>
        <w:t xml:space="preserve"> </w:t>
      </w:r>
      <m:oMath>
        <m:sSub>
          <m:sSubPr>
            <m:ctrlPr>
              <w:rPr>
                <w:rFonts w:ascii="Cambria Math" w:hAnsi="Cambria Math"/>
                <w:i/>
              </w:rPr>
            </m:ctrlPr>
          </m:sSubPr>
          <m:e>
            <m:r>
              <w:rPr>
                <w:rFonts w:ascii="Cambria Math" w:hAnsi="Cambria Math"/>
              </w:rPr>
              <m:t>SpCom</m:t>
            </m:r>
          </m:e>
          <m:sub>
            <m:r>
              <w:rPr>
                <w:rFonts w:ascii="Cambria Math" w:hAnsi="Cambria Math"/>
              </w:rPr>
              <m:t>mean</m:t>
            </m:r>
          </m:sub>
        </m:sSub>
      </m:oMath>
      <w:r w:rsidR="009207E0">
        <w:rPr>
          <w:rFonts w:eastAsiaTheme="minorEastAsia"/>
        </w:rPr>
        <w:t xml:space="preserve"> , i.e. </w:t>
      </w:r>
      <m:oMath>
        <m:rad>
          <m:radPr>
            <m:degHide m:val="1"/>
            <m:ctrlPr>
              <w:rPr>
                <w:rFonts w:ascii="Cambria Math" w:eastAsiaTheme="minorEastAsia" w:hAnsi="Cambria Math"/>
                <w:i/>
              </w:rPr>
            </m:ctrlPr>
          </m:radPr>
          <m:deg/>
          <m:e>
            <m:nary>
              <m:naryPr>
                <m:chr m:val="∑"/>
                <m:limLoc m:val="subSup"/>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S</m:t>
                </m:r>
              </m:sup>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j</m:t>
                    </m:r>
                  </m:sub>
                  <m:sup>
                    <m:r>
                      <w:rPr>
                        <w:rFonts w:ascii="Cambria Math" w:eastAsiaTheme="minorEastAsia" w:hAnsi="Cambria Math"/>
                      </w:rPr>
                      <m:t>2</m:t>
                    </m:r>
                  </m:sup>
                </m:sSubSup>
              </m:e>
            </m:nary>
          </m:e>
        </m:rad>
      </m:oMath>
      <w:r w:rsidR="009207E0">
        <w:rPr>
          <w:rFonts w:eastAsiaTheme="minorEastAsia"/>
        </w:rPr>
        <w:t xml:space="preserve"> </w:t>
      </w:r>
      <w:r>
        <w:rPr>
          <w:rFonts w:eastAsiaTheme="minorEastAsia"/>
        </w:rPr>
        <w:t xml:space="preserve"> </w:t>
      </w:r>
      <w:r w:rsidR="009207E0">
        <w:rPr>
          <w:rFonts w:eastAsiaTheme="minorEastAsia"/>
        </w:rPr>
        <w:t xml:space="preserve">, where </w:t>
      </w:r>
      <w:proofErr w:type="spellStart"/>
      <w:r w:rsidR="009207E0">
        <w:rPr>
          <w:rFonts w:eastAsiaTheme="minorEastAsia"/>
          <w:i/>
          <w:iCs/>
        </w:rPr>
        <w:t>y</w:t>
      </w:r>
      <w:r w:rsidR="009207E0">
        <w:rPr>
          <w:rFonts w:eastAsiaTheme="minorEastAsia"/>
          <w:i/>
          <w:iCs/>
          <w:vertAlign w:val="subscript"/>
        </w:rPr>
        <w:t>j</w:t>
      </w:r>
      <w:proofErr w:type="spellEnd"/>
      <w:r w:rsidR="009207E0">
        <w:rPr>
          <w:rFonts w:eastAsiaTheme="minorEastAsia"/>
          <w:i/>
          <w:iCs/>
        </w:rPr>
        <w:t xml:space="preserve"> </w:t>
      </w:r>
      <w:r w:rsidR="009207E0">
        <w:rPr>
          <w:rFonts w:eastAsiaTheme="minorEastAsia"/>
        </w:rPr>
        <w:t xml:space="preserve">is average biomass of species </w:t>
      </w:r>
      <w:r w:rsidR="009207E0">
        <w:rPr>
          <w:rFonts w:eastAsiaTheme="minorEastAsia"/>
          <w:i/>
          <w:iCs/>
        </w:rPr>
        <w:t xml:space="preserve">j </w:t>
      </w:r>
      <w:r w:rsidR="009207E0">
        <w:rPr>
          <w:rFonts w:eastAsiaTheme="minorEastAsia"/>
        </w:rPr>
        <w:t xml:space="preserve">and </w:t>
      </w:r>
      <w:r w:rsidR="009207E0">
        <w:rPr>
          <w:rFonts w:eastAsiaTheme="minorEastAsia"/>
          <w:i/>
          <w:iCs/>
        </w:rPr>
        <w:t xml:space="preserve">S </w:t>
      </w:r>
      <w:r w:rsidR="009207E0">
        <w:rPr>
          <w:rFonts w:eastAsiaTheme="minorEastAsia"/>
        </w:rPr>
        <w:t xml:space="preserve">is total number of species. However, here we need to distinguish -similarly as in any compositional dissimilarity index  - are we interested in differences in relative species proportions, or in their absolute sizes. In the case, </w:t>
      </w:r>
      <w:r w:rsidR="00A06A84">
        <w:rPr>
          <w:rFonts w:eastAsiaTheme="minorEastAsia"/>
        </w:rPr>
        <w:t xml:space="preserve">of dissimilarity in relative proportions, the chord distance is ideal measure of dissimilarity (CITACE, </w:t>
      </w:r>
      <w:proofErr w:type="spellStart"/>
      <w:r w:rsidR="00A06A84">
        <w:rPr>
          <w:rFonts w:eastAsiaTheme="minorEastAsia"/>
        </w:rPr>
        <w:t>asi</w:t>
      </w:r>
      <w:proofErr w:type="spellEnd"/>
      <w:r w:rsidR="00A06A84">
        <w:rPr>
          <w:rFonts w:eastAsiaTheme="minorEastAsia"/>
        </w:rPr>
        <w:t xml:space="preserve"> </w:t>
      </w:r>
      <w:proofErr w:type="spellStart"/>
      <w:r w:rsidR="00A06A84">
        <w:rPr>
          <w:rFonts w:eastAsiaTheme="minorEastAsia"/>
        </w:rPr>
        <w:t>Orloci</w:t>
      </w:r>
      <w:proofErr w:type="spellEnd"/>
      <w:r w:rsidR="00A06A84">
        <w:rPr>
          <w:rFonts w:eastAsiaTheme="minorEastAsia"/>
        </w:rPr>
        <w:t xml:space="preserve"> </w:t>
      </w:r>
      <w:proofErr w:type="spellStart"/>
      <w:r w:rsidR="00A06A84">
        <w:rPr>
          <w:rFonts w:eastAsiaTheme="minorEastAsia"/>
        </w:rPr>
        <w:t>nebo</w:t>
      </w:r>
      <w:proofErr w:type="spellEnd"/>
      <w:r w:rsidR="00A06A84">
        <w:rPr>
          <w:rFonts w:eastAsiaTheme="minorEastAsia"/>
        </w:rPr>
        <w:t xml:space="preserve"> </w:t>
      </w:r>
      <w:proofErr w:type="spellStart"/>
      <w:r w:rsidR="00A06A84">
        <w:rPr>
          <w:rFonts w:eastAsiaTheme="minorEastAsia"/>
        </w:rPr>
        <w:t>PIelou</w:t>
      </w:r>
      <w:proofErr w:type="spellEnd"/>
      <w:r w:rsidR="00A06A84">
        <w:rPr>
          <w:rFonts w:eastAsiaTheme="minorEastAsia"/>
        </w:rPr>
        <w:t xml:space="preserve">, </w:t>
      </w:r>
      <w:proofErr w:type="spellStart"/>
      <w:r w:rsidR="00A06A84">
        <w:rPr>
          <w:rFonts w:eastAsiaTheme="minorEastAsia"/>
        </w:rPr>
        <w:t>prip</w:t>
      </w:r>
      <w:proofErr w:type="spellEnd"/>
      <w:r w:rsidR="00A06A84">
        <w:rPr>
          <w:rFonts w:eastAsiaTheme="minorEastAsia"/>
        </w:rPr>
        <w:t xml:space="preserve"> </w:t>
      </w:r>
      <w:proofErr w:type="spellStart"/>
      <w:r w:rsidR="00A06A84">
        <w:rPr>
          <w:rFonts w:eastAsiaTheme="minorEastAsia"/>
        </w:rPr>
        <w:t>Smilauer</w:t>
      </w:r>
      <w:proofErr w:type="spellEnd"/>
      <w:r w:rsidR="00A06A84">
        <w:rPr>
          <w:rFonts w:eastAsiaTheme="minorEastAsia"/>
        </w:rPr>
        <w:t xml:space="preserve"> </w:t>
      </w:r>
      <w:proofErr w:type="spellStart"/>
      <w:r w:rsidR="00A06A84">
        <w:rPr>
          <w:rFonts w:eastAsiaTheme="minorEastAsia"/>
        </w:rPr>
        <w:t>Leps</w:t>
      </w:r>
      <w:proofErr w:type="spellEnd"/>
      <w:r w:rsidR="00A06A84">
        <w:rPr>
          <w:rFonts w:eastAsiaTheme="minorEastAsia"/>
        </w:rPr>
        <w:t xml:space="preserve"> </w:t>
      </w:r>
      <w:proofErr w:type="spellStart"/>
      <w:r w:rsidR="00A06A84">
        <w:rPr>
          <w:rFonts w:eastAsiaTheme="minorEastAsia"/>
        </w:rPr>
        <w:t>Multivar</w:t>
      </w:r>
      <w:proofErr w:type="spellEnd"/>
      <w:r w:rsidR="00A06A84">
        <w:rPr>
          <w:rFonts w:eastAsiaTheme="minorEastAsia"/>
        </w:rPr>
        <w:t xml:space="preserve">) – for it, each vector describing the species proportions is standardized to the unit length – this simplifies the situation, because the </w:t>
      </w:r>
      <w:proofErr w:type="spellStart"/>
      <w:r w:rsidR="00A06A84">
        <w:rPr>
          <w:rFonts w:eastAsiaTheme="minorEastAsia"/>
        </w:rPr>
        <w:t>denumerator</w:t>
      </w:r>
      <w:proofErr w:type="spellEnd"/>
      <w:r w:rsidR="00A06A84">
        <w:rPr>
          <w:rFonts w:eastAsiaTheme="minorEastAsia"/>
        </w:rPr>
        <w:t xml:space="preserve"> will always be equal one.  There are possibilities to experiment with other dissimilarity measures. However, it is important the for the non-standardized dissimilarities, we can expect some positive </w:t>
      </w:r>
      <w:r w:rsidR="00A06A84">
        <w:rPr>
          <w:rFonts w:eastAsiaTheme="minorEastAsia"/>
        </w:rPr>
        <w:lastRenderedPageBreak/>
        <w:t>correlation of stability measures -  particularly, if dominants vary a lot, we can expect also total biomass to vary a lot, On the contrary, the relative proportions should be mathematically independent of the changes in species proportion</w:t>
      </w:r>
      <w:r w:rsidR="00FB7D2C">
        <w:rPr>
          <w:rFonts w:eastAsiaTheme="minorEastAsia"/>
        </w:rPr>
        <w:t xml:space="preserve">- however, the theory predicts the </w:t>
      </w:r>
      <w:proofErr w:type="spellStart"/>
      <w:r w:rsidR="00FB7D2C">
        <w:rPr>
          <w:rFonts w:eastAsiaTheme="minorEastAsia"/>
        </w:rPr>
        <w:t>asynchrom</w:t>
      </w:r>
      <w:proofErr w:type="spellEnd"/>
      <w:r w:rsidR="00FB7D2C">
        <w:rPr>
          <w:rFonts w:eastAsiaTheme="minorEastAsia"/>
        </w:rPr>
        <w:t xml:space="preserve"> – i.e. change in relative proportions – should stabilize the total biomass. </w:t>
      </w:r>
    </w:p>
    <w:p w14:paraId="2CC576E1" w14:textId="24DB928B" w:rsidR="00A06A84" w:rsidRDefault="00A06A84">
      <w:pPr>
        <w:rPr>
          <w:rFonts w:eastAsiaTheme="minorEastAsia"/>
        </w:rPr>
      </w:pPr>
      <w:r>
        <w:rPr>
          <w:rFonts w:eastAsiaTheme="minorEastAsia"/>
        </w:rPr>
        <w:t>Another question to be investigated are possible transformations of species biomass – probably, log(x+1), or the van der Maarel power transformation (</w:t>
      </w:r>
      <w:proofErr w:type="spellStart"/>
      <w:r>
        <w:rPr>
          <w:rFonts w:eastAsiaTheme="minorEastAsia"/>
        </w:rPr>
        <w:t>asi</w:t>
      </w:r>
      <w:proofErr w:type="spellEnd"/>
      <w:r>
        <w:rPr>
          <w:rFonts w:eastAsiaTheme="minorEastAsia"/>
        </w:rPr>
        <w:t xml:space="preserve"> </w:t>
      </w:r>
      <w:proofErr w:type="spellStart"/>
      <w:r>
        <w:rPr>
          <w:rFonts w:eastAsiaTheme="minorEastAsia"/>
        </w:rPr>
        <w:t>Smilauer</w:t>
      </w:r>
      <w:proofErr w:type="spellEnd"/>
      <w:r>
        <w:rPr>
          <w:rFonts w:eastAsiaTheme="minorEastAsia"/>
        </w:rPr>
        <w:t xml:space="preserve"> </w:t>
      </w:r>
      <w:proofErr w:type="spellStart"/>
      <w:r>
        <w:rPr>
          <w:rFonts w:eastAsiaTheme="minorEastAsia"/>
        </w:rPr>
        <w:t>Leps</w:t>
      </w:r>
      <w:proofErr w:type="spellEnd"/>
      <w:r>
        <w:rPr>
          <w:rFonts w:eastAsiaTheme="minorEastAsia"/>
        </w:rPr>
        <w:t xml:space="preserve"> </w:t>
      </w:r>
      <w:proofErr w:type="spellStart"/>
      <w:r>
        <w:rPr>
          <w:rFonts w:eastAsiaTheme="minorEastAsia"/>
        </w:rPr>
        <w:t>citovat</w:t>
      </w:r>
      <w:proofErr w:type="spellEnd"/>
      <w:r>
        <w:rPr>
          <w:rFonts w:eastAsiaTheme="minorEastAsia"/>
        </w:rPr>
        <w:t xml:space="preserve">)  - from conservation point of view, the compositional stability of </w:t>
      </w:r>
      <w:proofErr w:type="spellStart"/>
      <w:r w:rsidR="00097EFE">
        <w:rPr>
          <w:rFonts w:eastAsiaTheme="minorEastAsia"/>
        </w:rPr>
        <w:t>suboprdinate</w:t>
      </w:r>
      <w:proofErr w:type="spellEnd"/>
      <w:r w:rsidR="00097EFE">
        <w:rPr>
          <w:rFonts w:eastAsiaTheme="minorEastAsia"/>
        </w:rPr>
        <w:t xml:space="preserve"> species might be of higher importance; </w:t>
      </w:r>
      <w:r>
        <w:rPr>
          <w:rFonts w:eastAsiaTheme="minorEastAsia"/>
        </w:rPr>
        <w:t xml:space="preserve"> </w:t>
      </w:r>
    </w:p>
    <w:p w14:paraId="179E33B6" w14:textId="77777777" w:rsidR="00B319A8" w:rsidRDefault="00B319A8">
      <w:pPr>
        <w:rPr>
          <w:rFonts w:eastAsiaTheme="minorEastAsia"/>
        </w:rPr>
      </w:pPr>
    </w:p>
    <w:p w14:paraId="63AB57A8" w14:textId="77777777" w:rsidR="00B319A8" w:rsidRDefault="00B319A8">
      <w:pPr>
        <w:rPr>
          <w:rFonts w:eastAsiaTheme="minorEastAsia"/>
        </w:rPr>
      </w:pPr>
      <w:r>
        <w:rPr>
          <w:rFonts w:eastAsiaTheme="minorEastAsia"/>
        </w:rPr>
        <w:t>Probably, for creative publishing, the focus should be on ecology, not methodology – i.e. which of the experimental factors are important for the stability of total biomass (surrogate for function) and which for species composition.</w:t>
      </w:r>
    </w:p>
    <w:p w14:paraId="4BE6741B" w14:textId="1649C7D8" w:rsidR="00B319A8" w:rsidRDefault="00B319A8">
      <w:pPr>
        <w:rPr>
          <w:rFonts w:eastAsiaTheme="minorEastAsia"/>
        </w:rPr>
      </w:pPr>
      <w:r>
        <w:rPr>
          <w:rFonts w:eastAsiaTheme="minorEastAsia"/>
        </w:rPr>
        <w:t xml:space="preserve">From methodology point of view, the most important will be (with ecological consequences) the effect of log transformation of species </w:t>
      </w:r>
      <w:r w:rsidR="00281022">
        <w:rPr>
          <w:rFonts w:eastAsiaTheme="minorEastAsia"/>
        </w:rPr>
        <w:t xml:space="preserve">quantities (log transformation should not be used for synchrony, and not for total biomass). This will explain, whether the dissimilarity is focused on dominants (without log(100x+1) transformation), or attempts to weights all the species equally (with transformation, practically measures ratio, not difference in species quantities).  Another interesting result (we already know it). The difference between using variance and Two term local variance (i.e. </w:t>
      </w:r>
      <w:proofErr w:type="spellStart"/>
      <w:r w:rsidR="00281022">
        <w:rPr>
          <w:rFonts w:eastAsiaTheme="minorEastAsia"/>
        </w:rPr>
        <w:t>the</w:t>
      </w:r>
      <w:proofErr w:type="spellEnd"/>
      <w:r w:rsidR="00281022">
        <w:rPr>
          <w:rFonts w:eastAsiaTheme="minorEastAsia"/>
        </w:rPr>
        <w:t xml:space="preserve"> difference between total variation, regardless of order of observations for var and year to year variation for </w:t>
      </w:r>
      <w:proofErr w:type="spellStart"/>
      <w:r w:rsidR="00281022">
        <w:rPr>
          <w:rFonts w:eastAsiaTheme="minorEastAsia"/>
        </w:rPr>
        <w:t>Ttlqv</w:t>
      </w:r>
      <w:proofErr w:type="spellEnd"/>
      <w:r w:rsidR="00281022">
        <w:rPr>
          <w:rFonts w:eastAsiaTheme="minorEastAsia"/>
        </w:rPr>
        <w:t xml:space="preserve">)  has negligible effect on total biomass, but significantly decreases the variation for species composition. </w:t>
      </w:r>
    </w:p>
    <w:p w14:paraId="39F01612" w14:textId="77777777" w:rsidR="00B319A8" w:rsidRDefault="00B319A8">
      <w:pPr>
        <w:rPr>
          <w:rFonts w:eastAsiaTheme="minorEastAsia"/>
        </w:rPr>
      </w:pPr>
    </w:p>
    <w:p w14:paraId="67A44D42" w14:textId="77777777" w:rsidR="00B319A8" w:rsidRDefault="00B319A8">
      <w:pPr>
        <w:rPr>
          <w:rFonts w:eastAsiaTheme="minorEastAsia"/>
        </w:rPr>
      </w:pPr>
    </w:p>
    <w:p w14:paraId="60618477" w14:textId="77777777" w:rsidR="00E26D86" w:rsidRDefault="00E26D86">
      <w:pPr>
        <w:rPr>
          <w:rFonts w:eastAsiaTheme="minorEastAsia"/>
        </w:rPr>
      </w:pPr>
    </w:p>
    <w:p w14:paraId="16F16734" w14:textId="77777777" w:rsidR="00E26D86" w:rsidRPr="00E26D86" w:rsidRDefault="00E26D86" w:rsidP="00E26D86">
      <w:pPr>
        <w:pStyle w:val="Bibliography"/>
        <w:rPr>
          <w:rFonts w:ascii="Aptos" w:hAnsi="Aptos"/>
        </w:rPr>
      </w:pPr>
      <w:r>
        <w:fldChar w:fldCharType="begin"/>
      </w:r>
      <w:r>
        <w:instrText xml:space="preserve"> ADDIN ZOTERO_BIBL {"uncited":[],"omitted":[],"custom":[]} CSL_BIBLIOGRAPHY </w:instrText>
      </w:r>
      <w:r>
        <w:fldChar w:fldCharType="separate"/>
      </w:r>
      <w:r w:rsidRPr="00E26D86">
        <w:rPr>
          <w:rFonts w:ascii="Aptos" w:hAnsi="Aptos"/>
        </w:rPr>
        <w:t xml:space="preserve">Hill, M. O. (1973). The Intensity of Spatial Pattern in Plant Communities. </w:t>
      </w:r>
      <w:r w:rsidRPr="00E26D86">
        <w:rPr>
          <w:rFonts w:ascii="Aptos" w:hAnsi="Aptos"/>
          <w:i/>
          <w:iCs/>
        </w:rPr>
        <w:t>The Journal of Ecology</w:t>
      </w:r>
      <w:r w:rsidRPr="00E26D86">
        <w:rPr>
          <w:rFonts w:ascii="Aptos" w:hAnsi="Aptos"/>
        </w:rPr>
        <w:t xml:space="preserve">, </w:t>
      </w:r>
      <w:r w:rsidRPr="00E26D86">
        <w:rPr>
          <w:rFonts w:ascii="Aptos" w:hAnsi="Aptos"/>
          <w:i/>
          <w:iCs/>
        </w:rPr>
        <w:t>61</w:t>
      </w:r>
      <w:r w:rsidRPr="00E26D86">
        <w:rPr>
          <w:rFonts w:ascii="Aptos" w:hAnsi="Aptos"/>
        </w:rPr>
        <w:t>(1), 225. https://doi.org/10.2307/2258930</w:t>
      </w:r>
    </w:p>
    <w:p w14:paraId="4610F129" w14:textId="77777777" w:rsidR="00E26D86" w:rsidRPr="00E26D86" w:rsidRDefault="00E26D86" w:rsidP="00E26D86">
      <w:pPr>
        <w:pStyle w:val="Bibliography"/>
        <w:rPr>
          <w:rFonts w:ascii="Aptos" w:hAnsi="Aptos"/>
        </w:rPr>
      </w:pPr>
      <w:r w:rsidRPr="00E26D86">
        <w:rPr>
          <w:rFonts w:ascii="Aptos" w:hAnsi="Aptos"/>
        </w:rPr>
        <w:t xml:space="preserve">Lepš, J., </w:t>
      </w:r>
      <w:proofErr w:type="spellStart"/>
      <w:r w:rsidRPr="00E26D86">
        <w:rPr>
          <w:rFonts w:ascii="Aptos" w:hAnsi="Aptos"/>
        </w:rPr>
        <w:t>Götzenberger</w:t>
      </w:r>
      <w:proofErr w:type="spellEnd"/>
      <w:r w:rsidRPr="00E26D86">
        <w:rPr>
          <w:rFonts w:ascii="Aptos" w:hAnsi="Aptos"/>
        </w:rPr>
        <w:t xml:space="preserve">, L., Valencia, E., &amp; Bello, F. de. (2019). Accounting for long-term directional trends on year-to-year synchrony in species fluctuations. </w:t>
      </w:r>
      <w:proofErr w:type="spellStart"/>
      <w:r w:rsidRPr="00E26D86">
        <w:rPr>
          <w:rFonts w:ascii="Aptos" w:hAnsi="Aptos"/>
          <w:i/>
          <w:iCs/>
        </w:rPr>
        <w:t>Ecography</w:t>
      </w:r>
      <w:proofErr w:type="spellEnd"/>
      <w:r w:rsidRPr="00E26D86">
        <w:rPr>
          <w:rFonts w:ascii="Aptos" w:hAnsi="Aptos"/>
        </w:rPr>
        <w:t xml:space="preserve">, </w:t>
      </w:r>
      <w:r w:rsidRPr="00E26D86">
        <w:rPr>
          <w:rFonts w:ascii="Aptos" w:hAnsi="Aptos"/>
          <w:i/>
          <w:iCs/>
        </w:rPr>
        <w:t>42</w:t>
      </w:r>
      <w:r w:rsidRPr="00E26D86">
        <w:rPr>
          <w:rFonts w:ascii="Aptos" w:hAnsi="Aptos"/>
        </w:rPr>
        <w:t>(10), Article 10. https://doi.org/10.1111/ecog.04528</w:t>
      </w:r>
    </w:p>
    <w:p w14:paraId="2E80A9AE" w14:textId="024DCF87" w:rsidR="00E26D86" w:rsidRPr="009207E0" w:rsidRDefault="00E26D86">
      <w:r>
        <w:fldChar w:fldCharType="end"/>
      </w:r>
    </w:p>
    <w:sectPr w:rsidR="00E26D86" w:rsidRPr="009207E0">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6D3AD" w14:textId="77777777" w:rsidR="00223CB2" w:rsidRDefault="00223CB2" w:rsidP="00A06A84">
      <w:pPr>
        <w:spacing w:after="0" w:line="240" w:lineRule="auto"/>
      </w:pPr>
      <w:r>
        <w:separator/>
      </w:r>
    </w:p>
  </w:endnote>
  <w:endnote w:type="continuationSeparator" w:id="0">
    <w:p w14:paraId="4865B5F9" w14:textId="77777777" w:rsidR="00223CB2" w:rsidRDefault="00223CB2" w:rsidP="00A06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448137"/>
      <w:docPartObj>
        <w:docPartGallery w:val="Page Numbers (Bottom of Page)"/>
        <w:docPartUnique/>
      </w:docPartObj>
    </w:sdtPr>
    <w:sdtEndPr>
      <w:rPr>
        <w:noProof/>
      </w:rPr>
    </w:sdtEndPr>
    <w:sdtContent>
      <w:p w14:paraId="3480E57B" w14:textId="57D496F4" w:rsidR="00A06A84" w:rsidRDefault="00A06A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2B2708" w14:textId="77777777" w:rsidR="00A06A84" w:rsidRDefault="00A06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863BB" w14:textId="77777777" w:rsidR="00223CB2" w:rsidRDefault="00223CB2" w:rsidP="00A06A84">
      <w:pPr>
        <w:spacing w:after="0" w:line="240" w:lineRule="auto"/>
      </w:pPr>
      <w:r>
        <w:separator/>
      </w:r>
    </w:p>
  </w:footnote>
  <w:footnote w:type="continuationSeparator" w:id="0">
    <w:p w14:paraId="22770076" w14:textId="77777777" w:rsidR="00223CB2" w:rsidRDefault="00223CB2" w:rsidP="00A06A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DB0"/>
    <w:rsid w:val="00051BEF"/>
    <w:rsid w:val="00097EFE"/>
    <w:rsid w:val="00144DB0"/>
    <w:rsid w:val="00223CB2"/>
    <w:rsid w:val="00281022"/>
    <w:rsid w:val="003328FD"/>
    <w:rsid w:val="004C2436"/>
    <w:rsid w:val="004D100C"/>
    <w:rsid w:val="006079A9"/>
    <w:rsid w:val="00682DEB"/>
    <w:rsid w:val="006A60B5"/>
    <w:rsid w:val="00820D77"/>
    <w:rsid w:val="00823779"/>
    <w:rsid w:val="00865409"/>
    <w:rsid w:val="009207E0"/>
    <w:rsid w:val="009E4F22"/>
    <w:rsid w:val="00A06A84"/>
    <w:rsid w:val="00B319A8"/>
    <w:rsid w:val="00CA289B"/>
    <w:rsid w:val="00DD4C1F"/>
    <w:rsid w:val="00E26D86"/>
    <w:rsid w:val="00E633F4"/>
    <w:rsid w:val="00ED7E5E"/>
    <w:rsid w:val="00EE1CD8"/>
    <w:rsid w:val="00F11EB6"/>
    <w:rsid w:val="00FB7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6B98"/>
  <w15:chartTrackingRefBased/>
  <w15:docId w15:val="{2B483B93-F6F7-4061-8637-693F37107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DB0"/>
    <w:rPr>
      <w:rFonts w:eastAsiaTheme="majorEastAsia" w:cstheme="majorBidi"/>
      <w:color w:val="272727" w:themeColor="text1" w:themeTint="D8"/>
    </w:rPr>
  </w:style>
  <w:style w:type="paragraph" w:styleId="Title">
    <w:name w:val="Title"/>
    <w:basedOn w:val="Normal"/>
    <w:next w:val="Normal"/>
    <w:link w:val="TitleChar"/>
    <w:uiPriority w:val="10"/>
    <w:qFormat/>
    <w:rsid w:val="00144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DB0"/>
    <w:pPr>
      <w:spacing w:before="160"/>
      <w:jc w:val="center"/>
    </w:pPr>
    <w:rPr>
      <w:i/>
      <w:iCs/>
      <w:color w:val="404040" w:themeColor="text1" w:themeTint="BF"/>
    </w:rPr>
  </w:style>
  <w:style w:type="character" w:customStyle="1" w:styleId="QuoteChar">
    <w:name w:val="Quote Char"/>
    <w:basedOn w:val="DefaultParagraphFont"/>
    <w:link w:val="Quote"/>
    <w:uiPriority w:val="29"/>
    <w:rsid w:val="00144DB0"/>
    <w:rPr>
      <w:i/>
      <w:iCs/>
      <w:color w:val="404040" w:themeColor="text1" w:themeTint="BF"/>
    </w:rPr>
  </w:style>
  <w:style w:type="paragraph" w:styleId="ListParagraph">
    <w:name w:val="List Paragraph"/>
    <w:basedOn w:val="Normal"/>
    <w:uiPriority w:val="34"/>
    <w:qFormat/>
    <w:rsid w:val="00144DB0"/>
    <w:pPr>
      <w:ind w:left="720"/>
      <w:contextualSpacing/>
    </w:pPr>
  </w:style>
  <w:style w:type="character" w:styleId="IntenseEmphasis">
    <w:name w:val="Intense Emphasis"/>
    <w:basedOn w:val="DefaultParagraphFont"/>
    <w:uiPriority w:val="21"/>
    <w:qFormat/>
    <w:rsid w:val="00144DB0"/>
    <w:rPr>
      <w:i/>
      <w:iCs/>
      <w:color w:val="0F4761" w:themeColor="accent1" w:themeShade="BF"/>
    </w:rPr>
  </w:style>
  <w:style w:type="paragraph" w:styleId="IntenseQuote">
    <w:name w:val="Intense Quote"/>
    <w:basedOn w:val="Normal"/>
    <w:next w:val="Normal"/>
    <w:link w:val="IntenseQuoteChar"/>
    <w:uiPriority w:val="30"/>
    <w:qFormat/>
    <w:rsid w:val="00144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DB0"/>
    <w:rPr>
      <w:i/>
      <w:iCs/>
      <w:color w:val="0F4761" w:themeColor="accent1" w:themeShade="BF"/>
    </w:rPr>
  </w:style>
  <w:style w:type="character" w:styleId="IntenseReference">
    <w:name w:val="Intense Reference"/>
    <w:basedOn w:val="DefaultParagraphFont"/>
    <w:uiPriority w:val="32"/>
    <w:qFormat/>
    <w:rsid w:val="00144DB0"/>
    <w:rPr>
      <w:b/>
      <w:bCs/>
      <w:smallCaps/>
      <w:color w:val="0F4761" w:themeColor="accent1" w:themeShade="BF"/>
      <w:spacing w:val="5"/>
    </w:rPr>
  </w:style>
  <w:style w:type="character" w:styleId="PlaceholderText">
    <w:name w:val="Placeholder Text"/>
    <w:basedOn w:val="DefaultParagraphFont"/>
    <w:uiPriority w:val="99"/>
    <w:semiHidden/>
    <w:rsid w:val="00051BEF"/>
    <w:rPr>
      <w:color w:val="666666"/>
    </w:rPr>
  </w:style>
  <w:style w:type="paragraph" w:styleId="Header">
    <w:name w:val="header"/>
    <w:basedOn w:val="Normal"/>
    <w:link w:val="HeaderChar"/>
    <w:uiPriority w:val="99"/>
    <w:unhideWhenUsed/>
    <w:rsid w:val="00A06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A84"/>
  </w:style>
  <w:style w:type="paragraph" w:styleId="Footer">
    <w:name w:val="footer"/>
    <w:basedOn w:val="Normal"/>
    <w:link w:val="FooterChar"/>
    <w:uiPriority w:val="99"/>
    <w:unhideWhenUsed/>
    <w:rsid w:val="00A06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A84"/>
  </w:style>
  <w:style w:type="paragraph" w:styleId="Bibliography">
    <w:name w:val="Bibliography"/>
    <w:basedOn w:val="Normal"/>
    <w:next w:val="Normal"/>
    <w:uiPriority w:val="37"/>
    <w:unhideWhenUsed/>
    <w:rsid w:val="00E26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TotalTime>
  <Pages>3</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Lepš Jan</dc:creator>
  <cp:keywords/>
  <dc:description/>
  <cp:lastModifiedBy>Lepš Jan</cp:lastModifiedBy>
  <cp:revision>8</cp:revision>
  <dcterms:created xsi:type="dcterms:W3CDTF">2025-07-08T13:43:00Z</dcterms:created>
  <dcterms:modified xsi:type="dcterms:W3CDTF">2025-07-16T07:43:00Z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id="nhdzHUHT"/&gt;&lt;style id="http://www.zotero.org/styles/functional-ecology" hasBibliography="1" bibliographyStyleHasBeenSet="1"/&gt;&lt;prefs&gt;&lt;pref name="fieldType" value="Field"/&gt;&lt;/prefs&gt;&lt;/data&gt;</vt:lpwstr>
  </property>
</Properties>
</file>