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para interactuar con la base de datos de biodiversidad EIDOS</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4"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requiere información actualizada, o al menos estandarizada, sobre la nomenclatura de nuestros organismos de estudio (</w:t>
      </w:r>
      <w:r>
        <w:t xml:space="preserve">Patterson et al. (2010)</w:t>
      </w:r>
      <w:r>
        <w:t xml:space="preserve">). Para solventar este problema, se han ido desarrollando diferentes herramientas que permitan cotejar la nomenclatura de una especie contra bases de datos taxonómicas. Por un lado, tenemos herramientas como las webs de Flora Ibérica y Fauna Ibérica,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w:t>
      </w:r>
      <w:r>
        <w:t xml:space="preserve"> </w:t>
      </w:r>
      <w:r>
        <w:t xml:space="preserve">(R Core Team, 2025)</w:t>
      </w:r>
      <w:r>
        <w:t xml:space="preserve">, facilitando la tarea de cotejar un gran número de especies a la vez así como su incorporación en nuestros flujos de trabajo. Algunos ejemplos de esto son el paquete</w:t>
      </w:r>
      <w:r>
        <w:t xml:space="preserve"> </w:t>
      </w:r>
      <w:r>
        <w:rPr>
          <w:i/>
          <w:iCs/>
        </w:rPr>
        <w:t xml:space="preserve">taxize</w:t>
      </w:r>
      <w:r>
        <w:t xml:space="preserve"> </w:t>
      </w:r>
      <w:r>
        <w:t xml:space="preserve">(Scott Chamberlain y Eduard Szocs, 2013; Chamberlain et al., 2020)</w:t>
      </w:r>
      <w:r>
        <w:t xml:space="preserve">, con acceso a más de 20 bases de datos diferentes; o el paquete</w:t>
      </w:r>
      <w:r>
        <w:t xml:space="preserve"> </w:t>
      </w:r>
      <w:r>
        <w:rPr>
          <w:i/>
          <w:iCs/>
        </w:rPr>
        <w:t xml:space="preserve">WorldFlora</w:t>
      </w:r>
      <w:r>
        <w:t xml:space="preserve"> </w:t>
      </w:r>
      <w:r>
        <w:t xml:space="preserve">Kindt (2020)</w:t>
      </w:r>
      <w:r>
        <w:t xml:space="preserve"> </w:t>
      </w:r>
      <w:r>
        <w:t xml:space="preserve">para acceder a</w:t>
      </w:r>
      <w:r>
        <w:t xml:space="preserve"> </w:t>
      </w:r>
      <w:r>
        <w:rPr>
          <w:i/>
          <w:iCs/>
        </w:rPr>
        <w:t xml:space="preserve">World Flora Online</w:t>
      </w:r>
      <w:r>
        <w:t xml:space="preserve">.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pPr>
      <w:r>
        <w:t xml:space="preserve">El</w:t>
      </w:r>
      <w:r>
        <w:t xml:space="preserve"> </w:t>
      </w:r>
      <w:hyperlink r:id="rId22">
        <w:r>
          <w:rPr>
            <w:rStyle w:val="Hyperlink"/>
          </w:rPr>
          <w:t xml:space="preserve">Inventario Español del Patrimonio Natural y de la Biodiversidad (IEPNB)</w:t>
        </w:r>
      </w:hyperlink>
      <w:r>
        <w:t xml:space="preserve"> </w:t>
      </w:r>
      <w:r>
        <w:t xml:space="preserve">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w:t>
      </w:r>
      <w:r>
        <w:t xml:space="preserve"> </w:t>
      </w:r>
      <w:hyperlink r:id="rId23">
        <w:r>
          <w:rPr>
            <w:rStyle w:val="Hyperlink"/>
          </w:rPr>
          <w:t xml:space="preserve">(LP)</w:t>
        </w:r>
      </w:hyperlink>
      <w: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EIDOS, que nos permiten acceder a las bases de datos del IEPNB desde entornos de programación como R, y por tanto a automatizar los procesos de consulta.</w:t>
      </w:r>
    </w:p>
    <w:bookmarkEnd w:id="24"/>
    <w:bookmarkStart w:id="29" w:name="el-paquete-eidosapi-para-r"/>
    <w:p>
      <w:pPr>
        <w:pStyle w:val="Heading1"/>
      </w:pPr>
      <w:r>
        <w:t xml:space="preserve">El paquete</w:t>
      </w:r>
      <w:r>
        <w:t xml:space="preserve"> </w:t>
      </w:r>
      <w:r>
        <w:rPr>
          <w:i/>
          <w:iCs/>
        </w:rPr>
        <w:t xml:space="preserve">eidosapi</w:t>
      </w:r>
      <w:r>
        <w:t xml:space="preserve"> </w:t>
      </w:r>
      <w:r>
        <w:t xml:space="preserve">para R</w:t>
      </w:r>
    </w:p>
    <w:p>
      <w:pPr>
        <w:pStyle w:val="FirstParagraph"/>
      </w:pPr>
      <w:r>
        <w:t xml:space="preserve">El paquete</w:t>
      </w:r>
      <w:r>
        <w:t xml:space="preserve"> </w:t>
      </w:r>
      <w:r>
        <w:rPr>
          <w:b/>
          <w:bCs/>
        </w:rPr>
        <w:t xml:space="preserve">eidosapi</w:t>
      </w:r>
      <w:r>
        <w:t xml:space="preserve"> </w:t>
      </w:r>
      <w:r>
        <w:t xml:space="preserve">se desarrolló para explotar las posibilidades ofrecidas por la API EIDOS y facilitar la tarea de cotejar y contrastar la taxonomía de múltiples especies al mismo tiempo desde el entorno de programación de R (</w:t>
      </w:r>
      <w:hyperlink w:anchor="fig-1">
        <w:r>
          <w:rPr>
            <w:rStyle w:val="Hyperlink"/>
          </w:rPr>
          <w:t xml:space="preserve">Figura 1</w:t>
        </w:r>
      </w:hyperlink>
      <w:r>
        <w:t xml:space="preserve">). El paquete cuenta con varias funciones que facilitan el acceso a las bases de datos del IEPNB, haciendo uso de del paquete</w:t>
      </w:r>
      <w:r>
        <w:t xml:space="preserve"> </w:t>
      </w:r>
      <w:r>
        <w:rPr>
          <w:b/>
          <w:b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b/>
          <w:bCs/>
        </w:rPr>
        <w:t xml:space="preserve">fuzzyjoin</w:t>
      </w:r>
      <w:r>
        <w:t xml:space="preserve"> </w:t>
      </w:r>
      <w:r>
        <w:t xml:space="preserve">(Robinson, 2025)</w:t>
      </w:r>
      <w:r>
        <w:t xml:space="preserve"> </w:t>
      </w:r>
      <w:r>
        <w:t xml:space="preserve">para realizar consultas basadas en coincidencia difusa (</w:t>
      </w:r>
      <w:r>
        <w:rPr>
          <w:i/>
          <w:iCs/>
        </w:rPr>
        <w:t xml:space="preserve">fuzzy matching</w:t>
      </w:r>
      <w:r>
        <w:t xml:space="preserve">) que permitan buscar nombres en la LP aunque contengan algún error de escritura. A continuación se muestran varios ejemplos sencillos de uso, pero puede encontrase más información en el el repositorio del paquete (https://github.com/hmirceb/eidosapi).</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27700" cy="2592592"/>
                  <wp:effectExtent b="0" l="0" r="0" t="0"/>
                  <wp:docPr descr="" title="" id="26" name="Picture"/>
                  <a:graphic>
                    <a:graphicData uri="http://schemas.openxmlformats.org/drawingml/2006/picture">
                      <pic:pic>
                        <pic:nvPicPr>
                          <pic:cNvPr descr="figuras/fig_1.png" id="27" name="Picture"/>
                          <pic:cNvPicPr>
                            <a:picLocks noChangeArrowheads="1" noChangeAspect="1"/>
                          </pic:cNvPicPr>
                        </pic:nvPicPr>
                        <pic:blipFill>
                          <a:blip r:embed="rId25"/>
                          <a:stretch>
                            <a:fillRect/>
                          </a:stretch>
                        </pic:blipFill>
                        <pic:spPr bwMode="auto">
                          <a:xfrm>
                            <a:off x="0" y="0"/>
                            <a:ext cx="5727700" cy="25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Figura 1: Diagrama del flujo de trabajo básico con</w:t>
            </w:r>
            <w:r>
              <w:t xml:space="preserve"> </w:t>
            </w:r>
            <w:r>
              <w:rPr>
                <w:b/>
                <w:bCs/>
              </w:rPr>
              <w:t xml:space="preserve">eidosapi</w:t>
            </w:r>
            <w:r>
              <w:t xml:space="preserve">.</w:t>
            </w:r>
          </w:p>
          <w:bookmarkEnd w:id="28"/>
        </w:tc>
      </w:tr>
    </w:tbl>
    <w:bookmarkEnd w:id="29"/>
    <w:bookmarkStart w:id="33" w:name="X448963d0194737b06e964ed5ac152d9373ee43a"/>
    <w:p>
      <w:pPr>
        <w:pStyle w:val="Heading1"/>
      </w:pPr>
      <w:r>
        <w:t xml:space="preserve">Instalación y ejemplos básicos de uso de</w:t>
      </w:r>
      <w:r>
        <w:t xml:space="preserve"> </w:t>
      </w:r>
      <w:r>
        <w:rPr>
          <w:b/>
          <w:bCs/>
        </w:rPr>
        <w:t xml:space="preserve">eidosapi</w:t>
      </w:r>
    </w:p>
    <w:p>
      <w:pPr>
        <w:pStyle w:val="FirstParagraph"/>
      </w:pPr>
      <w:r>
        <w:t xml:space="preserve">La instalación del paquete puede realizarse fácilmente clonando el repositorio disponible en GitHub.</w:t>
      </w:r>
    </w:p>
    <w:p>
      <w:pPr>
        <w:pStyle w:val="SourceCode"/>
      </w:pPr>
      <w:r>
        <w:rPr>
          <w:rStyle w:val="CommentTok0"/>
        </w:rPr>
        <w:t xml:space="preserve"># Instalación</w:t>
      </w:r>
      <w:r>
        <w:br/>
      </w: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"https://github.com/hmirceb/eidosapi"</w:t>
      </w:r>
      <w:r>
        <w:rPr>
          <w:rStyle w:val="NormalTok0"/>
        </w:rPr>
        <w:t xml:space="preserve">,</w:t>
      </w:r>
      <w:r>
        <w:br/>
      </w:r>
      <w:r>
        <w:rPr>
          <w:rStyle w:val="NormalTok0"/>
        </w:rPr>
        <w:t xml:space="preserve">                        </w:t>
      </w:r>
      <w:r>
        <w:rPr>
          <w:rStyle w:val="AttributeTok"/>
        </w:rPr>
        <w:t xml:space="preserve">force =</w:t>
      </w:r>
      <w:r>
        <w:rPr>
          <w:rStyle w:val="NormalTok0"/>
        </w:rPr>
        <w:t xml:space="preserve"> </w:t>
      </w:r>
      <w:r>
        <w:rPr>
          <w:rStyle w:val="ConstantTok"/>
        </w:rPr>
        <w:t xml:space="preserve">TRUE</w:t>
      </w:r>
      <w:r>
        <w:rPr>
          <w:rStyle w:val="NormalTok0"/>
        </w:rPr>
        <w:t xml:space="preserve">, </w:t>
      </w:r>
      <w:r>
        <w:br/>
      </w:r>
      <w:r>
        <w:rPr>
          <w:rStyle w:val="NormalTok0"/>
        </w:rPr>
        <w:t xml:space="preserve">                        </w:t>
      </w:r>
      <w:r>
        <w:rPr>
          <w:rStyle w:val="AttributeTok"/>
        </w:rPr>
        <w:t xml:space="preserve">quiet =</w:t>
      </w:r>
      <w:r>
        <w:rPr>
          <w:rStyle w:val="NormalTok0"/>
        </w:rPr>
        <w:t xml:space="preserve"> </w:t>
      </w:r>
      <w:r>
        <w:rPr>
          <w:rStyle w:val="ConstantTok"/>
        </w:rPr>
        <w:t xml:space="preserve">TRUE</w:t>
      </w:r>
      <w:r>
        <w:rPr>
          <w:rStyle w:val="NormalTok0"/>
        </w:rPr>
        <w:t xml:space="preserve">)</w:t>
      </w:r>
      <w:r>
        <w:br/>
      </w:r>
      <w:r>
        <w:rPr>
          <w:rStyle w:val="CommentTok0"/>
        </w:rPr>
        <w:t xml:space="preserve"># Cargamos el paquete</w:t>
      </w:r>
      <w:r>
        <w:br/>
      </w:r>
      <w:r>
        <w:rPr>
          <w:rStyle w:val="FunctionTok0"/>
        </w:rPr>
        <w:t xml:space="preserve">library</w:t>
      </w:r>
      <w:r>
        <w:rPr>
          <w:rStyle w:val="NormalTok0"/>
        </w:rPr>
        <w:t xml:space="preserve">(eidosapi)</w:t>
      </w:r>
    </w:p>
    <w:bookmarkStart w:id="30" w:name="busqueda-de-especies-por-nombre"/>
    <w:p>
      <w:pPr>
        <w:pStyle w:val="Heading2"/>
      </w:pPr>
      <w:r>
        <w:t xml:space="preserve">Busqueda de especies por nombre</w:t>
      </w:r>
    </w:p>
    <w:p>
      <w:pPr>
        <w:pStyle w:val="FirstParagraph"/>
      </w:pPr>
      <w:r>
        <w:t xml:space="preserve">Un ejemplo básico sería buscar el nombre aceptado y sinónimos de una o varias especies. Para ello vamos a emplear la alondra ricotí (</w:t>
      </w:r>
      <w:r>
        <w:rPr>
          <w:i/>
          <w:iCs/>
        </w:rPr>
        <w:t xml:space="preserve">Chersophilus duponti</w:t>
      </w:r>
      <w:r>
        <w:t xml:space="preserve">), que no tiene sinónimos; y</w:t>
      </w:r>
      <w:r>
        <w:t xml:space="preserve"> </w:t>
      </w:r>
      <w:r>
        <w:rPr>
          <w:i/>
          <w:iCs/>
        </w:rPr>
        <w:t xml:space="preserve">Polygonum viviparum</w:t>
      </w:r>
      <w:r>
        <w:t xml:space="preserve"> </w:t>
      </w:r>
      <w:r>
        <w:t xml:space="preserve">que tiene varios. El procedimiento básico consiste en crear una tabla con el género y la especie de cada taxón. También podemos incluir una columna con la subespecie y la autoridad taxonómica que haya descrito el taxón. En el caso de que el taxón que nos interesa no tuviese subespecies o no conociésemos la autoría podemos omitir las columnas correspondientes o rellenarlas con</w:t>
      </w:r>
      <w:r>
        <w:t xml:space="preserve"> </w:t>
      </w:r>
      <w:r>
        <w:rPr>
          <w:i/>
          <w:iCs/>
        </w:rPr>
        <w:t xml:space="preserve">NA</w:t>
      </w:r>
      <w:r>
        <w:t xml:space="preserve">. Cabe destacar que el IEPNB todavía es un trabajo en marcha y algunos organismos no están presentes en la base de datos o carecen de información detallada. Para evitar errores al respecto,</w:t>
      </w:r>
      <w:r>
        <w:t xml:space="preserve"> </w:t>
      </w:r>
      <w:r>
        <w:rPr>
          <w:b/>
          <w:bCs/>
        </w:rPr>
        <w:t xml:space="preserve">eidosapi</w:t>
      </w:r>
      <w:r>
        <w:t xml:space="preserve"> </w:t>
      </w:r>
      <w:r>
        <w:t xml:space="preserve">ignora esos casos.</w:t>
      </w:r>
    </w:p>
    <w:p>
      <w:pPr>
        <w:pStyle w:val="SourceCode"/>
      </w:pPr>
      <w:r>
        <w:rPr>
          <w:rStyle w:val="CommentTok0"/>
        </w:rPr>
        <w:t xml:space="preserve"># Tabla ejemplo:</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"Chersophilus"</w:t>
      </w:r>
      <w:r>
        <w:rPr>
          <w:rStyle w:val="NormalTok0"/>
        </w:rPr>
        <w:t xml:space="preserve">, </w:t>
      </w:r>
      <w:r>
        <w:rPr>
          <w:rStyle w:val="StringTok0"/>
        </w:rPr>
        <w:t xml:space="preserve">"Polygonum"</w:t>
      </w:r>
      <w:r>
        <w:rPr>
          <w:rStyle w:val="NormalTok0"/>
        </w:rPr>
        <w:t xml:space="preserve">, </w:t>
      </w:r>
      <w:r>
        <w:rPr>
          <w:rStyle w:val="StringTok0"/>
        </w:rPr>
        <w:t xml:space="preserve">"Androsace"</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"duponti"</w:t>
      </w:r>
      <w:r>
        <w:rPr>
          <w:rStyle w:val="NormalTok0"/>
        </w:rPr>
        <w:t xml:space="preserve">, </w:t>
      </w:r>
      <w:r>
        <w:rPr>
          <w:rStyle w:val="StringTok0"/>
        </w:rPr>
        <w:t xml:space="preserve">"viviparum"</w:t>
      </w:r>
      <w:r>
        <w:rPr>
          <w:rStyle w:val="NormalTok0"/>
        </w:rPr>
        <w:t xml:space="preserve">, </w:t>
      </w:r>
      <w:r>
        <w:rPr>
          <w:rStyle w:val="StringTok0"/>
        </w:rPr>
        <w:t xml:space="preserve">"cylindrica"</w:t>
      </w:r>
      <w:r>
        <w:rPr>
          <w:rStyle w:val="NormalTok0"/>
        </w:rPr>
        <w:t xml:space="preserve">),</w:t>
      </w:r>
      <w:r>
        <w:br/>
      </w:r>
      <w:r>
        <w:rPr>
          <w:rStyle w:val="NormalTok0"/>
        </w:rPr>
        <w:t xml:space="preserve">                       </w:t>
      </w:r>
      <w:r>
        <w:rPr>
          <w:rStyle w:val="AttributeTok"/>
        </w:rPr>
        <w:t xml:space="preserve">subspecies =</w:t>
      </w:r>
      <w:r>
        <w:rPr>
          <w:rStyle w:val="NormalTok0"/>
        </w:rPr>
        <w:t xml:space="preserve"> </w:t>
      </w:r>
      <w:r>
        <w:rPr>
          <w:rStyle w:val="FunctionTok0"/>
        </w:rPr>
        <w:t xml:space="preserve">c</w:t>
      </w:r>
      <w:r>
        <w:rPr>
          <w:rStyle w:val="NormalTok0"/>
        </w:rPr>
        <w:t xml:space="preserve">(</w:t>
      </w:r>
      <w:r>
        <w:rPr>
          <w:rStyle w:val="ConstantTok"/>
        </w:rPr>
        <w:t xml:space="preserve">NA</w:t>
      </w:r>
      <w:r>
        <w:rPr>
          <w:rStyle w:val="NormalTok0"/>
        </w:rPr>
        <w:t xml:space="preserve">, </w:t>
      </w:r>
      <w:r>
        <w:rPr>
          <w:rStyle w:val="ConstantTok"/>
        </w:rPr>
        <w:t xml:space="preserve">NA</w:t>
      </w:r>
      <w:r>
        <w:rPr>
          <w:rStyle w:val="NormalTok0"/>
        </w:rPr>
        <w:t xml:space="preserve">, </w:t>
      </w:r>
      <w:r>
        <w:rPr>
          <w:rStyle w:val="StringTok0"/>
        </w:rPr>
        <w:t xml:space="preserve">"hirtella"</w:t>
      </w:r>
      <w:r>
        <w:rPr>
          <w:rStyle w:val="NormalTok0"/>
        </w:rPr>
        <w:t xml:space="preserve">))</w:t>
      </w:r>
      <w:r>
        <w:br/>
      </w:r>
      <w:r>
        <w:rPr>
          <w:rStyle w:val="NormalTok0"/>
        </w:rPr>
        <w:t xml:space="preserve">eidos_results </w:t>
      </w:r>
      <w:r>
        <w:rPr>
          <w:rStyle w:val="OtherTok0"/>
        </w:rPr>
        <w:t xml:space="preserve">=</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taxa_list</w:t>
      </w:r>
      <w:r>
        <w:br/>
      </w:r>
      <w:r>
        <w:rPr>
          <w:rStyle w:val="NormalTok0"/>
        </w:rPr>
        <w:t xml:space="preserve">  )</w:t>
      </w:r>
      <w:r>
        <w:br/>
      </w:r>
      <w:r>
        <w:br/>
      </w:r>
      <w:r>
        <w:rPr>
          <w:rStyle w:val="CommentTok0"/>
        </w:rPr>
        <w:t xml:space="preserve"># La tabla resultante tienes muchas columnas</w:t>
      </w:r>
      <w:r>
        <w:br/>
      </w:r>
      <w:r>
        <w:rPr>
          <w:rStyle w:val="CommentTok0"/>
        </w:rPr>
        <w:t xml:space="preserve"># Aquí solo se muestra  el nombre que hemos buscado,</w:t>
      </w:r>
      <w:r>
        <w:br/>
      </w:r>
      <w:r>
        <w:rPr>
          <w:rStyle w:val="CommentTok0"/>
        </w:rPr>
        <w:t xml:space="preserve"># su identificador, si es un sinónimo o no y </w:t>
      </w:r>
      <w:r>
        <w:br/>
      </w:r>
      <w:r>
        <w:rPr>
          <w:rStyle w:val="CommentTok0"/>
        </w:rPr>
        <w:t xml:space="preserve"># el id del taxón aceptado:</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(eidos_results[</w:t>
      </w:r>
      <w:r>
        <w:rPr>
          <w:rStyle w:val="FunctionTok0"/>
        </w:rPr>
        <w:t xml:space="preserve">c</w:t>
      </w:r>
      <w:r>
        <w:rPr>
          <w:rStyle w:val="NormalTok0"/>
        </w:rPr>
        <w:t xml:space="preserve">(</w:t>
      </w:r>
      <w:r>
        <w:rPr>
          <w:rStyle w:val="StringTok0"/>
        </w:rPr>
        <w:t xml:space="preserve">"supplied_taxon"</w:t>
      </w:r>
      <w:r>
        <w:rPr>
          <w:rStyle w:val="NormalTok0"/>
        </w:rPr>
        <w:t xml:space="preserve">,</w:t>
      </w:r>
      <w:r>
        <w:br/>
      </w:r>
      <w:r>
        <w:rPr>
          <w:rStyle w:val="NormalTok0"/>
        </w:rPr>
        <w:t xml:space="preserve">                </w:t>
      </w:r>
      <w:r>
        <w:rPr>
          <w:rStyle w:val="StringTok0"/>
        </w:rPr>
        <w:t xml:space="preserve">"idtaxon"</w:t>
      </w:r>
      <w:r>
        <w:rPr>
          <w:rStyle w:val="NormalTok0"/>
        </w:rPr>
        <w:t xml:space="preserve">, </w:t>
      </w:r>
      <w:r>
        <w:rPr>
          <w:rStyle w:val="StringTok0"/>
        </w:rPr>
        <w:t xml:space="preserve">"nametype"</w:t>
      </w:r>
      <w:r>
        <w:rPr>
          <w:rStyle w:val="NormalTok0"/>
        </w:rPr>
        <w:t xml:space="preserve">, </w:t>
      </w:r>
      <w:r>
        <w:rPr>
          <w:rStyle w:val="StringTok0"/>
        </w:rPr>
        <w:t xml:space="preserve">"acceptednameid"</w:t>
      </w:r>
      <w:r>
        <w:rPr>
          <w:rStyle w:val="NormalTok0"/>
        </w:rPr>
        <w:t xml:space="preserve">)])</w:t>
      </w:r>
    </w:p>
    <w:tbl>
      <w:tblPr>
        <w:tblStyle w:val="Table"/>
        <w:tblW w:type="pct" w:w="5000"/>
        <w:tblLayout w:type="fixed"/>
        <w:tblLook w:firstRow="1" w:lastRow="0" w:firstColumn="0" w:lastColumn="0" w:noHBand="0" w:noVBand="0" w:val="0020"/>
      </w:tblPr>
      <w:tblGrid>
        <w:gridCol w:w="3443"/>
        <w:gridCol w:w="918"/>
        <w:gridCol w:w="1836"/>
        <w:gridCol w:w="1721"/>
      </w:tblGrid>
      <w:tr>
        <w:trPr>
          <w:tblHeader w:val="on"/>
        </w:trPr>
        <w:tc>
          <w:tcPr/>
          <w:p>
            <w:pPr>
              <w:pStyle w:val="Compact"/>
              <w:jc w:val="left"/>
            </w:pPr>
            <w:r>
              <w:t xml:space="preserve">supplied_taxon</w:t>
            </w:r>
          </w:p>
        </w:tc>
        <w:tc>
          <w:tcPr/>
          <w:p>
            <w:pPr>
              <w:pStyle w:val="Compact"/>
              <w:jc w:val="left"/>
            </w:pPr>
            <w:r>
              <w:t xml:space="preserve">idtaxon</w:t>
            </w:r>
          </w:p>
        </w:tc>
        <w:tc>
          <w:tcPr/>
          <w:p>
            <w:pPr>
              <w:pStyle w:val="Compact"/>
              <w:jc w:val="left"/>
            </w:pPr>
            <w:r>
              <w:t xml:space="preserve">nametype</w:t>
            </w:r>
          </w:p>
        </w:tc>
        <w:tc>
          <w:tcPr/>
          <w:p>
            <w:pPr>
              <w:pStyle w:val="Compact"/>
              <w:jc w:val="left"/>
            </w:pPr>
            <w:r>
              <w:t xml:space="preserve">acceptednameid</w:t>
            </w:r>
          </w:p>
        </w:tc>
      </w:tr>
      <w:tr>
        <w:tc>
          <w:tcPr/>
          <w:p>
            <w:pPr>
              <w:pStyle w:val="Compact"/>
              <w:jc w:val="left"/>
            </w:pPr>
            <w:r>
              <w:t xml:space="preserve">Chersophilus duponti</w:t>
            </w:r>
          </w:p>
        </w:tc>
        <w:tc>
          <w:tcPr/>
          <w:p>
            <w:pPr>
              <w:pStyle w:val="Compact"/>
              <w:jc w:val="left"/>
            </w:pPr>
            <w:r>
              <w:t xml:space="preserve">11182</w:t>
            </w:r>
          </w:p>
        </w:tc>
        <w:tc>
          <w:tcPr/>
          <w:p>
            <w:pPr>
              <w:pStyle w:val="Compact"/>
              <w:jc w:val="left"/>
            </w:pPr>
            <w:r>
              <w:t xml:space="preserve">Aceptado/válido</w:t>
            </w:r>
          </w:p>
        </w:tc>
        <w:tc>
          <w:tcPr/>
          <w:p>
            <w:pPr>
              <w:pStyle w:val="Compact"/>
              <w:jc w:val="left"/>
            </w:pPr>
            <w:r>
              <w:t xml:space="preserve">11182</w:t>
            </w:r>
          </w:p>
        </w:tc>
      </w:tr>
      <w:tr>
        <w:tc>
          <w:tcPr/>
          <w:p>
            <w:pPr>
              <w:pStyle w:val="Compact"/>
              <w:jc w:val="left"/>
            </w:pPr>
            <w:r>
              <w:t xml:space="preserve">Chersophilus duponti</w:t>
            </w:r>
          </w:p>
        </w:tc>
        <w:tc>
          <w:tcPr/>
          <w:p>
            <w:pPr>
              <w:pStyle w:val="Compact"/>
              <w:jc w:val="left"/>
            </w:pPr>
            <w:r>
              <w:t xml:space="preserve">96736</w:t>
            </w:r>
          </w:p>
        </w:tc>
        <w:tc>
          <w:tcPr/>
          <w:p>
            <w:pPr>
              <w:pStyle w:val="Compact"/>
              <w:jc w:val="left"/>
            </w:pPr>
            <w:r>
              <w:t xml:space="preserve">Aceptado/válido</w:t>
            </w:r>
          </w:p>
        </w:tc>
        <w:tc>
          <w:tcPr/>
          <w:p>
            <w:pPr>
              <w:pStyle w:val="Compact"/>
              <w:jc w:val="left"/>
            </w:pPr>
            <w:r>
              <w:t xml:space="preserve">96736</w:t>
            </w:r>
          </w:p>
        </w:tc>
      </w:tr>
      <w:tr>
        <w:tc>
          <w:tcPr/>
          <w:p>
            <w:pPr>
              <w:pStyle w:val="Compact"/>
              <w:jc w:val="left"/>
            </w:pPr>
            <w:r>
              <w:t xml:space="preserve">Polygonum viviparum</w:t>
            </w:r>
          </w:p>
        </w:tc>
        <w:tc>
          <w:tcPr/>
          <w:p>
            <w:pPr>
              <w:pStyle w:val="Compact"/>
              <w:jc w:val="left"/>
            </w:pPr>
            <w:r>
              <w:t xml:space="preserve">32824</w:t>
            </w:r>
          </w:p>
        </w:tc>
        <w:tc>
          <w:tcPr/>
          <w:p>
            <w:pPr>
              <w:pStyle w:val="Compact"/>
              <w:jc w:val="left"/>
            </w:pPr>
            <w:r>
              <w:t xml:space="preserve">Sinónimo</w:t>
            </w:r>
          </w:p>
        </w:tc>
        <w:tc>
          <w:tcPr/>
          <w:p>
            <w:pPr>
              <w:pStyle w:val="Compact"/>
              <w:jc w:val="left"/>
            </w:pPr>
            <w:r>
              <w:t xml:space="preserve">7277</w:t>
            </w:r>
          </w:p>
        </w:tc>
      </w:tr>
      <w:tr>
        <w:tc>
          <w:tcPr/>
          <w:p>
            <w:pPr>
              <w:pStyle w:val="Compact"/>
              <w:jc w:val="left"/>
            </w:pPr>
            <w:r>
              <w:t xml:space="preserve">Androsace cylindrica hirtella</w:t>
            </w:r>
          </w:p>
        </w:tc>
        <w:tc>
          <w:tcPr/>
          <w:p>
            <w:pPr>
              <w:pStyle w:val="Compact"/>
              <w:jc w:val="left"/>
            </w:pPr>
            <w:r>
              <w:t xml:space="preserve">2146</w:t>
            </w:r>
          </w:p>
        </w:tc>
        <w:tc>
          <w:tcPr/>
          <w:p>
            <w:pPr>
              <w:pStyle w:val="Compact"/>
              <w:jc w:val="left"/>
            </w:pPr>
            <w:r>
              <w:t xml:space="preserve">Aceptado/válido</w:t>
            </w:r>
          </w:p>
        </w:tc>
        <w:tc>
          <w:tcPr/>
          <w:p>
            <w:pPr>
              <w:pStyle w:val="Compact"/>
              <w:jc w:val="left"/>
            </w:pPr>
            <w:r>
              <w:t xml:space="preserve">2146</w:t>
            </w:r>
          </w:p>
        </w:tc>
      </w:tr>
    </w:tbl>
    <w:bookmarkEnd w:id="30"/>
    <w:bookmarkStart w:id="31" w:name="estado-de-conservación"/>
    <w:p>
      <w:pPr>
        <w:pStyle w:val="Heading2"/>
      </w:pPr>
      <w:r>
        <w:t xml:space="preserve">Estado de conservación</w:t>
      </w:r>
    </w:p>
    <w:p>
      <w:pPr>
        <w:pStyle w:val="FirstParagraph"/>
      </w:pPr>
      <w:r>
        <w:t xml:space="preserve">La columna</w:t>
      </w:r>
      <w:r>
        <w:t xml:space="preserve"> </w:t>
      </w:r>
      <w:r>
        <w:rPr>
          <w:i/>
          <w:iCs/>
        </w:rPr>
        <w:t xml:space="preserve">idtaxon</w:t>
      </w:r>
      <w:r>
        <w:t xml:space="preserve"> </w:t>
      </w:r>
      <w:r>
        <w:t xml:space="preserve">obtenida en el paso anterior contiene el identificador único para cada taxón en el IEPNB. Si quisiéramos saber si la alondra ricotí tiene asociada alguna categoría de amenaza, solo tendríamos que introducir este indicador en la función</w:t>
      </w:r>
      <w:r>
        <w:t xml:space="preserve"> </w:t>
      </w:r>
      <w:r>
        <w:rPr>
          <w:rStyle w:val="VerbatimChar"/>
        </w:rPr>
        <w:t xml:space="preserve">eidos_conservation_by_id</w:t>
      </w:r>
      <w:r>
        <w:t xml:space="preserve">.</w:t>
      </w:r>
    </w:p>
    <w:p>
      <w:pPr>
        <w:pStyle w:val="SourceCode"/>
      </w:pPr>
      <w:r>
        <w:rPr>
          <w:rStyle w:val="CommentTok0"/>
        </w:rPr>
        <w:t xml:space="preserve"># Buscamos el identificador por nombre:</w:t>
      </w:r>
      <w:r>
        <w:br/>
      </w:r>
      <w:r>
        <w:rPr>
          <w:rStyle w:val="NormalTok0"/>
        </w:rPr>
        <w:t xml:space="preserve">eidos_results </w:t>
      </w:r>
      <w:r>
        <w:rPr>
          <w:rStyle w:val="OtherTok0"/>
        </w:rPr>
        <w:t xml:space="preserve">=</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w:t>
      </w:r>
      <w:r>
        <w:rPr>
          <w:rStyle w:val="StringTok0"/>
        </w:rPr>
        <w:t xml:space="preserve">"Chersophilus duponti"</w:t>
      </w:r>
      <w:r>
        <w:br/>
      </w:r>
      <w:r>
        <w:rPr>
          <w:rStyle w:val="NormalTok0"/>
        </w:rPr>
        <w:t xml:space="preserve">  )</w:t>
      </w:r>
      <w:r>
        <w:br/>
      </w:r>
      <w:r>
        <w:br/>
      </w:r>
      <w:r>
        <w:rPr>
          <w:rStyle w:val="CommentTok0"/>
        </w:rPr>
        <w:t xml:space="preserve"># El identificador debería ser 11182:</w:t>
      </w:r>
      <w:r>
        <w:br/>
      </w:r>
      <w:r>
        <w:rPr>
          <w:rStyle w:val="FunctionTok0"/>
        </w:rPr>
        <w:t xml:space="preserve">print</w:t>
      </w:r>
      <w:r>
        <w:rPr>
          <w:rStyle w:val="NormalTok0"/>
        </w:rPr>
        <w:t xml:space="preserve">(eidos_results</w:t>
      </w:r>
      <w:r>
        <w:rPr>
          <w:rStyle w:val="SpecialCharTok"/>
        </w:rPr>
        <w:t xml:space="preserve">$</w:t>
      </w:r>
      <w:r>
        <w:rPr>
          <w:rStyle w:val="NormalTok0"/>
        </w:rPr>
        <w:t xml:space="preserve">idtaxon[</w:t>
      </w:r>
      <w:r>
        <w:rPr>
          <w:rStyle w:val="DecValTok0"/>
        </w:rPr>
        <w:t xml:space="preserve">1</w:t>
      </w:r>
      <w:r>
        <w:rPr>
          <w:rStyle w:val="NormalTok0"/>
        </w:rPr>
        <w:t xml:space="preserve">])</w:t>
      </w:r>
    </w:p>
    <w:p>
      <w:pPr>
        <w:pStyle w:val="SourceCode"/>
      </w:pPr>
      <w:r>
        <w:rPr>
          <w:rStyle w:val="VerbatimChar"/>
        </w:rPr>
        <w:t xml:space="preserve">[1] "11182"</w:t>
      </w:r>
    </w:p>
    <w:p>
      <w:pPr>
        <w:pStyle w:val="SourceCode"/>
      </w:pPr>
      <w:r>
        <w:rPr>
          <w:rStyle w:val="CommentTok0"/>
        </w:rPr>
        <w:t xml:space="preserve"># Accedemos a la información sobre su estado de conservación</w:t>
      </w:r>
      <w:r>
        <w:br/>
      </w:r>
      <w:r>
        <w:rPr>
          <w:rStyle w:val="NormalTok0"/>
        </w:rPr>
        <w:t xml:space="preserve">eidos_cons </w:t>
      </w:r>
      <w:r>
        <w:rPr>
          <w:rStyle w:val="OtherTok0"/>
        </w:rPr>
        <w:t xml:space="preserve">=</w:t>
      </w:r>
      <w:r>
        <w:rPr>
          <w:rStyle w:val="NormalTok0"/>
        </w:rPr>
        <w:t xml:space="preserve"> </w:t>
      </w:r>
      <w:r>
        <w:rPr>
          <w:rStyle w:val="FunctionTok0"/>
        </w:rPr>
        <w:t xml:space="preserve">eidos_conservation_by_id</w:t>
      </w:r>
      <w:r>
        <w:rPr>
          <w:rStyle w:val="NormalTok0"/>
        </w:rPr>
        <w:t xml:space="preserve">(</w:t>
      </w:r>
      <w:r>
        <w:br/>
      </w:r>
      <w:r>
        <w:rPr>
          <w:rStyle w:val="NormalTok0"/>
        </w:rPr>
        <w:t xml:space="preserve">  </w:t>
      </w:r>
      <w:r>
        <w:rPr>
          <w:rStyle w:val="AttributeTok"/>
        </w:rPr>
        <w:t xml:space="preserve">taxon_id =</w:t>
      </w:r>
      <w:r>
        <w:rPr>
          <w:rStyle w:val="NormalTok0"/>
        </w:rPr>
        <w:t xml:space="preserve"> eidos_results</w:t>
      </w:r>
      <w:r>
        <w:rPr>
          <w:rStyle w:val="SpecialCharTok"/>
        </w:rPr>
        <w:t xml:space="preserve">$</w:t>
      </w:r>
      <w:r>
        <w:rPr>
          <w:rStyle w:val="NormalTok0"/>
        </w:rPr>
        <w:t xml:space="preserve">idtaxon</w:t>
      </w:r>
      <w:r>
        <w:br/>
      </w:r>
      <w:r>
        <w:rPr>
          <w:rStyle w:val="NormalTok0"/>
        </w:rPr>
        <w:t xml:space="preserve">  )</w:t>
      </w:r>
      <w:r>
        <w:br/>
      </w:r>
      <w:r>
        <w:br/>
      </w:r>
      <w:r>
        <w:rPr>
          <w:rStyle w:val="CommentTok0"/>
        </w:rPr>
        <w:t xml:space="preserve"># Mostramos solo algunas columnas básicas:</w:t>
      </w:r>
      <w:r>
        <w:br/>
      </w:r>
      <w:r>
        <w:rPr>
          <w:rStyle w:val="NormalTok0"/>
        </w:rPr>
        <w:t xml:space="preserve">knitr</w:t>
      </w:r>
      <w:r>
        <w:rPr>
          <w:rStyle w:val="SpecialCharTok"/>
        </w:rPr>
        <w:t xml:space="preserve">::</w:t>
      </w:r>
      <w:r>
        <w:rPr>
          <w:rStyle w:val="FunctionTok0"/>
        </w:rPr>
        <w:t xml:space="preserve">kable</w:t>
      </w:r>
      <w:r>
        <w:rPr>
          <w:rStyle w:val="NormalTok0"/>
        </w:rPr>
        <w:t xml:space="preserve">(eidos_cons[</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"anio"</w:t>
      </w:r>
      <w:r>
        <w:rPr>
          <w:rStyle w:val="NormalTok0"/>
        </w:rPr>
        <w:t xml:space="preserve">, </w:t>
      </w:r>
      <w:r>
        <w:rPr>
          <w:rStyle w:val="StringTok0"/>
        </w:rPr>
        <w:t xml:space="preserve">"categoriaconservacion"</w:t>
      </w:r>
      <w:r>
        <w:rPr>
          <w:rStyle w:val="NormalTok0"/>
        </w:rPr>
        <w:t xml:space="preserve">, </w:t>
      </w:r>
      <w:r>
        <w:rPr>
          <w:rStyle w:val="StringTok0"/>
        </w:rPr>
        <w:t xml:space="preserve">"aplicaa"</w:t>
      </w:r>
      <w:r>
        <w:rPr>
          <w:rStyle w:val="NormalTok0"/>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idtaxon</w:t>
            </w:r>
          </w:p>
        </w:tc>
        <w:tc>
          <w:tcPr/>
          <w:p>
            <w:pPr>
              <w:pStyle w:val="Compact"/>
              <w:jc w:val="left"/>
            </w:pPr>
            <w:r>
              <w:t xml:space="preserve">anio</w:t>
            </w:r>
          </w:p>
        </w:tc>
        <w:tc>
          <w:tcPr/>
          <w:p>
            <w:pPr>
              <w:pStyle w:val="Compact"/>
              <w:jc w:val="left"/>
            </w:pPr>
            <w:r>
              <w:t xml:space="preserve">categoriaconservacion</w:t>
            </w:r>
          </w:p>
        </w:tc>
        <w:tc>
          <w:tcPr/>
          <w:p>
            <w:pPr>
              <w:pStyle w:val="Compact"/>
              <w:jc w:val="left"/>
            </w:pPr>
            <w:r>
              <w:t xml:space="preserve">aplicaa</w:t>
            </w:r>
          </w:p>
        </w:tc>
      </w:tr>
      <w:tr>
        <w:tc>
          <w:tcPr/>
          <w:p>
            <w:pPr>
              <w:pStyle w:val="Compact"/>
              <w:jc w:val="left"/>
            </w:pPr>
            <w:r>
              <w:t xml:space="preserve">11182</w:t>
            </w:r>
          </w:p>
        </w:tc>
        <w:tc>
          <w:tcPr/>
          <w:p>
            <w:pPr>
              <w:pStyle w:val="Compact"/>
              <w:jc w:val="left"/>
            </w:pPr>
            <w:r>
              <w:t xml:space="preserve">1992</w:t>
            </w:r>
          </w:p>
        </w:tc>
        <w:tc>
          <w:tcPr/>
          <w:p>
            <w:pPr>
              <w:pStyle w:val="Compact"/>
              <w:jc w:val="left"/>
            </w:pPr>
            <w:r>
              <w:t xml:space="preserve">R (Rara)</w:t>
            </w:r>
          </w:p>
        </w:tc>
        <w:tc>
          <w:tcPr/>
          <w:p>
            <w:pPr>
              <w:pStyle w:val="Compact"/>
              <w:jc w:val="left"/>
            </w:pPr>
            <w:r>
              <w:t xml:space="preserve">España</w:t>
            </w:r>
          </w:p>
        </w:tc>
      </w:tr>
      <w:tr>
        <w:tc>
          <w:tcPr/>
          <w:p>
            <w:pPr>
              <w:pStyle w:val="Compact"/>
              <w:jc w:val="left"/>
            </w:pPr>
            <w:r>
              <w:t xml:space="preserve">11182</w:t>
            </w:r>
          </w:p>
        </w:tc>
        <w:tc>
          <w:tcPr/>
          <w:p>
            <w:pPr>
              <w:pStyle w:val="Compact"/>
              <w:jc w:val="left"/>
            </w:pPr>
            <w:r>
              <w:t xml:space="preserve">2004</w:t>
            </w:r>
          </w:p>
        </w:tc>
        <w:tc>
          <w:tcPr/>
          <w:p>
            <w:pPr>
              <w:pStyle w:val="Compact"/>
              <w:jc w:val="left"/>
            </w:pPr>
            <w:r>
              <w:t xml:space="preserve">EN (En peligro)</w:t>
            </w:r>
          </w:p>
        </w:tc>
        <w:tc>
          <w:tcPr/>
          <w:p>
            <w:pPr>
              <w:pStyle w:val="Compact"/>
              <w:jc w:val="left"/>
            </w:pPr>
            <w:r>
              <w:t xml:space="preserve">España</w:t>
            </w:r>
          </w:p>
        </w:tc>
      </w:tr>
      <w:tr>
        <w:tc>
          <w:tcPr/>
          <w:p>
            <w:pPr>
              <w:pStyle w:val="Compact"/>
              <w:jc w:val="left"/>
            </w:pPr>
            <w:r>
              <w:t xml:space="preserve">11182</w:t>
            </w:r>
          </w:p>
        </w:tc>
        <w:tc>
          <w:tcPr/>
          <w:p>
            <w:pPr>
              <w:pStyle w:val="Compact"/>
              <w:jc w:val="left"/>
            </w:pPr>
            <w:r>
              <w:t xml:space="preserve">2016</w:t>
            </w:r>
          </w:p>
        </w:tc>
        <w:tc>
          <w:tcPr/>
          <w:p>
            <w:pPr>
              <w:pStyle w:val="Compact"/>
              <w:jc w:val="left"/>
            </w:pPr>
            <w:r>
              <w:t xml:space="preserve">NT (Casi amenazado)</w:t>
            </w:r>
          </w:p>
        </w:tc>
        <w:tc>
          <w:tcPr/>
          <w:p>
            <w:pPr>
              <w:pStyle w:val="Compact"/>
              <w:jc w:val="left"/>
            </w:pPr>
            <w:r>
              <w:t xml:space="preserve">Mundial</w:t>
            </w:r>
          </w:p>
        </w:tc>
      </w:tr>
      <w:tr>
        <w:tc>
          <w:tcPr/>
          <w:p>
            <w:pPr>
              <w:pStyle w:val="Compact"/>
              <w:jc w:val="left"/>
            </w:pPr>
            <w:r>
              <w:t xml:space="preserve">11182</w:t>
            </w:r>
          </w:p>
        </w:tc>
        <w:tc>
          <w:tcPr/>
          <w:p>
            <w:pPr>
              <w:pStyle w:val="Compact"/>
              <w:jc w:val="left"/>
            </w:pPr>
            <w:r>
              <w:t xml:space="preserve">2017</w:t>
            </w:r>
          </w:p>
        </w:tc>
        <w:tc>
          <w:tcPr/>
          <w:p>
            <w:pPr>
              <w:pStyle w:val="Compact"/>
              <w:jc w:val="left"/>
            </w:pPr>
            <w:r>
              <w:t xml:space="preserve">NT (Casi amenazado)</w:t>
            </w:r>
          </w:p>
        </w:tc>
        <w:tc>
          <w:tcPr/>
          <w:p>
            <w:pPr>
              <w:pStyle w:val="Compact"/>
              <w:jc w:val="left"/>
            </w:pPr>
            <w:r>
              <w:t xml:space="preserve">Mundial</w:t>
            </w:r>
          </w:p>
        </w:tc>
      </w:tr>
      <w:tr>
        <w:tc>
          <w:tcPr/>
          <w:p>
            <w:pPr>
              <w:pStyle w:val="Compact"/>
              <w:jc w:val="left"/>
            </w:pPr>
            <w:r>
              <w:t xml:space="preserve">11182</w:t>
            </w:r>
          </w:p>
        </w:tc>
        <w:tc>
          <w:tcPr/>
          <w:p>
            <w:pPr>
              <w:pStyle w:val="Compact"/>
              <w:jc w:val="left"/>
            </w:pPr>
            <w:r>
              <w:t xml:space="preserve">2020</w:t>
            </w:r>
          </w:p>
        </w:tc>
        <w:tc>
          <w:tcPr/>
          <w:p>
            <w:pPr>
              <w:pStyle w:val="Compact"/>
              <w:jc w:val="left"/>
            </w:pPr>
            <w:r>
              <w:t xml:space="preserve">VU (Vulnerable)</w:t>
            </w:r>
          </w:p>
        </w:tc>
        <w:tc>
          <w:tcPr/>
          <w:p>
            <w:pPr>
              <w:pStyle w:val="Compact"/>
              <w:jc w:val="left"/>
            </w:pPr>
            <w:r>
              <w:t xml:space="preserve">Mundial</w:t>
            </w:r>
          </w:p>
        </w:tc>
      </w:tr>
      <w:tr>
        <w:tc>
          <w:tcPr/>
          <w:p>
            <w:pPr>
              <w:pStyle w:val="Compact"/>
              <w:jc w:val="left"/>
            </w:pPr>
            <w:r>
              <w:t xml:space="preserve">11182</w:t>
            </w:r>
          </w:p>
        </w:tc>
        <w:tc>
          <w:tcPr/>
          <w:p>
            <w:pPr>
              <w:pStyle w:val="Compact"/>
              <w:jc w:val="left"/>
            </w:pPr>
            <w:r>
              <w:t xml:space="preserve">2021</w:t>
            </w:r>
          </w:p>
        </w:tc>
        <w:tc>
          <w:tcPr/>
          <w:p>
            <w:pPr>
              <w:pStyle w:val="Compact"/>
              <w:jc w:val="left"/>
            </w:pPr>
            <w:r>
              <w:t xml:space="preserve">EN (En peligro)</w:t>
            </w:r>
          </w:p>
        </w:tc>
        <w:tc>
          <w:tcPr/>
          <w:p>
            <w:pPr>
              <w:pStyle w:val="Compact"/>
              <w:jc w:val="left"/>
            </w:pPr>
            <w:r>
              <w:t xml:space="preserve">Península</w:t>
            </w:r>
          </w:p>
        </w:tc>
      </w:tr>
    </w:tbl>
    <w:p>
      <w:pPr>
        <w:pStyle w:val="BodyText"/>
      </w:pPr>
      <w:r>
        <w:t xml:space="preserve">En este caso, la alondra ricotí a nivel mundial pasó de</w:t>
      </w:r>
      <w:r>
        <w:t xml:space="preserve"> </w:t>
      </w:r>
      <w:r>
        <w:t xml:space="preserve">“Casi amenazada”</w:t>
      </w:r>
      <w:r>
        <w:t xml:space="preserve"> </w:t>
      </w:r>
      <w:r>
        <w:t xml:space="preserve">(NT) a</w:t>
      </w:r>
      <w:r>
        <w:t xml:space="preserve"> </w:t>
      </w:r>
      <w:r>
        <w:t xml:space="preserve">“Vulnerable”</w:t>
      </w:r>
      <w:r>
        <w:t xml:space="preserve"> </w:t>
      </w:r>
      <w:r>
        <w:t xml:space="preserve">(VU) en el año 2020, mientras que en España y la Península Ibérica se la considera</w:t>
      </w:r>
      <w:r>
        <w:t xml:space="preserve"> </w:t>
      </w:r>
      <w:r>
        <w:t xml:space="preserve">“En peligro”</w:t>
      </w:r>
      <w:r>
        <w:t xml:space="preserve"> </w:t>
      </w:r>
      <w:r>
        <w:t xml:space="preserve">(EN). Siguiendo este mismo procedimiento podríamos conocer las normativas específicas que rigen esas categoría para cada especie con la función</w:t>
      </w:r>
      <w:r>
        <w:t xml:space="preserve"> </w:t>
      </w:r>
      <w:r>
        <w:rPr>
          <w:rStyle w:val="VerbatimChar"/>
        </w:rPr>
        <w:t xml:space="preserve">eidos_legal_status_by_id</w:t>
      </w:r>
      <w:r>
        <w:t xml:space="preserve">.</w:t>
      </w:r>
    </w:p>
    <w:bookmarkEnd w:id="31"/>
    <w:bookmarkStart w:id="32" w:name="X27dc5a1cf66ce176076fb4241346de93b13bd0b"/>
    <w:p>
      <w:pPr>
        <w:pStyle w:val="Heading2"/>
      </w:pPr>
      <w:r>
        <w:t xml:space="preserve">Búsqueda de especies con errores en la nomenclatura</w:t>
      </w:r>
    </w:p>
    <w:p>
      <w:pPr>
        <w:pStyle w:val="FirstParagraph"/>
      </w:pPr>
      <w:r>
        <w:t xml:space="preserve">Un problema común a la hora de trabajar con datos de especies son los errores de escritura. El paquete</w:t>
      </w:r>
      <w:r>
        <w:t xml:space="preserve"> </w:t>
      </w:r>
      <w:r>
        <w:rPr>
          <w:b/>
          <w:bCs/>
        </w:rPr>
        <w:t xml:space="preserve">eidosapi</w:t>
      </w:r>
      <w:r>
        <w:t xml:space="preserve"> </w:t>
      </w:r>
      <w:r>
        <w:t xml:space="preserve">incluye la función</w:t>
      </w:r>
      <w:r>
        <w:t xml:space="preserve"> </w:t>
      </w:r>
      <w:r>
        <w:rPr>
          <w:rStyle w:val="VerbatimChar"/>
        </w:rPr>
        <w:t xml:space="preserve">eidos_fuzzy_names</w:t>
      </w:r>
      <w:r>
        <w:t xml:space="preserve"> </w:t>
      </w:r>
      <w:r>
        <w:t xml:space="preserve">que permite consultar en la LP, previa descarga con la función</w:t>
      </w:r>
      <w:r>
        <w:t xml:space="preserve"> </w:t>
      </w:r>
      <w:r>
        <w:rPr>
          <w:rStyle w:val="VerbatimChar"/>
        </w:rPr>
        <w:t xml:space="preserve">eidos_clean_checklist</w:t>
      </w:r>
      <w:r>
        <w:t xml:space="preserve">, los nombres que más se acerquen a la información que hayamos aportado. Podemos comprobarlo con algunos nombres muy mal escritos.</w:t>
      </w:r>
    </w:p>
    <w:p>
      <w:pPr>
        <w:pStyle w:val="SourceCode"/>
      </w:pPr>
      <w:r>
        <w:rPr>
          <w:rStyle w:val="CommentTok0"/>
        </w:rPr>
        <w:t xml:space="preserve"># Creamos la tabla con la información que queremos contrastar:</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"Vorderea"</w:t>
      </w:r>
      <w:r>
        <w:rPr>
          <w:rStyle w:val="NormalTok0"/>
        </w:rPr>
        <w:t xml:space="preserve">, </w:t>
      </w:r>
      <w:r>
        <w:rPr>
          <w:rStyle w:val="StringTok0"/>
        </w:rPr>
        <w:t xml:space="preserve">"Alytes"</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"pyrenaica"</w:t>
      </w:r>
      <w:r>
        <w:rPr>
          <w:rStyle w:val="NormalTok0"/>
        </w:rPr>
        <w:t xml:space="preserve">, </w:t>
      </w:r>
      <w:r>
        <w:rPr>
          <w:rStyle w:val="StringTok0"/>
        </w:rPr>
        <w:t xml:space="preserve">"cisternasi"</w:t>
      </w:r>
      <w:r>
        <w:rPr>
          <w:rStyle w:val="NormalTok0"/>
        </w:rPr>
        <w:t xml:space="preserve">))</w:t>
      </w:r>
      <w:r>
        <w:br/>
      </w:r>
      <w:r>
        <w:br/>
      </w:r>
      <w:r>
        <w:rPr>
          <w:rStyle w:val="CommentTok0"/>
        </w:rPr>
        <w:t xml:space="preserve"># Obtendremos un error si no incluimos la LP como argumento:</w:t>
      </w:r>
      <w:r>
        <w:br/>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w:t>
      </w:r>
    </w:p>
    <w:p>
      <w:pPr>
        <w:pStyle w:val="SourceCode"/>
      </w:pPr>
      <w:r>
        <w:rPr>
          <w:rStyle w:val="VerbatimChar"/>
        </w:rPr>
        <w:t xml:space="preserve">Error in eidos_fuzzy_names(taxa_list = taxa_list): Checklist missing.</w:t>
      </w:r>
      <w:r>
        <w:br/>
      </w:r>
      <w:r>
        <w:rPr>
          <w:rStyle w:val="VerbatimChar"/>
        </w:rPr>
        <w:t xml:space="preserve">         Please run eidos_clean_checklist() and</w:t>
      </w:r>
      <w:r>
        <w:br/>
      </w:r>
      <w:r>
        <w:rPr>
          <w:rStyle w:val="VerbatimChar"/>
        </w:rPr>
        <w:t xml:space="preserve">         include result in argument checklist</w:t>
      </w:r>
    </w:p>
    <w:p>
      <w:pPr>
        <w:pStyle w:val="SourceCode"/>
      </w:pPr>
      <w:r>
        <w:rPr>
          <w:rStyle w:val="CommentTok0"/>
        </w:rPr>
        <w:t xml:space="preserve"># Descargarmos la LP y la guardamos en un objeto en el entorno de </w:t>
      </w:r>
      <w:r>
        <w:br/>
      </w:r>
      <w:r>
        <w:rPr>
          <w:rStyle w:val="CommentTok0"/>
        </w:rPr>
        <w:t xml:space="preserve"># trabajo de R:</w:t>
      </w:r>
      <w:r>
        <w:br/>
      </w:r>
      <w:r>
        <w:rPr>
          <w:rStyle w:val="NormalTok0"/>
        </w:rPr>
        <w:t xml:space="preserve">checklist </w:t>
      </w:r>
      <w:r>
        <w:rPr>
          <w:rStyle w:val="OtherTok0"/>
        </w:rPr>
        <w:t xml:space="preserve">=</w:t>
      </w:r>
      <w:r>
        <w:rPr>
          <w:rStyle w:val="NormalTok0"/>
        </w:rPr>
        <w:t xml:space="preserve"> </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CommentTok0"/>
        </w:rPr>
        <w:t xml:space="preserve"># Ya podemos usar la función eidos_fuzzy_names:</w:t>
      </w:r>
      <w:r>
        <w:br/>
      </w:r>
      <w:r>
        <w:rPr>
          <w:rStyle w:val="NormalTok0"/>
        </w:rPr>
        <w:t xml:space="preserve">eidos_result </w:t>
      </w:r>
      <w:r>
        <w:rPr>
          <w:rStyle w:val="OtherTok0"/>
        </w:rPr>
        <w:t xml:space="preserve">=</w:t>
      </w:r>
      <w:r>
        <w:rPr>
          <w:rStyle w:val="NormalTok0"/>
        </w:rPr>
        <w:t xml:space="preserve"> </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br/>
      </w:r>
      <w:r>
        <w:rPr>
          <w:rStyle w:val="NormalTok0"/>
        </w:rPr>
        <w:t xml:space="preserve">                                           </w:t>
      </w:r>
      <w:r>
        <w:rPr>
          <w:rStyle w:val="AttributeTok"/>
        </w:rPr>
        <w:t xml:space="preserve">checklist =</w:t>
      </w:r>
      <w:r>
        <w:rPr>
          <w:rStyle w:val="NormalTok0"/>
        </w:rPr>
        <w:t xml:space="preserve"> checklist)</w:t>
      </w:r>
      <w:r>
        <w:br/>
      </w:r>
      <w:r>
        <w:br/>
      </w:r>
      <w:r>
        <w:rPr>
          <w:rStyle w:val="CommentTok0"/>
        </w:rPr>
        <w:t xml:space="preserve"># Podemos comprobar que ha encontrado dos coincidencias: </w:t>
      </w:r>
      <w:r>
        <w:br/>
      </w:r>
      <w:r>
        <w:rPr>
          <w:rStyle w:val="CommentTok0"/>
        </w:rPr>
        <w:t xml:space="preserve"># Borderea pyrenaica y Alytes cisternasii:</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"name_clean"</w:t>
      </w:r>
      <w:r>
        <w:rPr>
          <w:rStyle w:val="NormalTok0"/>
        </w:rPr>
        <w:t xml:space="preserve">, </w:t>
      </w:r>
      <w:r>
        <w:br/>
      </w:r>
      <w:r>
        <w:rPr>
          <w:rStyle w:val="NormalTok0"/>
        </w:rPr>
        <w:t xml:space="preserve">               </w:t>
      </w:r>
      <w:r>
        <w:rPr>
          <w:rStyle w:val="StringTok0"/>
        </w:rPr>
        <w:t xml:space="preserve">"name"</w:t>
      </w:r>
      <w:r>
        <w:rPr>
          <w:rStyle w:val="NormalTok0"/>
        </w:rPr>
        <w:t xml:space="preserve">, </w:t>
      </w:r>
      <w:r>
        <w:rPr>
          <w:rStyle w:val="StringTok0"/>
        </w:rPr>
        <w:t xml:space="preserve">"withoutautorship"</w:t>
      </w:r>
      <w:r>
        <w:rPr>
          <w:rStyle w:val="NormalTok0"/>
        </w:rPr>
        <w:t xml:space="preserve">)])</w:t>
      </w:r>
    </w:p>
    <w:tbl>
      <w:tblPr>
        <w:tblStyle w:val="Table"/>
        <w:tblW w:type="pct" w:w="5000"/>
        <w:tblLayout w:type="fixed"/>
        <w:tblLook w:firstRow="1" w:lastRow="0" w:firstColumn="0" w:lastColumn="0" w:noHBand="0" w:noVBand="0" w:val="0020"/>
      </w:tblPr>
      <w:tblGrid>
        <w:gridCol w:w="812"/>
        <w:gridCol w:w="1929"/>
        <w:gridCol w:w="3147"/>
        <w:gridCol w:w="2030"/>
      </w:tblGrid>
      <w:tr>
        <w:trPr>
          <w:tblHeader w:val="on"/>
        </w:trPr>
        <w:tc>
          <w:tcPr/>
          <w:p>
            <w:pPr>
              <w:pStyle w:val="Compact"/>
              <w:jc w:val="left"/>
            </w:pPr>
            <w:r>
              <w:t xml:space="preserve">idtaxon</w:t>
            </w:r>
          </w:p>
        </w:tc>
        <w:tc>
          <w:tcPr/>
          <w:p>
            <w:pPr>
              <w:pStyle w:val="Compact"/>
              <w:jc w:val="left"/>
            </w:pPr>
            <w:r>
              <w:t xml:space="preserve">name_clean</w:t>
            </w:r>
          </w:p>
        </w:tc>
        <w:tc>
          <w:tcPr/>
          <w:p>
            <w:pPr>
              <w:pStyle w:val="Compact"/>
              <w:jc w:val="left"/>
            </w:pPr>
            <w:r>
              <w:t xml:space="preserve">name</w:t>
            </w:r>
          </w:p>
        </w:tc>
        <w:tc>
          <w:tcPr/>
          <w:p>
            <w:pPr>
              <w:pStyle w:val="Compact"/>
              <w:jc w:val="left"/>
            </w:pPr>
            <w:r>
              <w:t xml:space="preserve">withoutautorship</w:t>
            </w:r>
          </w:p>
        </w:tc>
      </w:tr>
      <w:tr>
        <w:tc>
          <w:tcPr/>
          <w:p>
            <w:pPr>
              <w:pStyle w:val="Compact"/>
              <w:jc w:val="left"/>
            </w:pPr>
            <w:r>
              <w:t xml:space="preserve">94856</w:t>
            </w:r>
          </w:p>
        </w:tc>
        <w:tc>
          <w:tcPr/>
          <w:p>
            <w:pPr>
              <w:pStyle w:val="Compact"/>
              <w:jc w:val="left"/>
            </w:pPr>
            <w:r>
              <w:t xml:space="preserve">Borderea pyrenaica</w:t>
            </w:r>
          </w:p>
        </w:tc>
        <w:tc>
          <w:tcPr/>
          <w:p>
            <w:pPr>
              <w:pStyle w:val="Compact"/>
              <w:jc w:val="left"/>
            </w:pPr>
            <w:r>
              <w:t xml:space="preserve">Borderea pyrenaica Miégev.</w:t>
            </w:r>
          </w:p>
        </w:tc>
        <w:tc>
          <w:tcPr/>
          <w:p>
            <w:pPr>
              <w:pStyle w:val="Compact"/>
              <w:jc w:val="left"/>
            </w:pPr>
            <w:r>
              <w:t xml:space="preserve">Dioscorea pyrenaica</w:t>
            </w:r>
          </w:p>
        </w:tc>
      </w:tr>
      <w:tr>
        <w:tc>
          <w:tcPr/>
          <w:p>
            <w:pPr>
              <w:pStyle w:val="Compact"/>
              <w:jc w:val="left"/>
            </w:pPr>
            <w:r>
              <w:t xml:space="preserve">10909</w:t>
            </w:r>
          </w:p>
        </w:tc>
        <w:tc>
          <w:tcPr/>
          <w:p>
            <w:pPr>
              <w:pStyle w:val="Compact"/>
              <w:jc w:val="left"/>
            </w:pPr>
            <w:r>
              <w:t xml:space="preserve">Alytes cisternasii</w:t>
            </w:r>
          </w:p>
        </w:tc>
        <w:tc>
          <w:tcPr/>
          <w:p>
            <w:pPr>
              <w:pStyle w:val="Compact"/>
              <w:jc w:val="left"/>
            </w:pPr>
            <w:r>
              <w:t xml:space="preserve">Alytes cisternasii Boscá, 1879</w:t>
            </w:r>
          </w:p>
        </w:tc>
        <w:tc>
          <w:tcPr/>
          <w:p>
            <w:pPr>
              <w:pStyle w:val="Compact"/>
              <w:jc w:val="left"/>
            </w:pPr>
            <w:r>
              <w:t xml:space="preserve">Alytes cisternasii</w:t>
            </w:r>
          </w:p>
        </w:tc>
      </w:tr>
    </w:tbl>
    <w:bookmarkEnd w:id="32"/>
    <w:bookmarkEnd w:id="33"/>
    <w:bookmarkStart w:id="34" w:name="conclusiones"/>
    <w:p>
      <w:pPr>
        <w:pStyle w:val="Heading1"/>
      </w:pPr>
      <w:r>
        <w:t xml:space="preserve">Conclusiones</w:t>
      </w:r>
    </w:p>
    <w:p>
      <w:pPr>
        <w:pStyle w:val="FirstParagraph"/>
      </w:pPr>
      <w:r>
        <w:t xml:space="preserve">El paquete</w:t>
      </w:r>
      <w:r>
        <w:t xml:space="preserve"> </w:t>
      </w:r>
      <w:r>
        <w:rPr>
          <w:b/>
          <w:bCs/>
        </w:rPr>
        <w:t xml:space="preserve">eidosapi</w:t>
      </w:r>
      <w:r>
        <w:t xml:space="preserve"> </w:t>
      </w:r>
      <w:r>
        <w:t xml:space="preserve">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bookmarkEnd w:id="34"/>
    <w:bookmarkStart w:id="35" w:name="contribución-de-los-autores"/>
    <w:p>
      <w:pPr>
        <w:pStyle w:val="Heading1"/>
      </w:pPr>
      <w:r>
        <w:t xml:space="preserve">Contribución de los autores</w:t>
      </w:r>
    </w:p>
    <w:p>
      <w:pPr>
        <w:pStyle w:val="FirstParagraph"/>
      </w:pPr>
      <w:r>
        <w:t xml:space="preserve">Conceptualization, Software, Writing – original draft, Writing – review &amp; editing: Héctor Miranda-Cebrián</w:t>
      </w:r>
    </w:p>
    <w:bookmarkEnd w:id="35"/>
    <w:bookmarkStart w:id="36"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6"/>
    <w:bookmarkStart w:id="51" w:name="referencias"/>
    <w:p>
      <w:pPr>
        <w:pStyle w:val="Heading1"/>
      </w:pPr>
      <w:r>
        <w:t xml:space="preserve">Referencias</w:t>
      </w:r>
    </w:p>
    <w:bookmarkStart w:id="50" w:name="refs"/>
    <w:bookmarkStart w:id="38" w:name="ref-Chamberlain_2020"/>
    <w:p>
      <w:pPr>
        <w:pStyle w:val="Bibliography"/>
      </w:pPr>
      <w:r>
        <w:t xml:space="preserve">Chamberlain, S., Szoecs, E., Foster, Z., Arendsee, Z., Boettiger, C., Ram, K., Bartomeus, I. et al. 2020.</w:t>
      </w:r>
      <w:r>
        <w:t xml:space="preserve"> </w:t>
      </w:r>
      <w:hyperlink r:id="rId37">
        <w:r>
          <w:rPr>
            <w:rStyle w:val="Hyperlink"/>
            <w:i/>
            <w:iCs/>
          </w:rPr>
          <w:t xml:space="preserve">taxize: Taxonomic information from around the web</w:t>
        </w:r>
      </w:hyperlink>
      <w:r>
        <w:t xml:space="preserve">.</w:t>
      </w:r>
    </w:p>
    <w:bookmarkEnd w:id="38"/>
    <w:bookmarkStart w:id="39" w:name="ref-kindt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39"/>
    <w:bookmarkStart w:id="41" w:name="ref-Ooms_2014"/>
    <w:p>
      <w:pPr>
        <w:pStyle w:val="Bibliography"/>
      </w:pPr>
      <w:r>
        <w:t xml:space="preserve">Ooms, J. 2014.</w:t>
      </w:r>
      <w:r>
        <w:t xml:space="preserve"> </w:t>
      </w:r>
      <w:hyperlink r:id="rId40">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41"/>
    <w:bookmarkStart w:id="43" w:name="ref-Patterson2010"/>
    <w:p>
      <w:pPr>
        <w:pStyle w:val="Bibliography"/>
      </w:pPr>
      <w:r>
        <w:t xml:space="preserve">Patterson, D.J., Cooper, J., Kirk, P.M., Pyle, R.L., Remsen, D.P. 2010.</w:t>
      </w:r>
      <w:r>
        <w:t xml:space="preserve"> </w:t>
      </w:r>
      <w:hyperlink r:id="rId42">
        <w:r>
          <w:rPr>
            <w:rStyle w:val="Hyperlink"/>
          </w:rPr>
          <w:t xml:space="preserve">Names are key to the big new biology</w:t>
        </w:r>
      </w:hyperlink>
      <w:r>
        <w:t xml:space="preserve">.</w:t>
      </w:r>
      <w:r>
        <w:t xml:space="preserve"> </w:t>
      </w:r>
      <w:r>
        <w:rPr>
          <w:i/>
          <w:iCs/>
        </w:rPr>
        <w:t xml:space="preserve">Trends in Ecology &amp;amp; Evolution</w:t>
      </w:r>
      <w:r>
        <w:t xml:space="preserve"> </w:t>
      </w:r>
      <w:r>
        <w:t xml:space="preserve">25: 686-691.</w:t>
      </w:r>
    </w:p>
    <w:bookmarkEnd w:id="43"/>
    <w:bookmarkStart w:id="45" w:name="ref-R_Core_Team_2025"/>
    <w:p>
      <w:pPr>
        <w:pStyle w:val="Bibliography"/>
      </w:pPr>
      <w:r>
        <w:t xml:space="preserve">R Core Team. 2025.</w:t>
      </w:r>
      <w:r>
        <w:t xml:space="preserve"> </w:t>
      </w:r>
      <w:hyperlink r:id="rId44">
        <w:r>
          <w:rPr>
            <w:rStyle w:val="Hyperlink"/>
            <w:i/>
            <w:iCs/>
          </w:rPr>
          <w:t xml:space="preserve">R: A Language and Environment for Statistical Computing</w:t>
        </w:r>
      </w:hyperlink>
      <w:r>
        <w:t xml:space="preserve">. R Foundation for Statistical Computing, Vienna, Austria.</w:t>
      </w:r>
    </w:p>
    <w:bookmarkEnd w:id="45"/>
    <w:bookmarkStart w:id="47" w:name="ref-Robinson_2025"/>
    <w:p>
      <w:pPr>
        <w:pStyle w:val="Bibliography"/>
      </w:pPr>
      <w:r>
        <w:t xml:space="preserve">Robinson, D. 2025.</w:t>
      </w:r>
      <w:r>
        <w:t xml:space="preserve"> </w:t>
      </w:r>
      <w:hyperlink r:id="rId46">
        <w:r>
          <w:rPr>
            <w:rStyle w:val="Hyperlink"/>
            <w:i/>
            <w:iCs/>
          </w:rPr>
          <w:t xml:space="preserve">fuzzyjoin: Join Tables Together on Inexact Matching</w:t>
        </w:r>
      </w:hyperlink>
      <w:r>
        <w:t xml:space="preserve">.</w:t>
      </w:r>
    </w:p>
    <w:bookmarkEnd w:id="47"/>
    <w:bookmarkStart w:id="49" w:name="ref-Scott_Chamberlain_2013"/>
    <w:p>
      <w:pPr>
        <w:pStyle w:val="Bibliography"/>
      </w:pPr>
      <w:r>
        <w:t xml:space="preserve">Scott Chamberlain, Eduard Szocs. 2013.</w:t>
      </w:r>
      <w:r>
        <w:t xml:space="preserve"> </w:t>
      </w:r>
      <w:hyperlink r:id="rId48">
        <w:r>
          <w:rPr>
            <w:rStyle w:val="Hyperlink"/>
          </w:rPr>
          <w:t xml:space="preserve">taxize - taxonomic search and retrieval in R</w:t>
        </w:r>
      </w:hyperlink>
      <w:r>
        <w:t xml:space="preserve">.</w:t>
      </w:r>
      <w:r>
        <w:t xml:space="preserve"> </w:t>
      </w:r>
      <w:r>
        <w:rPr>
          <w:i/>
          <w:iCs/>
        </w:rPr>
        <w:t xml:space="preserve">F1000Research</w:t>
      </w:r>
      <w:r>
        <w:t xml:space="preserve">.</w:t>
      </w:r>
    </w:p>
    <w:bookmarkEnd w:id="49"/>
    <w:bookmarkEnd w:id="50"/>
    <w:bookmarkEnd w:id="51"/>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interactuar con la base de datos de biodiversidad EIDOS</dc:title>
  <dc:creator>Héctor Miranda-Cebrián*1</dc:creator>
  <dc:language>es</dc:language>
  <cp:keywords/>
  <dcterms:created xsi:type="dcterms:W3CDTF">2025-08-13T14:48:38Z</dcterms:created>
  <dcterms:modified xsi:type="dcterms:W3CDTF">2025-08-13T14:48:38Z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