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6.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eidos_api, un paquete para estandarizar la taxonomía de especies en España</w:t>
      </w:r>
    </w:p>
    <w:p>
      <w:pPr>
        <w:pStyle w:val="Author"/>
      </w:pPr>
      <w:r>
        <w:t xml:space="preserve">Héctor Miranda-Cebrián</w:t>
      </w:r>
      <w:r>
        <w:rPr>
          <w:vertAlign w:val="superscript"/>
        </w:rPr>
        <w:t xml:space="preserve">1</w:t>
      </w:r>
    </w:p>
    <w:p>
      <w:pPr>
        <w:pStyle w:val="Compact"/>
        <w:numPr>
          <w:ilvl w:val="0"/>
          <w:numId w:val="1001"/>
        </w:numPr>
      </w:pPr>
      <w:r>
        <w:t xml:space="preserve">Instituto Pirenaico de Ecología - CSIC</w:t>
      </w:r>
    </w:p>
    <w:p>
      <w:pPr>
        <w:pStyle w:val="BlockText"/>
      </w:pPr>
      <w:r>
        <w:t xml:space="preserve">Autor de correspondencia*: Héctor Miranda-Cebrián [</w:t>
      </w:r>
      <w:hyperlink r:id="rId20">
        <w:r>
          <w:rPr>
            <w:rStyle w:val="Hyperlink"/>
          </w:rPr>
          <w:t xml:space="preserve">hmiranda@ipe.csic.es</w:t>
        </w:r>
      </w:hyperlink>
      <w:r>
        <w:t xml:space="preserve">]</w:t>
      </w:r>
    </w:p>
    <w:bookmarkStart w:id="21" w:name="palabras-clave"/>
    <w:p>
      <w:pPr>
        <w:pStyle w:val="Heading1"/>
      </w:pPr>
      <w:r>
        <w:t xml:space="preserve">Palabras clave</w:t>
      </w:r>
    </w:p>
    <w:p>
      <w:pPr>
        <w:pStyle w:val="BlockText"/>
      </w:pPr>
      <w:r>
        <w:t xml:space="preserve">Taxonomía; Estandarización; Lista Patrón; palabraclave4</w:t>
      </w:r>
    </w:p>
    <w:bookmarkEnd w:id="21"/>
    <w:bookmarkStart w:id="25" w:name="keywords"/>
    <w:p>
      <w:pPr>
        <w:pStyle w:val="Heading1"/>
      </w:pPr>
      <w:r>
        <w:t xml:space="preserve">Keywords</w:t>
      </w:r>
    </w:p>
    <w:p>
      <w:pPr>
        <w:pStyle w:val="BlockText"/>
      </w:pPr>
      <w:r>
        <w:t xml:space="preserve">Taxonomy; Standardization; Checklist; keyword4</w:t>
      </w:r>
    </w:p>
    <w:p>
      <w:pPr>
        <w:pStyle w:val="FirstParagraph"/>
      </w:pPr>
      <w:r>
        <w:t xml:space="preserve">El trabajo en biología y cualquiera de sus disciplinas implica necesariamente el manejo de la taxonomía. Diferenciar correctamente diferentes especies en función de su nombre permite. Sin embargo, en ocasiones resulta complicado trabajar cuando no se trabaja directamente dentro del campo de la taxonomía. Esta, como cualquier otro campo de la ciencia, avanza y evoluciona, y con ella cambian los nombres de las especies, se asignan nombres nuevos o las clasificación taxonómica. Esto hace necesario que en ocasiones tengamos que navegar en un mar de sinónimos y equivalencias que dificultan . Para solventar este problema se han ido desarrollando diferente herramientas que permitan cotejar la nomenclatura de una especie contra una base de datos o</w:t>
      </w:r>
      <w:r>
        <w:t xml:space="preserve"> </w:t>
      </w:r>
      <w:r>
        <w:rPr>
          <w:i/>
          <w:iCs/>
        </w:rPr>
        <w:t xml:space="preserve">backbone</w:t>
      </w:r>
      <w:r>
        <w:t xml:space="preserve"> </w:t>
      </w:r>
      <w:r>
        <w:t xml:space="preserve">taxonomico. A nivel internacional, entre estas herramientas encontramos algunas de carácter generalista como GBIF o NCBI, y otras especializadas en grupos concretos de organismos como son Tropicos, WoRMS, World Flora Online, Plants of the World Online por citar algunas. A nivel nacional, en España contamos con el acceso a Flora Ibérica y Fauna Ibérica, ambas dos permitiendo consultar sinónimos y nombres a través de sus respectivas páginas web. Entre todas las herramientas anteriores, encontramos varios casos de uso y limitaciones. Las herramientas más generalistas, como GBIF o NCBI, cuentan con extensas bases de datos que pueden consultarse tanto de forma interactiva en sus webs como a través de APIs desde entornos como R. Un ejemplo de esto último son los paquetes</w:t>
      </w:r>
      <w:r>
        <w:t xml:space="preserve"> </w:t>
      </w:r>
      <w:r>
        <w:rPr>
          <w:i/>
          <w:iCs/>
        </w:rPr>
        <w:t xml:space="preserve">rgbif</w:t>
      </w:r>
      <w:r>
        <w:t xml:space="preserve"> </w:t>
      </w:r>
      <w:r>
        <w:t xml:space="preserve">(Chamberlain y Boettiger, 2017; Chamberlain et al., 2025)</w:t>
      </w:r>
      <w:r>
        <w:t xml:space="preserve"> </w:t>
      </w:r>
      <w:r>
        <w:t xml:space="preserve">y</w:t>
      </w:r>
      <w:r>
        <w:t xml:space="preserve"> </w:t>
      </w:r>
      <w:r>
        <w:rPr>
          <w:i/>
          <w:iCs/>
        </w:rPr>
        <w:t xml:space="preserve">taxize</w:t>
      </w:r>
      <w:r>
        <w:t xml:space="preserve"> </w:t>
      </w:r>
      <w:r>
        <w:t xml:space="preserve">(</w:t>
      </w:r>
      <w:r>
        <w:rPr>
          <w:b/>
          <w:bCs/>
        </w:rPr>
        <w:t xml:space="preserve">taxize2020?</w:t>
      </w:r>
      <w:r>
        <w:t xml:space="preserve">)</w:t>
      </w:r>
      <w:r>
        <w:t xml:space="preserve">. Estos servicios, sin embargo, a veces están limitados en el número de especies que incluyen, algo que se hace especialmente patente si trabajamos con taxa raros o de distirbución muy limitada como subespecies endémicas. Los servicios especializados en un solo grupo taxonómico suelen ser una mejor opción en estos casos y la mayoría de ellos cuentan con APIs especializadas, como pueden ser los paquetes WorldFlora</w:t>
      </w:r>
      <w:r>
        <w:t xml:space="preserve"> </w:t>
      </w:r>
      <w:r>
        <w:t xml:space="preserve">(Kindt, 2020)</w:t>
      </w:r>
      <w:r>
        <w:t xml:space="preserve"> </w:t>
      </w:r>
      <w:r>
        <w:t xml:space="preserve">para acceder a World Flora Online o LCVP</w:t>
      </w:r>
      <w:r>
        <w:t xml:space="preserve"> </w:t>
      </w:r>
      <w:r>
        <w:t xml:space="preserve">(Freiberg et al., 2020)</w:t>
      </w:r>
      <w:r>
        <w:t xml:space="preserve"> </w:t>
      </w:r>
      <w:r>
        <w:t xml:space="preserve">para acceder al Catalogo de Plantas Vasculates de Leipzig (</w:t>
      </w:r>
      <w:r>
        <w:rPr>
          <w:i/>
          <w:iCs/>
        </w:rPr>
        <w:t xml:space="preserve">Leipzig Catalogue of Vascular Plants</w:t>
      </w:r>
      <w:r>
        <w:t xml:space="preserve">). La principal desventaja de estos servicios radica en que, a pesar de esto, no tienen información sobre la parte nacional, los nombres aceptados ahí no siempre casan con la parte legislativa/listas nacionales. Por otro lado, su carácter limitado a un solo grupo limita también su utilidad cuando tenemos que trabajar con varios grupos taxonómicos a la vez, como podría ser a la hora de redactar un informe de impacto ambiental o una revisión sistemática del estado de conservación de múltiples especies. Este último caso también evidencia otra de las limitaciones de todos los servicios mencionados anteriormente, su falta de interoperabilidad con bases de datos o catálogos de amenaza a nivel nacional. Aunque contamos con las mencionadas webs de Flora y Fauna Ibérica, estas están limitadas y no cuentan con una forma sencilla que permita acceder a ellas y contrastar la taxonomía de una o varias especies de forma automática o desde entornos de trabajo que permitan integrar los resultados en un flujo de trabajo.</w:t>
      </w:r>
    </w:p>
    <w:bookmarkStart w:id="24" w:name="de-las-listas-patrón-a-eidos"/>
    <w:p>
      <w:pPr>
        <w:pStyle w:val="Heading2"/>
      </w:pPr>
      <w:r>
        <w:t xml:space="preserve">De las Listas Patrón a EIDOS</w:t>
      </w:r>
    </w:p>
    <w:p>
      <w:pPr>
        <w:pStyle w:val="FirstParagraph"/>
      </w:pPr>
      <w:r>
        <w:t xml:space="preserve">La Lista Patrón de Especies Silvestres presentes en España es el mayor catálogo de especie y recoge un gran . Incluye información taxonómica proveniente de autoridades como son el MNCN, el Jardín Botánico, AHE, SEO/Birdlife, y muchos más. Esta lista complementa el</w:t>
      </w:r>
      <w:r>
        <w:t xml:space="preserve"> </w:t>
      </w:r>
      <w:hyperlink r:id="rId22">
        <w:r>
          <w:rPr>
            <w:rStyle w:val="Hyperlink"/>
          </w:rPr>
          <w:t xml:space="preserve">Inventario Español del Patrimonio Natural y de la Biodiversidad (IEPNB)</w:t>
        </w:r>
      </w:hyperlink>
      <w:r>
        <w:t xml:space="preserve">, que a su vez recoge información sobre otras especies no incluidas en la LP, así como información sobre su estado de conservación y legislación al respecto. El IEPNB permite acceder desde su web a la información de más de 63000 taxa tanto terrestres como marinos, autóctonos y alóctonos. Sin embargo, la verdadera ventaja de esta herramienta es la disponibilidad de varias interfaces de programación de aplicaciones (API) para interactuar con la base de datos, permitiendo realizar consultas más refinadas así como descargar Listas Completas. Esto nos permite buscar no solo los nombres de las especies, si no también su estado de conservación, su estado legal. La</w:t>
      </w:r>
      <w:r>
        <w:t xml:space="preserve"> </w:t>
      </w:r>
      <w:hyperlink r:id="rId23">
        <w:r>
          <w:rPr>
            <w:rStyle w:val="Hyperlink"/>
          </w:rPr>
          <w:t xml:space="preserve">API</w:t>
        </w:r>
      </w:hyperlink>
      <w:r>
        <w:t xml:space="preserve"> </w:t>
      </w:r>
      <w:r>
        <w:t xml:space="preserve">disponible directamente desde internet no permite realizar consultas múltiples, sin embargo es posible acceder a ella de forma programática desde entornos como R</w:t>
      </w:r>
      <w:r>
        <w:t xml:space="preserve"> </w:t>
      </w:r>
      <w:r>
        <w:t xml:space="preserve">(R Core Team, 2025)</w:t>
      </w:r>
      <w:r>
        <w:t xml:space="preserve">, y por tanto es posible automatizar los procesos de consulta.</w:t>
      </w:r>
    </w:p>
    <w:bookmarkEnd w:id="24"/>
    <w:bookmarkEnd w:id="25"/>
    <w:bookmarkStart w:id="32" w:name="el-paquete-de-r-eidos_api"/>
    <w:p>
      <w:pPr>
        <w:pStyle w:val="Heading1"/>
      </w:pPr>
      <w:r>
        <w:t xml:space="preserve">El paquete de R eidos_api</w:t>
      </w:r>
    </w:p>
    <w:p>
      <w:pPr>
        <w:pStyle w:val="FirstParagraph"/>
      </w:pPr>
      <w:r>
        <w:t xml:space="preserve">Con el objetivo de facilitar la tarea de cotejar y contrastar la taxonomía de varias de especies, se desarrolló el paquete eidos_api para R</w:t>
      </w:r>
      <w:r>
        <w:t xml:space="preserve"> </w:t>
      </w:r>
      <w:r>
        <w:t xml:space="preserve">(R Core Team, 2025)</w:t>
      </w:r>
      <w:r>
        <w:t xml:space="preserve">, disponible abiertamente desde</w:t>
      </w:r>
      <w:r>
        <w:t xml:space="preserve"> </w:t>
      </w:r>
      <w:hyperlink r:id="rId26">
        <w:r>
          <w:rPr>
            <w:rStyle w:val="Hyperlink"/>
          </w:rPr>
          <w:t xml:space="preserve">GitHub</w:t>
        </w:r>
      </w:hyperlink>
      <w:r>
        <w:t xml:space="preserve">. El paquete cuenta con siete funciones que facilitan el acceso a la API de EIDOS, haciendo uso de del paquete</w:t>
      </w:r>
      <w:r>
        <w:t xml:space="preserve"> </w:t>
      </w:r>
      <w:r>
        <w:rPr>
          <w:i/>
          <w:iCs/>
        </w:rPr>
        <w:t xml:space="preserve">jsonlite</w:t>
      </w:r>
      <w:r>
        <w:t xml:space="preserve"> </w:t>
      </w:r>
      <w:r>
        <w:t xml:space="preserve">(Ooms, 2014)</w:t>
      </w:r>
      <w:r>
        <w:t xml:space="preserve"> </w:t>
      </w:r>
      <w:r>
        <w:t xml:space="preserve">para interpretar los archivos JSON que devuelve la API al realizar consultas, así como del paquete</w:t>
      </w:r>
      <w:r>
        <w:t xml:space="preserve"> </w:t>
      </w:r>
      <w:r>
        <w:rPr>
          <w:i/>
          <w:iCs/>
        </w:rPr>
        <w:t xml:space="preserve">fuzzyjoin</w:t>
      </w:r>
      <w:r>
        <w:t xml:space="preserve"> </w:t>
      </w:r>
      <w:r>
        <w:t xml:space="preserve">(Robinson, 2025)</w:t>
      </w:r>
      <w:r>
        <w:t xml:space="preserve"> </w:t>
      </w:r>
      <w:r>
        <w:t xml:space="preserve">para realizar consultas basadas en lógica difusa que permitan buscar nombres aunque contengan algún error de escritura.</w:t>
      </w:r>
    </w:p>
    <w:bookmarkStart w:id="30" w:name="desglose-de-funciones-en-eidos_api"/>
    <w:p>
      <w:pPr>
        <w:pStyle w:val="Heading2"/>
      </w:pPr>
      <w:r>
        <w:t xml:space="preserve">Desglose de funciones en eidos_api</w:t>
      </w:r>
    </w:p>
    <w:p>
      <w:pPr>
        <w:pStyle w:val="FirstParagraph"/>
      </w:pPr>
      <w:r>
        <w:t xml:space="preserve">La principal función, y debatiblemente la maś util, es eidos_taxon_by_name. Esta permite obtener información sobre una lista de taxa intractuando directamente con la API. La información para consulta puede formatearse como un vector de nombres de especies en formato</w:t>
      </w:r>
      <w:r>
        <w:t xml:space="preserve"> </w:t>
      </w:r>
      <w:r>
        <w:t xml:space="preserve">“Género especie”</w:t>
      </w:r>
      <w:r>
        <w:t xml:space="preserve"> </w:t>
      </w:r>
      <w:r>
        <w:t xml:space="preserve">o</w:t>
      </w:r>
      <w:r>
        <w:t xml:space="preserve"> </w:t>
      </w:r>
      <w:r>
        <w:t xml:space="preserve">“Género especie subespecie”</w:t>
      </w:r>
      <w:r>
        <w:t xml:space="preserve"> </w:t>
      </w:r>
      <w:r>
        <w:t xml:space="preserve">(este último también permite variantes como</w:t>
      </w:r>
      <w:r>
        <w:t xml:space="preserve"> </w:t>
      </w:r>
      <w:r>
        <w:t xml:space="preserve">“Género especies subsp. subespecie”</w:t>
      </w:r>
      <w:r>
        <w:t xml:space="preserve"> </w:t>
      </w:r>
      <w:r>
        <w:t xml:space="preserve">y similares). También es posible usar un formato de tabla, con una columna para género, una para especie y otra para subespecie. De forma adicional, si conocemos la autoría descriptiva podemos incluirla para afinar más la búsqueda. El resultado de la función es un tabla (data frame) con la información que hemos aportado para la búsqueda más toda la información que devuelve la API. Esto incluye el identificador único del taxon que hayamos buscado, la valided taxonómica del nombre y los identificadores únicos del taxon. Estos últimos serán de gran utilidad para interactuar con el resto de funciones.</w:t>
      </w:r>
    </w:p>
    <w:p>
      <w:pPr>
        <w:pStyle w:val="BodyText"/>
      </w:pPr>
      <w:r>
        <w:t xml:space="preserve">El paquete incluye una función de apoyo, eidos_clean_checklist. Esta es un wrapper de eidos_tables que descarga la Lista Patrón, incluyendo todos los sinónimos disponibles en ella para cada taxón, en un formato listo para trabajar con otras funciones, principalmente eidos_fuzzy_names. Si decíamos que eidos_taxon_by_name era una de las funciones principales del paquete, eidos_fuzzy_names nos permite buscar especies en la LP de forma difusa. Es decir, podemos buscar un nombre mal escrito y la función nos devolverá los taxones más cercanos al nombre que hayamos buscado. Esta búsqueda puede refinarese más si conocemos algunos de los niveles superiores de clasificación de la especie que buscamos. La principal limitación de esta es que su ámbito se restringe a los taxones presentes en la LP.</w:t>
      </w:r>
    </w:p>
    <w:bookmarkStart w:id="29" w:name="instalación-y-ejemplos-de-uso"/>
    <w:p>
      <w:pPr>
        <w:pStyle w:val="Heading3"/>
      </w:pPr>
      <w:r>
        <w:t xml:space="preserve">Instalación y ejemplos de uso</w:t>
      </w:r>
    </w:p>
    <w:p>
      <w:pPr>
        <w:pStyle w:val="FirstParagraph"/>
      </w:pPr>
      <w:r>
        <w:t xml:space="preserve">La instalación del paquete puede hacerse facilmente desde R clonando el repositorio de GitHub.</w:t>
      </w:r>
    </w:p>
    <w:p>
      <w:pPr>
        <w:pStyle w:val="SourceCode"/>
      </w:pPr>
      <w:r>
        <w:rPr>
          <w:rStyle w:val="NormalTok0"/>
        </w:rPr>
        <w:t xml:space="preserve">remotes</w:t>
      </w:r>
      <w:r>
        <w:rPr>
          <w:rStyle w:val="SpecialCharTok"/>
        </w:rPr>
        <w:t xml:space="preserve">::</w:t>
      </w:r>
      <w:r>
        <w:rPr>
          <w:rStyle w:val="FunctionTok0"/>
        </w:rPr>
        <w:t xml:space="preserve">install_github</w:t>
      </w:r>
      <w:r>
        <w:rPr>
          <w:rStyle w:val="NormalTok0"/>
        </w:rPr>
        <w:t xml:space="preserve">(</w:t>
      </w:r>
      <w:r>
        <w:rPr>
          <w:rStyle w:val="StringTok0"/>
        </w:rPr>
        <w:t xml:space="preserve">"https://github.com/hmirceb/eidos_api"</w:t>
      </w:r>
      <w:r>
        <w:rPr>
          <w:rStyle w:val="NormalTok0"/>
        </w:rPr>
        <w:t xml:space="preserve">)</w:t>
      </w:r>
    </w:p>
    <w:p>
      <w:pPr>
        <w:pStyle w:val="SourceCode"/>
      </w:pPr>
      <w:r>
        <w:rPr>
          <w:rStyle w:val="VerbatimChar"/>
        </w:rPr>
        <w:t xml:space="preserve">Skipping install of 'eidosapi' from a github remote, the SHA1 (43a9fc90) has not changed since last install.</w:t>
      </w:r>
      <w:r>
        <w:br/>
      </w:r>
      <w:r>
        <w:rPr>
          <w:rStyle w:val="VerbatimChar"/>
        </w:rPr>
        <w:t xml:space="preserve">  Use `force = TRUE` to force installation</w:t>
      </w:r>
    </w:p>
    <w:p>
      <w:pPr>
        <w:pStyle w:val="SourceCode"/>
      </w:pPr>
      <w:r>
        <w:rPr>
          <w:rStyle w:val="FunctionTok0"/>
        </w:rPr>
        <w:t xml:space="preserve">library</w:t>
      </w:r>
      <w:r>
        <w:rPr>
          <w:rStyle w:val="NormalTok0"/>
        </w:rPr>
        <w:t xml:space="preserve">(eidosapi)</w:t>
      </w:r>
    </w:p>
    <w:p>
      <w:pPr>
        <w:pStyle w:val="FirstParagraph"/>
      </w:pPr>
      <w:r>
        <w:t xml:space="preserve">Vamos a replicar un ejemplo de uso básico, buscar dos especies una, el sapo partero ibérico (</w:t>
      </w:r>
      <w:r>
        <w:rPr>
          <w:i/>
          <w:iCs/>
        </w:rPr>
        <w:t xml:space="preserve">Alytes cisternasii</w:t>
      </w:r>
      <w:r>
        <w:t xml:space="preserve">), sin sinónimos; y otra,</w:t>
      </w:r>
      <w:r>
        <w:t xml:space="preserve"> </w:t>
      </w:r>
      <w:r>
        <w:rPr>
          <w:i/>
          <w:iCs/>
        </w:rPr>
        <w:t xml:space="preserve">Polygonum viviparum</w:t>
      </w:r>
      <w:r>
        <w:t xml:space="preserve">, con varios sinónimos. Para ello haremos uso de</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"Alytes"</w:t>
      </w:r>
      <w:r>
        <w:rPr>
          <w:rStyle w:val="NormalTok0"/>
        </w:rPr>
        <w:t xml:space="preserve">, </w:t>
      </w:r>
      <w:r>
        <w:rPr>
          <w:rStyle w:val="StringTok0"/>
        </w:rPr>
        <w:t xml:space="preserve">"Polygonum"</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"cisternasii"</w:t>
      </w:r>
      <w:r>
        <w:rPr>
          <w:rStyle w:val="NormalTok0"/>
        </w:rPr>
        <w:t xml:space="preserve">, </w:t>
      </w:r>
      <w:r>
        <w:rPr>
          <w:rStyle w:val="StringTok0"/>
        </w:rPr>
        <w:t xml:space="preserve">"viviparum"</w:t>
      </w:r>
      <w:r>
        <w:rPr>
          <w:rStyle w:val="NormalTok0"/>
        </w:rPr>
        <w:t xml:space="preserve">))</w:t>
      </w:r>
      <w:r>
        <w:br/>
      </w:r>
      <w:r>
        <w:rPr>
          <w:rStyle w:val="NormalTok0"/>
        </w:rPr>
        <w:t xml:space="preserve">eidosapi</w:t>
      </w:r>
      <w:r>
        <w:rPr>
          <w:rStyle w:val="SpecialCharTok"/>
        </w:rPr>
        <w:t xml:space="preserve">::</w:t>
      </w:r>
      <w:r>
        <w:rPr>
          <w:rStyle w:val="FunctionTok0"/>
        </w:rPr>
        <w:t xml:space="preserve">eidos_taxon_by_name</w:t>
      </w:r>
      <w:r>
        <w:rPr>
          <w:rStyle w:val="NormalTok0"/>
        </w:rPr>
        <w:t xml:space="preserve">(</w:t>
      </w:r>
      <w:r>
        <w:rPr>
          <w:rStyle w:val="AttributeTok"/>
        </w:rPr>
        <w:t xml:space="preserve">taxon_list =</w:t>
      </w:r>
      <w:r>
        <w:rPr>
          <w:rStyle w:val="NormalTok0"/>
        </w:rPr>
        <w:t xml:space="preserve"> taxa_list)</w:t>
      </w:r>
    </w:p>
    <w:p>
      <w:pPr>
        <w:pStyle w:val="SourceCode"/>
      </w:pPr>
      <w:r>
        <w:rPr>
          <w:rStyle w:val="VerbatimChar"/>
        </w:rPr>
        <w:t xml:space="preserve">       supplied_genus supplied_species supplied_subspecies</w:t>
      </w:r>
      <w:r>
        <w:br/>
      </w:r>
      <w:r>
        <w:rPr>
          <w:rStyle w:val="VerbatimChar"/>
        </w:rPr>
        <w:t xml:space="preserve">genus          Alytes      cisternasii                &lt;NA&gt;</w:t>
      </w:r>
      <w:r>
        <w:br/>
      </w:r>
      <w:r>
        <w:rPr>
          <w:rStyle w:val="VerbatimChar"/>
        </w:rPr>
        <w:t xml:space="preserve">genus1      Polygonum        viviparum                &lt;NA&gt;</w:t>
      </w:r>
      <w:r>
        <w:br/>
      </w:r>
      <w:r>
        <w:rPr>
          <w:rStyle w:val="VerbatimChar"/>
        </w:rPr>
        <w:t xml:space="preserve">       supplied_scientificnameauthorship nameid                           name</w:t>
      </w:r>
      <w:r>
        <w:br/>
      </w:r>
      <w:r>
        <w:rPr>
          <w:rStyle w:val="VerbatimChar"/>
        </w:rPr>
        <w:t xml:space="preserve">genus                               &lt;NA&gt;  10909 Alytes cisternasii Boscá, 1879</w:t>
      </w:r>
      <w:r>
        <w:br/>
      </w:r>
      <w:r>
        <w:rPr>
          <w:rStyle w:val="VerbatimChar"/>
        </w:rPr>
        <w:t xml:space="preserve">genus1                              &lt;NA&gt;   7277         Polygonum viviparum L.</w:t>
      </w:r>
      <w:r>
        <w:br/>
      </w:r>
      <w:r>
        <w:rPr>
          <w:rStyle w:val="VerbatimChar"/>
        </w:rPr>
        <w:t xml:space="preserve">       taxonrankid taxonrank verbatimtaxonrank areacode originid         origin</w:t>
      </w:r>
      <w:r>
        <w:br/>
      </w:r>
      <w:r>
        <w:rPr>
          <w:rStyle w:val="VerbatimChar"/>
        </w:rPr>
        <w:t xml:space="preserve">genus           10   Species               sp.        T        2 Especie nativa</w:t>
      </w:r>
      <w:r>
        <w:br/>
      </w:r>
      <w:r>
        <w:rPr>
          <w:rStyle w:val="VerbatimChar"/>
        </w:rPr>
        <w:t xml:space="preserve">genus1          10   Species               sp.        T        2 Especie nativa</w:t>
      </w:r>
      <w:r>
        <w:br/>
      </w:r>
      <w:r>
        <w:rPr>
          <w:rStyle w:val="VerbatimChar"/>
        </w:rPr>
        <w:t xml:space="preserve">       taxonomicgroupid     taxonomicgroup kingdomid  kingdom phylumid</w:t>
      </w:r>
      <w:r>
        <w:br/>
      </w:r>
      <w:r>
        <w:rPr>
          <w:rStyle w:val="VerbatimChar"/>
        </w:rPr>
        <w:t xml:space="preserve">genus                 2           Anfibios    200001 Animalia   200011</w:t>
      </w:r>
      <w:r>
        <w:br/>
      </w:r>
      <w:r>
        <w:rPr>
          <w:rStyle w:val="VerbatimChar"/>
        </w:rPr>
        <w:t xml:space="preserve">genus1               11 Plantas vasculares    200006  Plantae   200051</w:t>
      </w:r>
      <w:r>
        <w:br/>
      </w:r>
      <w:r>
        <w:rPr>
          <w:rStyle w:val="VerbatimChar"/>
        </w:rPr>
        <w:t xml:space="preserve">             phylum classid         class idorder          order familyid</w:t>
      </w:r>
      <w:r>
        <w:br/>
      </w:r>
      <w:r>
        <w:rPr>
          <w:rStyle w:val="VerbatimChar"/>
        </w:rPr>
        <w:t xml:space="preserve">genus      Chordata  200068      Amphibia  200277          Anura   201453</w:t>
      </w:r>
      <w:r>
        <w:br/>
      </w:r>
      <w:r>
        <w:rPr>
          <w:rStyle w:val="VerbatimChar"/>
        </w:rPr>
        <w:t xml:space="preserve">genus1 Tracheophyta  200170 Magnoliopsida  200713 Caryophyllales   241690</w:t>
      </w:r>
      <w:r>
        <w:br/>
      </w:r>
      <w:r>
        <w:rPr>
          <w:rStyle w:val="VerbatimChar"/>
        </w:rPr>
        <w:t xml:space="preserve">             family genusid     genus subgenusid subgenus specificepithet</w:t>
      </w:r>
      <w:r>
        <w:br/>
      </w:r>
      <w:r>
        <w:rPr>
          <w:rStyle w:val="VerbatimChar"/>
        </w:rPr>
        <w:t xml:space="preserve">genus      Alytidae  205517    Alytes         NA       NA     cisternasii</w:t>
      </w:r>
      <w:r>
        <w:br/>
      </w:r>
      <w:r>
        <w:rPr>
          <w:rStyle w:val="VerbatimChar"/>
        </w:rPr>
        <w:t xml:space="preserve">genus1 Polygonaceae  210167 Polygonum         NA       NA       viviparum</w:t>
      </w:r>
      <w:r>
        <w:br/>
      </w:r>
      <w:r>
        <w:rPr>
          <w:rStyle w:val="VerbatimChar"/>
        </w:rPr>
        <w:t xml:space="preserve">       infraspecificepithet</w:t>
      </w:r>
      <w:r>
        <w:br/>
      </w:r>
      <w:r>
        <w:rPr>
          <w:rStyle w:val="VerbatimChar"/>
        </w:rPr>
        <w:t xml:space="preserve">genus                      </w:t>
      </w:r>
      <w:r>
        <w:br/>
      </w:r>
      <w:r>
        <w:rPr>
          <w:rStyle w:val="VerbatimChar"/>
        </w:rPr>
        <w:t xml:space="preserve">genus1                     </w:t>
      </w:r>
      <w:r>
        <w:br/>
      </w:r>
      <w:r>
        <w:rPr>
          <w:rStyle w:val="VerbatimChar"/>
        </w:rPr>
        <w:t xml:space="preserve">                                                        taxonconceptid</w:t>
      </w:r>
      <w:r>
        <w:br/>
      </w:r>
      <w:r>
        <w:rPr>
          <w:rStyle w:val="VerbatimChar"/>
        </w:rPr>
        <w:t xml:space="preserve">genus                                                                 </w:t>
      </w:r>
      <w:r>
        <w:br/>
      </w:r>
      <w:r>
        <w:rPr>
          <w:rStyle w:val="VerbatimChar"/>
        </w:rPr>
        <w:t xml:space="preserve">genus1 urn:lsid:recibio.net:taxon:7c373d22-1f99-49f1-98bb-8520754188f3</w:t>
      </w:r>
      <w:r>
        <w:br/>
      </w:r>
      <w:r>
        <w:rPr>
          <w:rStyle w:val="VerbatimChar"/>
        </w:rPr>
        <w:t xml:space="preserve">                                                     scientificnameid</w:t>
      </w:r>
      <w:r>
        <w:br/>
      </w:r>
      <w:r>
        <w:rPr>
          <w:rStyle w:val="VerbatimChar"/>
        </w:rPr>
        <w:t xml:space="preserve">genus  urn:lsid:recibio.net:name:dd3843fa-abb3-46d3-82ec-b307c2b095e4</w:t>
      </w:r>
      <w:r>
        <w:br/>
      </w:r>
      <w:r>
        <w:rPr>
          <w:rStyle w:val="VerbatimChar"/>
        </w:rPr>
        <w:t xml:space="preserve">genus1                                                               </w:t>
      </w:r>
      <w:r>
        <w:br/>
      </w:r>
      <w:r>
        <w:rPr>
          <w:rStyle w:val="VerbatimChar"/>
        </w:rPr>
        <w:t xml:space="preserve">       originalnameusage</w:t>
      </w:r>
      <w:r>
        <w:br/>
      </w:r>
      <w:r>
        <w:rPr>
          <w:rStyle w:val="VerbatimChar"/>
        </w:rPr>
        <w:t xml:space="preserve">genus                   </w:t>
      </w:r>
      <w:r>
        <w:br/>
      </w:r>
      <w:r>
        <w:rPr>
          <w:rStyle w:val="VerbatimChar"/>
        </w:rPr>
        <w:t xml:space="preserve">genus1                  </w:t>
      </w:r>
      <w:r>
        <w:br/>
      </w:r>
      <w:r>
        <w:rPr>
          <w:rStyle w:val="VerbatimChar"/>
        </w:rPr>
        <w:t xml:space="preserve">                                                                                                                                                                              nameaccordingto</w:t>
      </w:r>
      <w:r>
        <w:br/>
      </w:r>
      <w:r>
        <w:rPr>
          <w:rStyle w:val="VerbatimChar"/>
        </w:rPr>
        <w:t xml:space="preserve">genus                                                                                                                                                                                        </w:t>
      </w:r>
      <w:r>
        <w:br/>
      </w:r>
      <w:r>
        <w:rPr>
          <w:rStyle w:val="VerbatimChar"/>
        </w:rPr>
        <w:t xml:space="preserve">genus1 CASTROVIEJO, S. (coord. gen.). 1986-2014. Flora iberica. Plantas vasculares de la Península Ibérica e Islas Baleares. 1-8, 10-16(1), 17-18, 20-21. Real Jardín Botánico, CSIC. Madrid.</w:t>
      </w:r>
      <w:r>
        <w:br/>
      </w:r>
      <w:r>
        <w:rPr>
          <w:rStyle w:val="VerbatimChar"/>
        </w:rPr>
        <w:t xml:space="preserve">            namepublishedin namepublishedinyear scientificnameauthorship</w:t>
      </w:r>
      <w:r>
        <w:br/>
      </w:r>
      <w:r>
        <w:rPr>
          <w:rStyle w:val="VerbatimChar"/>
        </w:rPr>
        <w:t xml:space="preserve">genus                                      &lt;NA&gt;              Boscá, 1879</w:t>
      </w:r>
      <w:r>
        <w:br/>
      </w:r>
      <w:r>
        <w:rPr>
          <w:rStyle w:val="VerbatimChar"/>
        </w:rPr>
        <w:t xml:space="preserve">genus1 Sp. Pl. 1: 360. 1753                1753                       L.</w:t>
      </w:r>
      <w:r>
        <w:br/>
      </w:r>
      <w:r>
        <w:rPr>
          <w:rStyle w:val="VerbatimChar"/>
        </w:rPr>
        <w:t xml:space="preserve">       remarks cites_code eunis_code euring_code rednatura_code lp taxonid</w:t>
      </w:r>
      <w:r>
        <w:br/>
      </w:r>
      <w:r>
        <w:rPr>
          <w:rStyle w:val="VerbatimChar"/>
        </w:rPr>
        <w:t xml:space="preserve">genus                  NA        634          NA           1192  1   10909</w:t>
      </w:r>
      <w:r>
        <w:br/>
      </w:r>
      <w:r>
        <w:rPr>
          <w:rStyle w:val="VerbatimChar"/>
        </w:rPr>
        <w:t xml:space="preserve">genus1                 NA     177573          NA           &lt;NA&gt; NA    7277</w:t>
      </w:r>
      <w:r>
        <w:br/>
      </w:r>
      <w:r>
        <w:rPr>
          <w:rStyle w:val="VerbatimChar"/>
        </w:rPr>
        <w:t xml:space="preserve">       nametypeid        nametype acceptednameid</w:t>
      </w:r>
      <w:r>
        <w:br/>
      </w:r>
      <w:r>
        <w:rPr>
          <w:rStyle w:val="VerbatimChar"/>
        </w:rPr>
        <w:t xml:space="preserve">genus          10 Aceptado/válido          10909</w:t>
      </w:r>
      <w:r>
        <w:br/>
      </w:r>
      <w:r>
        <w:rPr>
          <w:rStyle w:val="VerbatimChar"/>
        </w:rPr>
        <w:t xml:space="preserve">genus1         11        Sinónimo          32824</w:t>
      </w:r>
    </w:p>
    <w:p>
      <w:pPr>
        <w:pStyle w:val="FirstParagraph"/>
      </w:pPr>
      <w:r>
        <w:t xml:space="preserve">Desde aquí podríamos obetener información de interés como información taxonómica de mayor nivel, o el identificador único de la base de datos. Este podría ser usado, por ejemplo, para buscar el estado legal de cada una de las especies a nivel internacional, nacional y autonómico en España.</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"Alytes"</w:t>
      </w:r>
      <w:r>
        <w:rPr>
          <w:rStyle w:val="NormalTok0"/>
        </w:rPr>
        <w:t xml:space="preserve">, </w:t>
      </w:r>
      <w:r>
        <w:rPr>
          <w:rStyle w:val="StringTok0"/>
        </w:rPr>
        <w:t xml:space="preserve">"Polygonum"</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"cisternasii"</w:t>
      </w:r>
      <w:r>
        <w:rPr>
          <w:rStyle w:val="NormalTok0"/>
        </w:rPr>
        <w:t xml:space="preserve">, </w:t>
      </w:r>
      <w:r>
        <w:rPr>
          <w:rStyle w:val="StringTok0"/>
        </w:rPr>
        <w:t xml:space="preserve">"viviparum"</w:t>
      </w:r>
      <w:r>
        <w:rPr>
          <w:rStyle w:val="NormalTok0"/>
        </w:rPr>
        <w:t xml:space="preserve">))</w:t>
      </w:r>
      <w:r>
        <w:br/>
      </w:r>
      <w:r>
        <w:rPr>
          <w:rStyle w:val="NormalTok0"/>
        </w:rPr>
        <w:t xml:space="preserve">info_sps </w:t>
      </w:r>
      <w:r>
        <w:rPr>
          <w:rStyle w:val="OtherTok0"/>
        </w:rPr>
        <w:t xml:space="preserve">=</w:t>
      </w:r>
      <w:r>
        <w:rPr>
          <w:rStyle w:val="NormalTok0"/>
        </w:rPr>
        <w:t xml:space="preserve"> eidosapi</w:t>
      </w:r>
      <w:r>
        <w:rPr>
          <w:rStyle w:val="SpecialCharTok"/>
        </w:rPr>
        <w:t xml:space="preserve">::</w:t>
      </w:r>
      <w:r>
        <w:rPr>
          <w:rStyle w:val="FunctionTok0"/>
        </w:rPr>
        <w:t xml:space="preserve">eidos_taxon_by_name</w:t>
      </w:r>
      <w:r>
        <w:rPr>
          <w:rStyle w:val="NormalTok0"/>
        </w:rPr>
        <w:t xml:space="preserve">(</w:t>
      </w:r>
      <w:r>
        <w:rPr>
          <w:rStyle w:val="AttributeTok"/>
        </w:rPr>
        <w:t xml:space="preserve">taxon_list =</w:t>
      </w:r>
      <w:r>
        <w:rPr>
          <w:rStyle w:val="NormalTok0"/>
        </w:rPr>
        <w:t xml:space="preserve"> taxa_list)</w:t>
      </w:r>
    </w:p>
    <w:p>
      <w:pPr>
        <w:pStyle w:val="FirstParagraph"/>
      </w:pPr>
      <w:r>
        <w:t xml:space="preserve">Finalmente podemos cotejar un nombre mal escrito con la LP.</w:t>
      </w:r>
    </w:p>
    <w:p>
      <w:pPr>
        <w:pStyle w:val="SourceCode"/>
      </w:pPr>
      <w:r>
        <w:rPr>
          <w:rStyle w:val="NormalTok0"/>
        </w:rPr>
        <w:t xml:space="preserve">taxa_list </w:t>
      </w:r>
      <w:r>
        <w:rPr>
          <w:rStyle w:val="OtherTok0"/>
        </w:rPr>
        <w:t xml:space="preserve">=</w:t>
      </w:r>
      <w:r>
        <w:rPr>
          <w:rStyle w:val="NormalTok0"/>
        </w:rPr>
        <w:t xml:space="preserve"> </w:t>
      </w:r>
      <w:r>
        <w:rPr>
          <w:rStyle w:val="FunctionTok0"/>
        </w:rPr>
        <w:t xml:space="preserve">data.frame</w:t>
      </w:r>
      <w:r>
        <w:rPr>
          <w:rStyle w:val="NormalTok0"/>
        </w:rPr>
        <w:t xml:space="preserve">(</w:t>
      </w:r>
      <w:r>
        <w:rPr>
          <w:rStyle w:val="AttributeTok"/>
        </w:rPr>
        <w:t xml:space="preserve">genus =</w:t>
      </w:r>
      <w:r>
        <w:rPr>
          <w:rStyle w:val="NormalTok0"/>
        </w:rPr>
        <w:t xml:space="preserve"> </w:t>
      </w:r>
      <w:r>
        <w:rPr>
          <w:rStyle w:val="FunctionTok0"/>
        </w:rPr>
        <w:t xml:space="preserve">c</w:t>
      </w:r>
      <w:r>
        <w:rPr>
          <w:rStyle w:val="NormalTok0"/>
        </w:rPr>
        <w:t xml:space="preserve">(</w:t>
      </w:r>
      <w:r>
        <w:rPr>
          <w:rStyle w:val="StringTok0"/>
        </w:rPr>
        <w:t xml:space="preserve">"Lanius"</w:t>
      </w:r>
      <w:r>
        <w:rPr>
          <w:rStyle w:val="NormalTok0"/>
        </w:rPr>
        <w:t xml:space="preserve">, </w:t>
      </w:r>
      <w:r>
        <w:rPr>
          <w:rStyle w:val="StringTok0"/>
        </w:rPr>
        <w:t xml:space="preserve">"Vorderea"</w:t>
      </w:r>
      <w:r>
        <w:rPr>
          <w:rStyle w:val="NormalTok0"/>
        </w:rPr>
        <w:t xml:space="preserve">),</w:t>
      </w:r>
      <w:r>
        <w:br/>
      </w:r>
      <w:r>
        <w:rPr>
          <w:rStyle w:val="NormalTok0"/>
        </w:rPr>
        <w:t xml:space="preserve">                       </w:t>
      </w:r>
      <w:r>
        <w:rPr>
          <w:rStyle w:val="AttributeTok"/>
        </w:rPr>
        <w:t xml:space="preserve">species =</w:t>
      </w:r>
      <w:r>
        <w:rPr>
          <w:rStyle w:val="NormalTok0"/>
        </w:rPr>
        <w:t xml:space="preserve"> </w:t>
      </w:r>
      <w:r>
        <w:rPr>
          <w:rStyle w:val="FunctionTok0"/>
        </w:rPr>
        <w:t xml:space="preserve">c</w:t>
      </w:r>
      <w:r>
        <w:rPr>
          <w:rStyle w:val="NormalTok0"/>
        </w:rPr>
        <w:t xml:space="preserve">(</w:t>
      </w:r>
      <w:r>
        <w:rPr>
          <w:rStyle w:val="StringTok0"/>
        </w:rPr>
        <w:t xml:space="preserve">"meridionalis"</w:t>
      </w:r>
      <w:r>
        <w:rPr>
          <w:rStyle w:val="NormalTok0"/>
        </w:rPr>
        <w:t xml:space="preserve">, </w:t>
      </w:r>
      <w:r>
        <w:rPr>
          <w:rStyle w:val="StringTok0"/>
        </w:rPr>
        <w:t xml:space="preserve">"pirenaica"</w:t>
      </w:r>
      <w:r>
        <w:rPr>
          <w:rStyle w:val="NormalTok0"/>
        </w:rPr>
        <w:t xml:space="preserve">))</w:t>
      </w:r>
      <w:r>
        <w:br/>
      </w:r>
      <w:r>
        <w:rPr>
          <w:rStyle w:val="NormalTok0"/>
        </w:rPr>
        <w:t xml:space="preserve">checklist </w:t>
      </w:r>
      <w:r>
        <w:rPr>
          <w:rStyle w:val="OtherTok0"/>
        </w:rPr>
        <w:t xml:space="preserve">=</w:t>
      </w:r>
      <w:r>
        <w:rPr>
          <w:rStyle w:val="NormalTok0"/>
        </w:rPr>
        <w:t xml:space="preserve"> eidosapi</w:t>
      </w:r>
      <w:r>
        <w:rPr>
          <w:rStyle w:val="SpecialCharTok"/>
        </w:rPr>
        <w:t xml:space="preserve">::</w:t>
      </w:r>
      <w:r>
        <w:rPr>
          <w:rStyle w:val="FunctionTok0"/>
        </w:rPr>
        <w:t xml:space="preserve">eidos_clean_checklist</w:t>
      </w:r>
      <w:r>
        <w:rPr>
          <w:rStyle w:val="NormalTok0"/>
        </w:rPr>
        <w:t xml:space="preserve">()</w:t>
      </w:r>
    </w:p>
    <w:p>
      <w:pPr>
        <w:pStyle w:val="SourceCode"/>
      </w:pPr>
      <w:r>
        <w:rPr>
          <w:rStyle w:val="VerbatimChar"/>
        </w:rPr>
        <w:t xml:space="preserve">Downloading checklist and formatting, please wait...</w:t>
      </w:r>
    </w:p>
    <w:p>
      <w:pPr>
        <w:pStyle w:val="SourceCode"/>
      </w:pPr>
      <w:r>
        <w:rPr>
          <w:rStyle w:val="NormalTok0"/>
        </w:rPr>
        <w:t xml:space="preserve">fuzzy_info_sps </w:t>
      </w:r>
      <w:r>
        <w:rPr>
          <w:rStyle w:val="OtherTok0"/>
        </w:rPr>
        <w:t xml:space="preserve">=</w:t>
      </w:r>
      <w:r>
        <w:rPr>
          <w:rStyle w:val="NormalTok0"/>
        </w:rPr>
        <w:t xml:space="preserve"> eidosapi</w:t>
      </w:r>
      <w:r>
        <w:rPr>
          <w:rStyle w:val="SpecialCharTok"/>
        </w:rPr>
        <w:t xml:space="preserve">::</w:t>
      </w:r>
      <w:r>
        <w:rPr>
          <w:rStyle w:val="FunctionTok0"/>
        </w:rPr>
        <w:t xml:space="preserve">eidos_fuzzy_names</w:t>
      </w:r>
      <w:r>
        <w:rPr>
          <w:rStyle w:val="NormalTok0"/>
        </w:rPr>
        <w:t xml:space="preserve">(</w:t>
      </w:r>
      <w:r>
        <w:rPr>
          <w:rStyle w:val="AttributeTok"/>
        </w:rPr>
        <w:t xml:space="preserve">taxa_list =</w:t>
      </w:r>
      <w:r>
        <w:rPr>
          <w:rStyle w:val="NormalTok0"/>
        </w:rPr>
        <w:t xml:space="preserve"> taxa_list, </w:t>
      </w:r>
      <w:r>
        <w:rPr>
          <w:rStyle w:val="AttributeTok"/>
        </w:rPr>
        <w:t xml:space="preserve">checklist =</w:t>
      </w:r>
      <w:r>
        <w:rPr>
          <w:rStyle w:val="NormalTok0"/>
        </w:rPr>
        <w:t xml:space="preserve"> checklist)</w:t>
      </w:r>
    </w:p>
    <w:p>
      <w:pPr>
        <w:pStyle w:val="FirstParagraph"/>
      </w:pPr>
      <w:r>
        <w:t xml:space="preserve">Hay varias formas de citar bibliografía (véase</w:t>
      </w:r>
      <w:r>
        <w:t xml:space="preserve"> </w:t>
      </w:r>
      <w:hyperlink r:id="rId27">
        <w:r>
          <w:rPr>
            <w:rStyle w:val="Hyperlink"/>
          </w:rPr>
          <w:t xml:space="preserve">https://quarto.org/docs/authoring/footnotes-and-citations.html</w:t>
        </w:r>
      </w:hyperlink>
      <w:r>
        <w:t xml:space="preserve">). Una de ellas requiere simplemente adjuntar un fichero BibTex con todas las referencias (en este ejemplo</w:t>
      </w:r>
      <w:r>
        <w:t xml:space="preserve"> </w:t>
      </w:r>
      <w:r>
        <w:rPr>
          <w:rStyle w:val="VerbatimChar"/>
        </w:rPr>
        <w:t xml:space="preserve">references.bib</w:t>
      </w:r>
      <w:r>
        <w:t xml:space="preserve">), y citar cada una de ellas usando su</w:t>
      </w:r>
      <w:r>
        <w:t xml:space="preserve"> </w:t>
      </w:r>
      <w:r>
        <w:t xml:space="preserve">‘CitationKey’</w:t>
      </w:r>
      <w:r>
        <w:t xml:space="preserve"> </w:t>
      </w:r>
      <w:r>
        <w:t xml:space="preserve">(e.g. Yan y Gerstein, 2011; Sutherland et al., 2011)</w:t>
      </w:r>
      <w:r>
        <w:t xml:space="preserve">. También pueden buscarse referencias en internet, citar utilizando el DOI o conectarse a una bibliografía de Zotero (ver</w:t>
      </w:r>
      <w:r>
        <w:t xml:space="preserve"> </w:t>
      </w:r>
      <w:hyperlink r:id="rId28">
        <w:r>
          <w:rPr>
            <w:rStyle w:val="Hyperlink"/>
          </w:rPr>
          <w:t xml:space="preserve">https://quarto.org/docs/visual-editor</w:t>
        </w:r>
      </w:hyperlink>
      <w:r>
        <w:t xml:space="preserve">).</w:t>
      </w:r>
    </w:p>
    <w:bookmarkEnd w:id="29"/>
    <w:bookmarkEnd w:id="30"/>
    <w:bookmarkStart w:id="31" w:name="cómo-incluir-ejemplos"/>
    <w:p>
      <w:pPr>
        <w:pStyle w:val="Heading2"/>
      </w:pPr>
      <w:r>
        <w:t xml:space="preserve">Cómo incluir ejemplos</w:t>
      </w:r>
    </w:p>
    <w:p>
      <w:pPr>
        <w:pStyle w:val="FirstParagraph"/>
      </w:pPr>
      <w:r>
        <w:t xml:space="preserve">Ajustamos un modelo lineal:</w:t>
      </w:r>
    </w:p>
    <w:p>
      <w:pPr>
        <w:pStyle w:val="BodyText"/>
      </w:pPr>
      <m:oMathPara>
        <m:oMathParaPr>
          <m:jc m:val="center"/>
        </m:oMathParaPr>
        <m:oMath>
          <m:sSub>
            <m:e>
              <m:r>
                <m:t>y</m:t>
              </m:r>
            </m:e>
            <m:sub>
              <m:r>
                <m:t>i</m:t>
              </m:r>
            </m:sub>
          </m:sSub>
          <m:r>
            <m:rPr>
              <m:sty m:val="p"/>
            </m:rPr>
            <m:t>=</m:t>
          </m:r>
          <m:r>
            <m:t>α</m:t>
          </m:r>
          <m:r>
            <m:rPr>
              <m:sty m:val="p"/>
            </m:rPr>
            <m:t>+</m:t>
          </m:r>
          <m:r>
            <m:t>β</m:t>
          </m:r>
          <m:r>
            <m:rPr>
              <m:sty m:val="p"/>
            </m:rPr>
            <m:t>*</m:t>
          </m:r>
          <m:sSub>
            <m:e>
              <m:r>
                <m:t>x</m:t>
              </m:r>
            </m:e>
            <m:sub>
              <m:r>
                <m:t>i</m:t>
              </m:r>
            </m:sub>
          </m:sSub>
        </m:oMath>
      </m:oMathPara>
    </w:p>
    <w:p>
      <w:pPr>
        <w:pStyle w:val="FirstParagraph"/>
      </w:pPr>
      <w:r>
        <w:t xml:space="preserve">Utilizamos R</w:t>
      </w:r>
      <w:r>
        <w:t xml:space="preserve"> </w:t>
      </w:r>
      <w:r>
        <w:t xml:space="preserve">(R Core Team, 2025)</w:t>
      </w:r>
      <w:r>
        <w:t xml:space="preserve"> </w:t>
      </w:r>
      <w:r>
        <w:t xml:space="preserve">y Quarto</w:t>
      </w:r>
      <w:r>
        <w:t xml:space="preserve"> </w:t>
      </w:r>
      <w:r>
        <w:t xml:space="preserve">(Allaire y Dervieux, 2025)</w:t>
      </w:r>
      <w:r>
        <w:t xml:space="preserve"> </w:t>
      </w:r>
      <w:r>
        <w:t xml:space="preserve">para todos nuestros análisis. Para ajustar los modelos mixtos utilizamos</w:t>
      </w:r>
      <w:r>
        <w:t xml:space="preserve"> </w:t>
      </w:r>
      <w:r>
        <w:rPr>
          <w:rStyle w:val="VerbatimChar"/>
        </w:rPr>
        <w:t xml:space="preserve">lme4</w:t>
      </w:r>
      <w:r>
        <w:t xml:space="preserve"> </w:t>
      </w:r>
      <w:r>
        <w:t xml:space="preserve">(Bates et al., 2015)</w:t>
      </w:r>
      <w:r>
        <w:t xml:space="preserve">.</w:t>
      </w:r>
    </w:p>
    <w:bookmarkEnd w:id="31"/>
    <w:bookmarkEnd w:id="32"/>
    <w:bookmarkStart w:id="36" w:name="resultados"/>
    <w:p>
      <w:pPr>
        <w:pStyle w:val="Heading1"/>
      </w:pPr>
      <w:r>
        <w:t xml:space="preserve">Resultados</w:t>
      </w:r>
    </w:p>
    <w:p>
      <w:pPr>
        <w:pStyle w:val="FirstParagraph"/>
      </w:pPr>
      <w:r>
        <w:t xml:space="preserve">Esta sección está dividida en subsecciones.</w:t>
      </w:r>
    </w:p>
    <w:bookmarkStart w:id="33" w:name="subsección-1"/>
    <w:p>
      <w:pPr>
        <w:pStyle w:val="Heading2"/>
      </w:pPr>
      <w:r>
        <w:t xml:space="preserve">Subsección 1</w:t>
      </w:r>
    </w:p>
    <w:p>
      <w:pPr>
        <w:pStyle w:val="FirstParagraph"/>
      </w:pPr>
      <w:r>
        <w:t xml:space="preserve">Los árboles de la parcela A fueron más altos que en la parcela B (altura media: 25 vs 13 m). Y muchos más resultados que se actualizan dinámicamente.</w:t>
      </w:r>
    </w:p>
    <w:bookmarkEnd w:id="33"/>
    <w:bookmarkStart w:id="34" w:name="subsección-2"/>
    <w:p>
      <w:pPr>
        <w:pStyle w:val="Heading2"/>
      </w:pPr>
      <w:r>
        <w:t xml:space="preserve">Subsección 2</w:t>
      </w:r>
    </w:p>
    <w:p>
      <w:pPr>
        <w:pStyle w:val="FirstParagraph"/>
      </w:pPr>
      <w:r>
        <w:t xml:space="preserve">Texto.</w:t>
      </w:r>
    </w:p>
    <w:bookmarkEnd w:id="34"/>
    <w:bookmarkStart w:id="35" w:name="subsección-3"/>
    <w:p>
      <w:pPr>
        <w:pStyle w:val="Heading2"/>
      </w:pPr>
      <w:r>
        <w:t xml:space="preserve">Subsección 3</w:t>
      </w:r>
    </w:p>
    <w:p>
      <w:pPr>
        <w:pStyle w:val="FirstParagraph"/>
      </w:pPr>
      <w:r>
        <w:t xml:space="preserve">Texto.</w:t>
      </w:r>
    </w:p>
    <w:bookmarkEnd w:id="35"/>
    <w:bookmarkEnd w:id="36"/>
    <w:bookmarkStart w:id="37" w:name="discusión"/>
    <w:p>
      <w:pPr>
        <w:pStyle w:val="Heading1"/>
      </w:pPr>
      <w:r>
        <w:t xml:space="preserve">Discusión</w:t>
      </w:r>
    </w:p>
    <w:p>
      <w:pPr>
        <w:pStyle w:val="FirstParagraph"/>
      </w:pPr>
      <w:r>
        <w:t xml:space="preserve">Texto.</w:t>
      </w:r>
    </w:p>
    <w:bookmarkEnd w:id="37"/>
    <w:bookmarkStart w:id="38" w:name="conclusiones"/>
    <w:p>
      <w:pPr>
        <w:pStyle w:val="Heading1"/>
      </w:pPr>
      <w:r>
        <w:t xml:space="preserve">Conclusiones</w:t>
      </w:r>
    </w:p>
    <w:p>
      <w:pPr>
        <w:pStyle w:val="FirstParagraph"/>
      </w:pPr>
      <w:r>
        <w:t xml:space="preserve">Texto.</w:t>
      </w:r>
    </w:p>
    <w:bookmarkEnd w:id="38"/>
    <w:bookmarkStart w:id="39" w:name="contribución-de-los-autores"/>
    <w:p>
      <w:pPr>
        <w:pStyle w:val="Heading1"/>
      </w:pPr>
      <w:r>
        <w:t xml:space="preserve">Contribución de los autores</w:t>
      </w:r>
    </w:p>
    <w:p>
      <w:pPr>
        <w:pStyle w:val="FirstParagraph"/>
      </w:pPr>
      <w:r>
        <w:t xml:space="preserve">Texto.</w:t>
      </w:r>
    </w:p>
    <w:bookmarkEnd w:id="39"/>
    <w:bookmarkStart w:id="40" w:name="agradecimientos"/>
    <w:p>
      <w:pPr>
        <w:pStyle w:val="Heading1"/>
      </w:pPr>
      <w:r>
        <w:t xml:space="preserve">Agradecimientos</w:t>
      </w:r>
    </w:p>
    <w:p>
      <w:pPr>
        <w:pStyle w:val="FirstParagraph"/>
      </w:pPr>
      <w:r>
        <w:t xml:space="preserve">Esta nota se ha revisado siguiendo un proceso colaborativo y público disponible en (link al issue correspondiente).</w:t>
      </w:r>
    </w:p>
    <w:bookmarkEnd w:id="40"/>
    <w:bookmarkStart w:id="74" w:name="referencias"/>
    <w:p>
      <w:pPr>
        <w:pStyle w:val="Heading1"/>
      </w:pPr>
      <w:r>
        <w:t xml:space="preserve">Referencias</w:t>
      </w:r>
    </w:p>
    <w:bookmarkStart w:id="62" w:name="refs"/>
    <w:bookmarkStart w:id="42" w:name="ref-Allaire_2025"/>
    <w:p>
      <w:pPr>
        <w:pStyle w:val="Bibliography"/>
      </w:pPr>
      <w:r>
        <w:t xml:space="preserve">Allaire, J., Dervieux, C. 2025.</w:t>
      </w:r>
      <w:r>
        <w:t xml:space="preserve"> </w:t>
      </w:r>
      <w:hyperlink r:id="rId41">
        <w:r>
          <w:rPr>
            <w:rStyle w:val="Hyperlink"/>
            <w:i/>
            <w:iCs/>
          </w:rPr>
          <w:t xml:space="preserve">quarto: R Interface to ’Quarto’ Markdown Publishing System</w:t>
        </w:r>
      </w:hyperlink>
      <w:r>
        <w:t xml:space="preserve">.</w:t>
      </w:r>
    </w:p>
    <w:bookmarkEnd w:id="42"/>
    <w:bookmarkStart w:id="44" w:name="ref-Bates_2015"/>
    <w:p>
      <w:pPr>
        <w:pStyle w:val="Bibliography"/>
      </w:pPr>
      <w:r>
        <w:t xml:space="preserve">Bates, D., Mächler, M., Bolker, B., Walker, S. 2015.</w:t>
      </w:r>
      <w:r>
        <w:t xml:space="preserve"> </w:t>
      </w:r>
      <w:hyperlink r:id="rId43">
        <w:r>
          <w:rPr>
            <w:rStyle w:val="Hyperlink"/>
          </w:rPr>
          <w:t xml:space="preserve">Fitting Linear Mixed-Effects Models Using</w:t>
        </w:r>
        <w:r>
          <w:rPr>
            <w:rStyle w:val="Hyperlink"/>
          </w:rPr>
          <w:t xml:space="preserve"> </w:t>
        </w:r>
        <w:r>
          <w:rPr>
            <w:rStyle w:val="Hyperlink"/>
          </w:rPr>
          <w:t xml:space="preserve">lme4</w:t>
        </w:r>
      </w:hyperlink>
      <w:r>
        <w:t xml:space="preserve">.</w:t>
      </w:r>
      <w:r>
        <w:t xml:space="preserve"> </w:t>
      </w:r>
      <w:r>
        <w:rPr>
          <w:i/>
          <w:iCs/>
        </w:rPr>
        <w:t xml:space="preserve">Journal of Statistical Software</w:t>
      </w:r>
      <w:r>
        <w:t xml:space="preserve"> </w:t>
      </w:r>
      <w:r>
        <w:t xml:space="preserve">67: 1-48.</w:t>
      </w:r>
    </w:p>
    <w:bookmarkEnd w:id="44"/>
    <w:bookmarkStart w:id="46" w:name="ref-Chamberlain_2025"/>
    <w:p>
      <w:pPr>
        <w:pStyle w:val="Bibliography"/>
      </w:pPr>
      <w:r>
        <w:t xml:space="preserve">Chamberlain, S., Barve, V., Mcglinn, D., Oldoni, D., Desmet, P., Geffert, L., Ram, K. 2025.</w:t>
      </w:r>
      <w:r>
        <w:t xml:space="preserve"> </w:t>
      </w:r>
      <w:hyperlink r:id="rId45">
        <w:r>
          <w:rPr>
            <w:rStyle w:val="Hyperlink"/>
            <w:i/>
            <w:iCs/>
          </w:rPr>
          <w:t xml:space="preserve">rgbif: Interface to the Global Biodiversity Information Facility API</w:t>
        </w:r>
      </w:hyperlink>
      <w:r>
        <w:t xml:space="preserve">.</w:t>
      </w:r>
    </w:p>
    <w:bookmarkEnd w:id="46"/>
    <w:bookmarkStart w:id="48" w:name="ref-Chamberlain_2017"/>
    <w:p>
      <w:pPr>
        <w:pStyle w:val="Bibliography"/>
      </w:pPr>
      <w:r>
        <w:t xml:space="preserve">Chamberlain, S., Boettiger, C. 2017.</w:t>
      </w:r>
      <w:r>
        <w:t xml:space="preserve"> </w:t>
      </w:r>
      <w:hyperlink r:id="rId47">
        <w:r>
          <w:rPr>
            <w:rStyle w:val="Hyperlink"/>
          </w:rPr>
          <w:t xml:space="preserve">R Python, and Ruby clients for GBIF species occurrence data</w:t>
        </w:r>
      </w:hyperlink>
      <w:r>
        <w:t xml:space="preserve">.</w:t>
      </w:r>
      <w:r>
        <w:t xml:space="preserve"> </w:t>
      </w:r>
      <w:r>
        <w:rPr>
          <w:i/>
          <w:iCs/>
        </w:rPr>
        <w:t xml:space="preserve">PeerJ PrePrints</w:t>
      </w:r>
      <w:r>
        <w:t xml:space="preserve">.</w:t>
      </w:r>
    </w:p>
    <w:bookmarkEnd w:id="48"/>
    <w:bookmarkStart w:id="50" w:name="ref-Freiberg_2020"/>
    <w:p>
      <w:pPr>
        <w:pStyle w:val="Bibliography"/>
      </w:pPr>
      <w:r>
        <w:t xml:space="preserve">Freiberg, M., Winter, M., Gentile, A., Zizka, A., Muellner-Riehl, A.N., Weigelt, A., Wirth, C. 2020.</w:t>
      </w:r>
      <w:r>
        <w:t xml:space="preserve"> </w:t>
      </w:r>
      <w:hyperlink r:id="rId49">
        <w:r>
          <w:rPr>
            <w:rStyle w:val="Hyperlink"/>
          </w:rPr>
          <w:t xml:space="preserve">LCVP, The Leipzig catalogue of vascular plants, a new taxonomic reference list for all known vascular plants</w:t>
        </w:r>
      </w:hyperlink>
      <w:r>
        <w:t xml:space="preserve">.</w:t>
      </w:r>
      <w:r>
        <w:t xml:space="preserve"> </w:t>
      </w:r>
      <w:r>
        <w:rPr>
          <w:i/>
          <w:iCs/>
        </w:rPr>
        <w:t xml:space="preserve">Scientific data</w:t>
      </w:r>
      <w:r>
        <w:t xml:space="preserve">416.</w:t>
      </w:r>
    </w:p>
    <w:bookmarkEnd w:id="50"/>
    <w:bookmarkStart w:id="51" w:name="ref-Kindt_2020"/>
    <w:p>
      <w:pPr>
        <w:pStyle w:val="Bibliography"/>
      </w:pPr>
      <w:r>
        <w:t xml:space="preserve">Kindt, R. 2020. WorldFlora: An R package for exact and fuzzy matching of plant names against the World Flora Online taxonomic backbone data.</w:t>
      </w:r>
      <w:r>
        <w:t xml:space="preserve"> </w:t>
      </w:r>
      <w:r>
        <w:rPr>
          <w:i/>
          <w:iCs/>
        </w:rPr>
        <w:t xml:space="preserve">Applications in Plant Sciences</w:t>
      </w:r>
      <w:r>
        <w:t xml:space="preserve"> </w:t>
      </w:r>
      <w:r>
        <w:t xml:space="preserve">8: e11388.</w:t>
      </w:r>
    </w:p>
    <w:bookmarkEnd w:id="51"/>
    <w:bookmarkStart w:id="53" w:name="ref-Ooms_2014"/>
    <w:p>
      <w:pPr>
        <w:pStyle w:val="Bibliography"/>
      </w:pPr>
      <w:r>
        <w:t xml:space="preserve">Ooms, J. 2014.</w:t>
      </w:r>
      <w:r>
        <w:t xml:space="preserve"> </w:t>
      </w:r>
      <w:hyperlink r:id="rId52">
        <w:r>
          <w:rPr>
            <w:rStyle w:val="Hyperlink"/>
          </w:rPr>
          <w:t xml:space="preserve">The jsonlite Package: A Practical and Consistent Mapping Between JSON Data and R Objects</w:t>
        </w:r>
      </w:hyperlink>
      <w:r>
        <w:t xml:space="preserve">.</w:t>
      </w:r>
      <w:r>
        <w:t xml:space="preserve"> </w:t>
      </w:r>
      <w:r>
        <w:rPr>
          <w:i/>
          <w:iCs/>
        </w:rPr>
        <w:t xml:space="preserve">arXiv:1403.2805 [stat.CO]</w:t>
      </w:r>
      <w:r>
        <w:t xml:space="preserve">.</w:t>
      </w:r>
    </w:p>
    <w:bookmarkEnd w:id="53"/>
    <w:bookmarkStart w:id="55" w:name="ref-R_Core_Team_2025"/>
    <w:p>
      <w:pPr>
        <w:pStyle w:val="Bibliography"/>
      </w:pPr>
      <w:r>
        <w:t xml:space="preserve">R Core Team. 2025.</w:t>
      </w:r>
      <w:r>
        <w:t xml:space="preserve"> </w:t>
      </w:r>
      <w:hyperlink r:id="rId54">
        <w:r>
          <w:rPr>
            <w:rStyle w:val="Hyperlink"/>
            <w:i/>
            <w:iCs/>
          </w:rPr>
          <w:t xml:space="preserve">R: A Language and Environment for Statistical Computing</w:t>
        </w:r>
      </w:hyperlink>
      <w:r>
        <w:t xml:space="preserve">. R Foundation for Statistical Computing, Vienna, Austria.</w:t>
      </w:r>
    </w:p>
    <w:bookmarkEnd w:id="55"/>
    <w:bookmarkStart w:id="57" w:name="ref-Robinson_2025"/>
    <w:p>
      <w:pPr>
        <w:pStyle w:val="Bibliography"/>
      </w:pPr>
      <w:r>
        <w:t xml:space="preserve">Robinson, D. 2025.</w:t>
      </w:r>
      <w:r>
        <w:t xml:space="preserve"> </w:t>
      </w:r>
      <w:hyperlink r:id="rId56">
        <w:r>
          <w:rPr>
            <w:rStyle w:val="Hyperlink"/>
            <w:i/>
            <w:iCs/>
          </w:rPr>
          <w:t xml:space="preserve">fuzzyjoin: Join Tables Together on Inexact Matching</w:t>
        </w:r>
      </w:hyperlink>
      <w:r>
        <w:t xml:space="preserve">.</w:t>
      </w:r>
    </w:p>
    <w:bookmarkEnd w:id="57"/>
    <w:bookmarkStart w:id="59" w:name="ref-Sutherland2011"/>
    <w:p>
      <w:pPr>
        <w:pStyle w:val="Bibliography"/>
      </w:pPr>
      <w:r>
        <w:t xml:space="preserve">Sutherland, W.J., Goulson, D., Potts, S.G., Dicks, L.V. 2011.</w:t>
      </w:r>
      <w:r>
        <w:t xml:space="preserve"> </w:t>
      </w:r>
      <w:hyperlink r:id="rId58">
        <w:r>
          <w:rPr>
            <w:rStyle w:val="Hyperlink"/>
          </w:rPr>
          <w:t xml:space="preserve">Quantifying the Impact and Relevance of Scientific Research</w:t>
        </w:r>
      </w:hyperlink>
      <w:r>
        <w:t xml:space="preserve"> </w:t>
      </w:r>
      <w:r>
        <w:t xml:space="preserve">Clifford, T. (ed.),.</w:t>
      </w:r>
      <w:r>
        <w:t xml:space="preserve"> </w:t>
      </w:r>
      <w:r>
        <w:rPr>
          <w:i/>
          <w:iCs/>
        </w:rPr>
        <w:t xml:space="preserve">PLoS ONE</w:t>
      </w:r>
      <w:r>
        <w:t xml:space="preserve"> </w:t>
      </w:r>
      <w:r>
        <w:t xml:space="preserve">6: e27537.</w:t>
      </w:r>
    </w:p>
    <w:bookmarkEnd w:id="59"/>
    <w:bookmarkStart w:id="61" w:name="ref-Yan2011"/>
    <w:p>
      <w:pPr>
        <w:pStyle w:val="Bibliography"/>
      </w:pPr>
      <w:r>
        <w:t xml:space="preserve">Yan, K.-K., Gerstein, M. 2011.</w:t>
      </w:r>
      <w:r>
        <w:t xml:space="preserve"> </w:t>
      </w:r>
      <w:hyperlink r:id="rId60">
        <w:r>
          <w:rPr>
            <w:rStyle w:val="Hyperlink"/>
          </w:rPr>
          <w:t xml:space="preserve">The Spread of Scientific Information: Insights from the Web Usage Statistics in PLoS Article-Level Metrics</w:t>
        </w:r>
      </w:hyperlink>
      <w:r>
        <w:t xml:space="preserve"> </w:t>
      </w:r>
      <w:r>
        <w:t xml:space="preserve">Vespignani, A. (ed.),.</w:t>
      </w:r>
      <w:r>
        <w:t xml:space="preserve"> </w:t>
      </w:r>
      <w:r>
        <w:rPr>
          <w:i/>
          <w:iCs/>
        </w:rPr>
        <w:t xml:space="preserve">PLoS ONE</w:t>
      </w:r>
      <w:r>
        <w:t xml:space="preserve"> </w:t>
      </w:r>
      <w:r>
        <w:t xml:space="preserve">6: e19917.</w:t>
      </w:r>
    </w:p>
    <w:bookmarkEnd w:id="61"/>
    <w:bookmarkEnd w:id="62"/>
    <w:bookmarkStart w:id="63" w:name="tabla-1"/>
    <w:p>
      <w:pPr>
        <w:pStyle w:val="Heading6"/>
      </w:pPr>
      <w:r>
        <w:t xml:space="preserve">TABLA 1</w:t>
      </w:r>
    </w:p>
    <w:p>
      <w:pPr>
        <w:pStyle w:val="FirstParagraph"/>
      </w:pPr>
      <w:r>
        <w:rPr>
          <w:b/>
          <w:bCs/>
        </w:rPr>
        <w:t xml:space="preserve">Tabla 1</w:t>
      </w:r>
      <w:r>
        <w:t xml:space="preserve">. Cada tabla debe tener su correspondiente encabezamiento explicativo. En los artículos de investigación, de revisión y comunicaciones breves se aportarán los encabezamientos tanto en castellano como en inglés, en letra Arial 10 y en una página independiente. Es importante que las tablas sean simples y que no superen el ancho una página DIN A4 vertical. Los originales se deben aportar en formato tabla y no en formato imagen.</w:t>
      </w:r>
    </w:p>
    <w:p>
      <w:pPr>
        <w:pStyle w:val="BodyText"/>
      </w:pPr>
      <w:r>
        <w:rPr>
          <w:b/>
          <w:bCs/>
        </w:rPr>
        <w:t xml:space="preserve">Table 1</w:t>
      </w:r>
      <w:r>
        <w:t xml:space="preserve">. Table heading in English.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63"/>
    <w:bookmarkStart w:id="64" w:name="pies-de-figura"/>
    <w:p>
      <w:pPr>
        <w:pStyle w:val="Heading6"/>
      </w:pPr>
      <w:r>
        <w:t xml:space="preserve">PIES DE FIGURA</w:t>
      </w:r>
    </w:p>
    <w:p>
      <w:pPr>
        <w:pStyle w:val="FirstParagraph"/>
      </w:pPr>
      <w:r>
        <w:rPr>
          <w:b/>
          <w:bCs/>
        </w:rPr>
        <w:t xml:space="preserve">Figura 1</w:t>
      </w:r>
      <w:r>
        <w:t xml:space="preserve">. Pie de figura 1.</w:t>
      </w:r>
    </w:p>
    <w:p>
      <w:pPr>
        <w:pStyle w:val="BodyText"/>
      </w:pPr>
      <w:r>
        <w:rPr>
          <w:b/>
          <w:bCs/>
        </w:rPr>
        <w:t xml:space="preserve">Figura 2</w:t>
      </w:r>
      <w:r>
        <w:t xml:space="preserve">. Pie de figura 2.</w:t>
      </w:r>
    </w:p>
    <w:bookmarkEnd w:id="64"/>
    <w:bookmarkStart w:id="65" w:name="figure-legends"/>
    <w:p>
      <w:pPr>
        <w:pStyle w:val="Heading6"/>
      </w:pPr>
      <w:r>
        <w:t xml:space="preserve">FIGURE LEGENDS</w:t>
      </w:r>
    </w:p>
    <w:p>
      <w:pPr>
        <w:pStyle w:val="FirstParagraph"/>
      </w:pPr>
      <w:r>
        <w:rPr>
          <w:b/>
          <w:bCs/>
        </w:rPr>
        <w:t xml:space="preserve">Figure 1</w:t>
      </w:r>
      <w:r>
        <w:t xml:space="preserve">. Figure caption.</w:t>
      </w:r>
    </w:p>
    <w:p>
      <w:pPr>
        <w:pStyle w:val="BodyText"/>
      </w:pPr>
      <w:r>
        <w:rPr>
          <w:b/>
          <w:bCs/>
        </w:rPr>
        <w:t xml:space="preserve">Figure 2</w:t>
      </w:r>
      <w:r>
        <w:t xml:space="preserve">. Figure caption.</w:t>
      </w:r>
    </w:p>
    <w:bookmarkEnd w:id="65"/>
    <w:bookmarkStart w:id="69" w:name="figura-1"/>
    <w:p>
      <w:pPr>
        <w:pStyle w:val="Heading6"/>
      </w:pPr>
      <w:r>
        <w:t xml:space="preserve">FIGURA 1</w:t>
      </w:r>
    </w:p>
    <w:p>
      <w:pPr>
        <w:pStyle w:val="CaptionedFigure"/>
      </w:pPr>
      <w:r>
        <w:drawing>
          <wp:inline>
            <wp:extent cx="5727700" cy="4582159"/>
            <wp:effectExtent b="0" l="0" r="0" t="0"/>
            <wp:docPr descr="Figura 1. Esto es un ejemplo." title="" id="67" name="Picture"/>
            <a:graphic>
              <a:graphicData uri="http://schemas.openxmlformats.org/drawingml/2006/picture">
                <pic:pic>
                  <pic:nvPicPr>
                    <pic:cNvPr descr="eidos_nota_ecoinf_files/figure-docx/Fig1-1.png" id="68" name="Picture"/>
                    <pic:cNvPicPr>
                      <a:picLocks noChangeArrowheads="1" noChangeAspect="1"/>
                    </pic:cNvPicPr>
                  </pic:nvPicPr>
                  <pic:blipFill>
                    <a:blip r:embed="rId66"/>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1. Esto es un ejemplo.</w:t>
      </w:r>
    </w:p>
    <w:bookmarkEnd w:id="69"/>
    <w:bookmarkStart w:id="73" w:name="figura-2"/>
    <w:p>
      <w:pPr>
        <w:pStyle w:val="Heading6"/>
      </w:pPr>
      <w:r>
        <w:t xml:space="preserve">FIGURA 2</w:t>
      </w:r>
    </w:p>
    <w:p>
      <w:pPr>
        <w:pStyle w:val="CaptionedFigure"/>
      </w:pPr>
      <w:r>
        <w:drawing>
          <wp:inline>
            <wp:extent cx="5727700" cy="4582159"/>
            <wp:effectExtent b="0" l="0" r="0" t="0"/>
            <wp:docPr descr="Figura 2. Segundo ejemplo." title="" id="71" name="Picture"/>
            <a:graphic>
              <a:graphicData uri="http://schemas.openxmlformats.org/drawingml/2006/picture">
                <pic:pic>
                  <pic:nvPicPr>
                    <pic:cNvPr descr="eidos_nota_ecoinf_files/figure-docx/Fig2-1.png" id="72" name="Picture"/>
                    <pic:cNvPicPr>
                      <a:picLocks noChangeArrowheads="1" noChangeAspect="1"/>
                    </pic:cNvPicPr>
                  </pic:nvPicPr>
                  <pic:blipFill>
                    <a:blip r:embed="rId70"/>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2. Segundo ejemplo.</w:t>
      </w:r>
    </w:p>
    <w:bookmarkEnd w:id="73"/>
    <w:bookmarkEnd w:id="74"/>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val="bestFit"/>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 w:val="00FA697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hyperlink" Id="rId45" Target="https://CRAN.R-project.org/package=rgbif" TargetMode="External" /><Relationship Type="http://schemas.openxmlformats.org/officeDocument/2006/relationships/hyperlink" Id="rId52" Target="https://arxiv.org/abs/1403.2805" TargetMode="External" /><Relationship Type="http://schemas.openxmlformats.org/officeDocument/2006/relationships/hyperlink" Id="rId49" Target="https://doi.org/10.1038/s41597-020-00702-z" TargetMode="External" /><Relationship Type="http://schemas.openxmlformats.org/officeDocument/2006/relationships/hyperlink" Id="rId60" Target="https://doi.org/10.1371/journal.pone.0019917" TargetMode="External" /><Relationship Type="http://schemas.openxmlformats.org/officeDocument/2006/relationships/hyperlink" Id="rId58" Target="https://doi.org/10.1371/journal.pone.0027537" TargetMode="External" /><Relationship Type="http://schemas.openxmlformats.org/officeDocument/2006/relationships/hyperlink" Id="rId43" Target="https://doi.org/10.18637/jss.v067.i01" TargetMode="External" /><Relationship Type="http://schemas.openxmlformats.org/officeDocument/2006/relationships/hyperlink" Id="rId56" Target="https://doi.org/10.32614/CRAN.package.fuzzyjoin" TargetMode="External" /><Relationship Type="http://schemas.openxmlformats.org/officeDocument/2006/relationships/hyperlink" Id="rId41" Target="https://doi.org/10.32614/CRAN.package.quarto" TargetMode="External" /><Relationship Type="http://schemas.openxmlformats.org/officeDocument/2006/relationships/hyperlink" Id="rId47" Target="https://doi.org/10.7287/peerj.preprints.3304v1" TargetMode="External" /><Relationship Type="http://schemas.openxmlformats.org/officeDocument/2006/relationships/hyperlink" Id="rId26" Target="https://github.com/hmirceb/eidos_api" TargetMode="External" /><Relationship Type="http://schemas.openxmlformats.org/officeDocument/2006/relationships/hyperlink" Id="rId22" Target="https://iepnb.gob.es/" TargetMode="External" /><Relationship Type="http://schemas.openxmlformats.org/officeDocument/2006/relationships/hyperlink" Id="rId23" Target="https://iepnb.gob.es/recursos/servicios-interoperables/apirest-eidos" TargetMode="External" /><Relationship Type="http://schemas.openxmlformats.org/officeDocument/2006/relationships/hyperlink" Id="rId27" Target="https://quarto.org/docs/authoring/footnotes-and-citations.html" TargetMode="External" /><Relationship Type="http://schemas.openxmlformats.org/officeDocument/2006/relationships/hyperlink" Id="rId28" Target="https://quarto.org/docs/visual-editor" TargetMode="External" /><Relationship Type="http://schemas.openxmlformats.org/officeDocument/2006/relationships/hyperlink" Id="rId54" Target="https://www.R-project.org/" TargetMode="External" /><Relationship Type="http://schemas.openxmlformats.org/officeDocument/2006/relationships/hyperlink" Id="rId20" Target="mailto:hmiranda@ipe.csic.es" TargetMode="External" /></Relationships>
</file>

<file path=word/_rels/footnotes.xml.rels><?xml version="1.0" encoding="UTF-8"?><Relationships xmlns="http://schemas.openxmlformats.org/package/2006/relationships"><Relationship Type="http://schemas.openxmlformats.org/officeDocument/2006/relationships/hyperlink" Id="rId45" Target="https://CRAN.R-project.org/package=rgbif" TargetMode="External" /><Relationship Type="http://schemas.openxmlformats.org/officeDocument/2006/relationships/hyperlink" Id="rId52" Target="https://arxiv.org/abs/1403.2805" TargetMode="External" /><Relationship Type="http://schemas.openxmlformats.org/officeDocument/2006/relationships/hyperlink" Id="rId49" Target="https://doi.org/10.1038/s41597-020-00702-z" TargetMode="External" /><Relationship Type="http://schemas.openxmlformats.org/officeDocument/2006/relationships/hyperlink" Id="rId60" Target="https://doi.org/10.1371/journal.pone.0019917" TargetMode="External" /><Relationship Type="http://schemas.openxmlformats.org/officeDocument/2006/relationships/hyperlink" Id="rId58" Target="https://doi.org/10.1371/journal.pone.0027537" TargetMode="External" /><Relationship Type="http://schemas.openxmlformats.org/officeDocument/2006/relationships/hyperlink" Id="rId43" Target="https://doi.org/10.18637/jss.v067.i01" TargetMode="External" /><Relationship Type="http://schemas.openxmlformats.org/officeDocument/2006/relationships/hyperlink" Id="rId56" Target="https://doi.org/10.32614/CRAN.package.fuzzyjoin" TargetMode="External" /><Relationship Type="http://schemas.openxmlformats.org/officeDocument/2006/relationships/hyperlink" Id="rId41" Target="https://doi.org/10.32614/CRAN.package.quarto" TargetMode="External" /><Relationship Type="http://schemas.openxmlformats.org/officeDocument/2006/relationships/hyperlink" Id="rId47" Target="https://doi.org/10.7287/peerj.preprints.3304v1" TargetMode="External" /><Relationship Type="http://schemas.openxmlformats.org/officeDocument/2006/relationships/hyperlink" Id="rId26" Target="https://github.com/hmirceb/eidos_api" TargetMode="External" /><Relationship Type="http://schemas.openxmlformats.org/officeDocument/2006/relationships/hyperlink" Id="rId22" Target="https://iepnb.gob.es/" TargetMode="External" /><Relationship Type="http://schemas.openxmlformats.org/officeDocument/2006/relationships/hyperlink" Id="rId23" Target="https://iepnb.gob.es/recursos/servicios-interoperables/apirest-eidos" TargetMode="External" /><Relationship Type="http://schemas.openxmlformats.org/officeDocument/2006/relationships/hyperlink" Id="rId27" Target="https://quarto.org/docs/authoring/footnotes-and-citations.html" TargetMode="External" /><Relationship Type="http://schemas.openxmlformats.org/officeDocument/2006/relationships/hyperlink" Id="rId28" Target="https://quarto.org/docs/visual-editor" TargetMode="External" /><Relationship Type="http://schemas.openxmlformats.org/officeDocument/2006/relationships/hyperlink" Id="rId54" Target="https://www.R-project.org/" TargetMode="External" /><Relationship Type="http://schemas.openxmlformats.org/officeDocument/2006/relationships/hyperlink" Id="rId20" Target="mailto:hmiranda@ipe.cs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eidos_api, un paquete para estandarizar la taxonomía de especies en España</dc:title>
  <dc:creator>Héctor Miranda-Cebrián1</dc:creator>
  <cp:keywords/>
  <dcterms:created xsi:type="dcterms:W3CDTF">2025-08-04T09:45:31Z</dcterms:created>
  <dcterms:modified xsi:type="dcterms:W3CDTF">2025-08-04T09:45:31Z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