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720"/>
        <w:rPr/>
      </w:pPr>
      <w:r>
        <w:rPr/>
        <w:t>eidosapi, un paquete de R para interactuar con la base de datos de biodiversidad EIDOS</w:t>
      </w:r>
    </w:p>
    <w:p>
      <w:pPr>
        <w:pStyle w:val="Author"/>
        <w:rPr/>
      </w:pPr>
      <w:r>
        <w:rPr/>
        <w:t>Héctor Miranda-Cebrián*</w:t>
      </w:r>
      <w:r>
        <w:rPr>
          <w:vertAlign w:val="superscript"/>
        </w:rPr>
        <w:t>1</w:t>
      </w:r>
    </w:p>
    <w:p>
      <w:pPr>
        <w:pStyle w:val="Compact"/>
        <w:numPr>
          <w:ilvl w:val="0"/>
          <w:numId w:val="3"/>
        </w:numPr>
        <w:rPr/>
      </w:pPr>
      <w:r>
        <w:rPr/>
        <w:t>Instituto Pirenaico de Ecología - CSIC</w:t>
      </w:r>
    </w:p>
    <w:p>
      <w:pPr>
        <w:pStyle w:val="Normal"/>
        <w:rPr/>
      </w:pPr>
      <w:r>
        <w:rPr/>
        <w:t>Autor de correspondencia*: Héctor Miranda-Cebrián [</w:t>
      </w:r>
      <w:hyperlink r:id="rId2">
        <w:r>
          <w:rPr>
            <w:rStyle w:val="Hyperlink"/>
          </w:rPr>
          <w:t>hectorm94@gmail.com</w:t>
        </w:r>
      </w:hyperlink>
      <w:r>
        <w:rPr/>
        <w:t>]</w:t>
      </w:r>
    </w:p>
    <w:p>
      <w:pPr>
        <w:pStyle w:val="Heading1"/>
        <w:rPr/>
      </w:pPr>
      <w:bookmarkStart w:id="0" w:name="palabras-clave"/>
      <w:r>
        <w:rPr/>
        <w:t>Palabras clave</w:t>
      </w:r>
    </w:p>
    <w:p>
      <w:pPr>
        <w:pStyle w:val="Normal"/>
        <w:rPr/>
      </w:pPr>
      <w:bookmarkStart w:id="1" w:name="palabras-clave"/>
      <w:r>
        <w:rPr/>
        <w:t>Taxonomía; Estandarización; Nomenclatura; Lista Patrón</w:t>
      </w:r>
      <w:bookmarkEnd w:id="1"/>
    </w:p>
    <w:p>
      <w:pPr>
        <w:pStyle w:val="Heading1"/>
        <w:rPr/>
      </w:pPr>
      <w:bookmarkStart w:id="2" w:name="keywords"/>
      <w:r>
        <w:rPr/>
        <w:t>Keywords</w:t>
      </w:r>
    </w:p>
    <w:p>
      <w:pPr>
        <w:pStyle w:val="Normal"/>
        <w:rPr/>
      </w:pPr>
      <w:r>
        <w:rPr/>
        <w:t>Taxonomy; Standardization; Nomenclature; Checklist</w:t>
      </w:r>
    </w:p>
    <w:p>
      <w:pPr>
        <w:pStyle w:val="Normal"/>
        <w:rPr/>
      </w:pPr>
      <w:r>
        <w:rPr/>
        <w:t xml:space="preserve">El trabajo en ecología y cualquiera de sus disciplinas requiere información actualizada, o al menos estandarizada, sobre la nomenclatura de nuestros organismos de estudio (Patterson et al., 2010). Para solventar este problema, se han ido desarrollando diferentes herramientas que permitan cotejar la nomenclatura de una especie contra bases de datos taxonómicas. Por un lado, tenemos herramientas como las webs de </w:t>
      </w:r>
      <w:hyperlink r:id="rId3">
        <w:r>
          <w:rPr>
            <w:rStyle w:val="Hyperlink"/>
          </w:rPr>
          <w:t>Flora Ibérica</w:t>
        </w:r>
      </w:hyperlink>
      <w:r>
        <w:rPr/>
        <w:t xml:space="preserve"> y </w:t>
      </w:r>
      <w:hyperlink r:id="rId4">
        <w:r>
          <w:rPr>
            <w:rStyle w:val="Hyperlink"/>
          </w:rPr>
          <w:t>Fauna Ibérica</w:t>
        </w:r>
      </w:hyperlink>
      <w:r>
        <w:rPr/>
        <w:t xml:space="preserve">, que permiten consultar de forma manual sinónimos y nombres. Sin embargo, estas carecen de una interfaz de usuario que permita la consulta de un gran número de especies, acceder a ellas de forma automática o hacerlo desde entornos que permitan integrar los resultados en un flujo de trabajo más complejo. Por otro lado, existen herramientas que sí pueden consultarse a través de interfaces de programación de aplicaciones (API) desde entornos como R (R Core Team, 2025), facilitando la tarea de cotejar un gran número de especies a la vez así como su incorporación en nuestros flujos de trabajo. Algunos ejemplos de esto son el paquete </w:t>
      </w:r>
      <w:r>
        <w:rPr>
          <w:i/>
          <w:iCs/>
        </w:rPr>
        <w:t>taxize</w:t>
      </w:r>
      <w:r>
        <w:rPr/>
        <w:t xml:space="preserve"> (Chamberlain et al., 2020), con acceso a más de 20 bases de datos diferentes; o el paquete </w:t>
      </w:r>
      <w:r>
        <w:rPr>
          <w:i/>
          <w:iCs/>
        </w:rPr>
        <w:t>WorldFlora</w:t>
      </w:r>
      <w:r>
        <w:rPr/>
        <w:t xml:space="preserve"> (Kindt, 2020) para acceder a </w:t>
      </w:r>
      <w:r>
        <w:rPr>
          <w:i/>
          <w:iCs/>
        </w:rPr>
        <w:t>World Flora Online</w:t>
      </w:r>
      <w:r>
        <w:rPr/>
        <w:t>. La principal desventaja de estos servicios radica en que, a pesar de la gran cantidad de información que contienen, puede darse un desajuste entre su nomenclatura y la establecida a nivel nacional o regional. Esta limitación se hace más patente si, por ejemplo, queremos recopilar información sobre el estado de conservación de una especie presente en España, puesto que el nombre aceptado en una base de datos internacional puede no casar con el empleado en catálogos a nivel nacional o regional.</w:t>
      </w:r>
    </w:p>
    <w:p>
      <w:pPr>
        <w:pStyle w:val="BodyText"/>
        <w:rPr/>
      </w:pPr>
      <w:r>
        <w:rPr/>
        <w:t xml:space="preserve">El </w:t>
      </w:r>
      <w:hyperlink r:id="rId5">
        <w:r>
          <w:rPr>
            <w:rStyle w:val="Hyperlink"/>
          </w:rPr>
          <w:t>Inventario Español del Patrimonio Natural y de la Biodiversidad (IEPNB)</w:t>
        </w:r>
      </w:hyperlink>
      <w:r>
        <w:rPr/>
        <w:t xml:space="preserve"> ayuda a solventar algunas de estas limitaciones, recopilando en un mismo lugar y de forma estructurada información sobre más de 63000 taxa presentes en España, incluyendo su taxonomía y sinonimia según autoridades nacionales, categorías de amenaza o normativas legales que rigen su conservación. El IEPNB se nutre en gran medida de la Lista Patrón de Especies Silvestres presentes en España </w:t>
      </w:r>
      <w:r>
        <w:fldChar w:fldCharType="begin"/>
      </w:r>
      <w:r>
        <w:rPr>
          <w:rStyle w:val="Hyperlink"/>
        </w:rPr>
        <w:instrText xml:space="preserve"> HYPERLINK "https://www.miteco.gob.es/es/biodiversidad/servicios/banco-datos-naturaleza/informacion-disponible/bdn_listas_patron.html" \l "lista-patron-de-las-especies-silvestres-presentes-en-espana"</w:instrText>
      </w:r>
      <w:r>
        <w:rPr>
          <w:rStyle w:val="Hyperlink"/>
        </w:rPr>
        <w:fldChar w:fldCharType="separate"/>
      </w:r>
      <w:r>
        <w:rPr>
          <w:rStyle w:val="Hyperlink"/>
        </w:rPr>
        <w:t>(LP)</w:t>
      </w:r>
      <w:r>
        <w:rPr>
          <w:rStyle w:val="Hyperlink"/>
        </w:rPr>
        <w:fldChar w:fldCharType="end"/>
      </w:r>
      <w:r>
        <w:rPr/>
        <w:t xml:space="preserve">, que recoge información proveniente de multitud de sociedades científicas de ámbito nacional y especializadas en diversos grupos taxonómicos. A simple vista, la web del IEPNB sigue presentando las mismas limitaciones que otros recursos mencionados con anterioridad, como la imposibilidad de realizar consultas de forma no manual. Sin embargo, esta herramienta pone a nuestra disposición la API </w:t>
      </w:r>
      <w:hyperlink r:id="rId6">
        <w:r>
          <w:rPr>
            <w:rStyle w:val="Hyperlink"/>
          </w:rPr>
          <w:t>EIDOS</w:t>
        </w:r>
      </w:hyperlink>
      <w:r>
        <w:rPr/>
        <w:t>, que nos permiten acceder a las bases de datos del IEPNB desde entornos de programación como R, y por tanto a automatizar los procesos de consulta.</w:t>
      </w:r>
      <w:bookmarkEnd w:id="2"/>
    </w:p>
    <w:p>
      <w:pPr>
        <w:pStyle w:val="Heading1"/>
        <w:rPr/>
      </w:pPr>
      <w:r>
        <w:rPr/>
        <w:t xml:space="preserve">El paquete </w:t>
      </w:r>
      <w:r>
        <w:rPr>
          <w:i/>
          <w:iCs/>
        </w:rPr>
        <w:t>eidosapi</w:t>
      </w:r>
      <w:r>
        <w:rPr/>
        <w:t xml:space="preserve"> para R</w:t>
      </w:r>
    </w:p>
    <w:p>
      <w:pPr>
        <w:pStyle w:val="Normal"/>
        <w:rPr/>
      </w:pPr>
      <w:r>
        <w:rPr/>
        <w:t xml:space="preserve">El paquete </w:t>
      </w:r>
      <w:r>
        <w:rPr>
          <w:b/>
          <w:bCs/>
        </w:rPr>
        <w:t>eidosapi</w:t>
      </w:r>
      <w:r>
        <w:rPr/>
        <w:t xml:space="preserve"> se desarrolló para explotar las posibilidades ofrecidas por la API EIDOS y facilitar la tarea de cotejar y contrastar la taxonomía de múltiples especies al mismo tiempo desde el entorno de programación de R (</w:t>
      </w:r>
      <w:hyperlink w:anchor="fig-1">
        <w:r>
          <w:rPr>
            <w:rStyle w:val="Hyperlink"/>
          </w:rPr>
          <w:t>Figura 1</w:t>
        </w:r>
      </w:hyperlink>
      <w:r>
        <w:rPr/>
        <w:t xml:space="preserve">). El paquete cuenta con varias funciones que facilitan el acceso a las bases de datos del IEPNB, haciendo uso de del paquete </w:t>
      </w:r>
      <w:r>
        <w:rPr>
          <w:b/>
          <w:bCs/>
        </w:rPr>
        <w:t>jsonlite</w:t>
      </w:r>
      <w:r>
        <w:rPr/>
        <w:t xml:space="preserve"> (Ooms, 2014) para interpretar los archivos en formato JSON que devuelve EIDOS al realizar consultas, así como del paquete </w:t>
      </w:r>
      <w:r>
        <w:rPr>
          <w:b/>
          <w:bCs/>
        </w:rPr>
        <w:t>fuzzyjoin</w:t>
      </w:r>
      <w:r>
        <w:rPr/>
        <w:t xml:space="preserve"> (Robinson, 2025) para realizar consultas basadas en coincidencia difusa (</w:t>
      </w:r>
      <w:r>
        <w:rPr>
          <w:i/>
          <w:iCs/>
        </w:rPr>
        <w:t>fuzzy matching</w:t>
      </w:r>
      <w:r>
        <w:rPr/>
        <w:t>) que permitan buscar nombres en la LP aunque contengan algún error de escritura. A continuación, se muestran varios ejemplos sencillos de uso, pero tanto en la información de cada función como en el repositorio del paquete (https://github.com/hmirceb/eidosapi) pueden encontrarse ejemplos adicionales.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026"/>
      </w:tblGrid>
      <w:tr>
        <w:trPr/>
        <w:tc>
          <w:tcPr>
            <w:tcW w:w="9026" w:type="dxa"/>
            <w:tcBorders/>
          </w:tcPr>
          <w:p>
            <w:pPr>
              <w:pStyle w:val="Compact"/>
              <w:spacing w:before="36" w:after="36"/>
              <w:jc w:val="center"/>
              <w:rPr/>
            </w:pPr>
            <w:bookmarkStart w:id="3" w:name="fig-1"/>
            <w:r>
              <w:rPr/>
              <w:drawing>
                <wp:inline distT="0" distB="0" distL="0" distR="0">
                  <wp:extent cx="5727700" cy="25927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5727700" cy="2592705"/>
                          </a:xfrm>
                          <a:prstGeom prst="rect">
                            <a:avLst/>
                          </a:prstGeom>
                        </pic:spPr>
                      </pic:pic>
                    </a:graphicData>
                  </a:graphic>
                </wp:inline>
              </w:drawing>
            </w:r>
          </w:p>
          <w:p>
            <w:pPr>
              <w:pStyle w:val="ImageCaption"/>
              <w:spacing w:before="200" w:after="120"/>
              <w:jc w:val="left"/>
              <w:rPr/>
            </w:pPr>
            <w:r>
              <w:rPr/>
              <w:t xml:space="preserve">Figura 1: Diagrama del flujo de trabajo básico con </w:t>
            </w:r>
            <w:r>
              <w:rPr>
                <w:b/>
                <w:bCs/>
              </w:rPr>
              <w:t>eidosapi</w:t>
            </w:r>
            <w:r>
              <w:rPr/>
              <w:t>.</w:t>
            </w:r>
            <w:bookmarkStart w:id="4" w:name="el-paquete-eidosapi-para-r"/>
            <w:bookmarkEnd w:id="3"/>
            <w:bookmarkEnd w:id="4"/>
          </w:p>
        </w:tc>
      </w:tr>
    </w:tbl>
    <w:p>
      <w:pPr>
        <w:pStyle w:val="Heading1"/>
        <w:rPr/>
      </w:pPr>
      <w:r>
        <w:rPr/>
        <w:t xml:space="preserve">Instalación y ejemplos básicos de uso de </w:t>
      </w:r>
      <w:r>
        <w:rPr>
          <w:b/>
          <w:bCs/>
        </w:rPr>
        <w:t>eidosapi</w:t>
      </w:r>
    </w:p>
    <w:p>
      <w:pPr>
        <w:pStyle w:val="Normal"/>
        <w:rPr/>
      </w:pPr>
      <w:r>
        <w:rPr/>
        <w:t>La instalación del paquete puede realizarse fácilmente clonando el repositorio disponible en GitHub, donde también se podrán encontrat las nuevas actualizaciones.</w:t>
      </w:r>
    </w:p>
    <w:p>
      <w:pPr>
        <w:pStyle w:val="SourceCode"/>
        <w:rPr/>
      </w:pPr>
      <w:r>
        <w:rPr>
          <w:rStyle w:val="CommentTok"/>
        </w:rPr>
        <w:t># Instalación</w:t>
      </w:r>
      <w:r>
        <w:rPr/>
        <w:br/>
      </w:r>
      <w:r>
        <w:rPr>
          <w:rStyle w:val="NormalTok"/>
        </w:rPr>
        <w:t>remotes</w:t>
      </w:r>
      <w:r>
        <w:rPr>
          <w:rStyle w:val="SpecialCharTok"/>
        </w:rPr>
        <w:t>::</w:t>
      </w:r>
      <w:r>
        <w:rPr>
          <w:rStyle w:val="FunctionTok"/>
        </w:rPr>
        <w:t>install_github</w:t>
      </w:r>
      <w:r>
        <w:rPr>
          <w:rStyle w:val="NormalTok"/>
        </w:rPr>
        <w:t>(</w:t>
      </w:r>
      <w:r>
        <w:rPr>
          <w:rStyle w:val="StringTok"/>
        </w:rPr>
        <w:t>"https://github.com/hmirceb/eidosapi"</w:t>
      </w:r>
      <w:r>
        <w:rPr>
          <w:rStyle w:val="NormalTok"/>
        </w:rPr>
        <w:t>,</w:t>
      </w:r>
      <w:r>
        <w:rPr/>
        <w:br/>
      </w:r>
      <w:r>
        <w:rPr>
          <w:rStyle w:val="NormalTok"/>
        </w:rPr>
        <w:t xml:space="preserve">                        </w:t>
      </w:r>
      <w:r>
        <w:rPr>
          <w:rStyle w:val="AttributeTok"/>
        </w:rPr>
        <w:t>force =</w:t>
      </w:r>
      <w:r>
        <w:rPr>
          <w:rStyle w:val="NormalTok"/>
        </w:rPr>
        <w:t xml:space="preserve"> </w:t>
      </w:r>
      <w:r>
        <w:rPr>
          <w:rStyle w:val="ConstantTok"/>
        </w:rPr>
        <w:t>TRUE</w:t>
      </w:r>
      <w:r>
        <w:rPr>
          <w:rStyle w:val="NormalTok"/>
        </w:rPr>
        <w:t xml:space="preserve">, </w:t>
      </w:r>
      <w:r>
        <w:rPr/>
        <w:br/>
      </w:r>
      <w:r>
        <w:rPr>
          <w:rStyle w:val="NormalTok"/>
        </w:rPr>
        <w:t xml:space="preserve">                        </w:t>
      </w:r>
      <w:r>
        <w:rPr>
          <w:rStyle w:val="AttributeTok"/>
        </w:rPr>
        <w:t>quiet =</w:t>
      </w:r>
      <w:r>
        <w:rPr>
          <w:rStyle w:val="NormalTok"/>
        </w:rPr>
        <w:t xml:space="preserve"> </w:t>
      </w:r>
      <w:r>
        <w:rPr>
          <w:rStyle w:val="ConstantTok"/>
        </w:rPr>
        <w:t>TRUE</w:t>
      </w:r>
      <w:r>
        <w:rPr>
          <w:rStyle w:val="NormalTok"/>
        </w:rPr>
        <w:t>)</w:t>
      </w:r>
      <w:r>
        <w:rPr/>
        <w:br/>
      </w:r>
      <w:r>
        <w:rPr>
          <w:rStyle w:val="CommentTok"/>
        </w:rPr>
        <w:t># Cargamos el paquete</w:t>
      </w:r>
      <w:r>
        <w:rPr/>
        <w:br/>
      </w:r>
      <w:r>
        <w:rPr>
          <w:rStyle w:val="FunctionTok"/>
        </w:rPr>
        <w:t>library</w:t>
      </w:r>
      <w:r>
        <w:rPr>
          <w:rStyle w:val="NormalTok"/>
        </w:rPr>
        <w:t>(eidosapi)</w:t>
      </w:r>
    </w:p>
    <w:p>
      <w:pPr>
        <w:pStyle w:val="Heading2"/>
        <w:rPr/>
      </w:pPr>
      <w:r>
        <w:rPr/>
        <w:t>Búsqueda de especies por nombre</w:t>
      </w:r>
    </w:p>
    <w:p>
      <w:pPr>
        <w:pStyle w:val="Normal"/>
        <w:rPr/>
      </w:pPr>
      <w:r>
        <w:rPr/>
        <w:t>Un ejemplo básico sería buscar el nombre aceptado y sinónimos de una o varias especies. Para ello vamos a emplear el halcón de Eleonora (</w:t>
      </w:r>
      <w:r>
        <w:rPr>
          <w:i/>
          <w:iCs/>
        </w:rPr>
        <w:t>Falco eleonorae</w:t>
      </w:r>
      <w:r>
        <w:rPr/>
        <w:t xml:space="preserve">), que no tiene sinónimos; y </w:t>
      </w:r>
      <w:r>
        <w:rPr>
          <w:i/>
          <w:iCs/>
        </w:rPr>
        <w:t>Polygonum viviparum</w:t>
      </w:r>
      <w:r>
        <w:rPr/>
        <w:t xml:space="preserve"> que tiene varios. El procedimiento básico consiste en crear una tabla con el género y la especie de cada taxón. También podemos incluir una columna con la subespecie y la autoridad taxonómica que haya descrito el taxón, en este caso vamos a probar con </w:t>
      </w:r>
      <w:r>
        <w:rPr>
          <w:i/>
          <w:iCs/>
        </w:rPr>
        <w:t>Androsace cylindrica hirtella</w:t>
      </w:r>
      <w:r>
        <w:rPr/>
        <w:t xml:space="preserve">. En el caso de que el taxón que nos interesa no tuviese subespecies o no conociésemos la autoría podemos omitir las columnas correspondientes o rellenarlas con </w:t>
      </w:r>
      <w:r>
        <w:rPr>
          <w:i/>
          <w:iCs/>
        </w:rPr>
        <w:t>NA</w:t>
      </w:r>
      <w:r>
        <w:rPr/>
        <w:t xml:space="preserve">. Cabe destacar que el IEPNB todavía es un trabajo en marcha y algunos organismos no están presentes en la base de datos o carecen de información detallada. En esos casos </w:t>
      </w:r>
      <w:r>
        <w:rPr>
          <w:b/>
          <w:bCs/>
        </w:rPr>
        <w:t>eidosapi</w:t>
      </w:r>
      <w:r>
        <w:rPr/>
        <w:t xml:space="preserve"> devuelve una fila vacía en la tabla final pero indicando el nombre que hayamos buscado.</w:t>
      </w:r>
    </w:p>
    <w:p>
      <w:pPr>
        <w:pStyle w:val="SourceCode"/>
        <w:rPr/>
      </w:pPr>
      <w:r>
        <w:rPr>
          <w:rStyle w:val="CommentTok"/>
        </w:rPr>
        <w:t># Tabla ejemplo:</w:t>
      </w:r>
      <w:r>
        <w:rPr/>
        <w:br/>
      </w:r>
      <w:r>
        <w:rPr>
          <w:rStyle w:val="NormalTok"/>
        </w:rPr>
        <w:t xml:space="preserve">taxa_list </w:t>
      </w:r>
      <w:r>
        <w:rPr>
          <w:rStyle w:val="OtherTok"/>
        </w:rPr>
        <w:t>&lt;-</w:t>
      </w:r>
      <w:r>
        <w:rPr>
          <w:rStyle w:val="NormalTok"/>
        </w:rPr>
        <w:t xml:space="preserve"> </w:t>
      </w:r>
      <w:r>
        <w:rPr>
          <w:rStyle w:val="FunctionTok"/>
        </w:rPr>
        <w:t>data.frame</w:t>
      </w:r>
      <w:r>
        <w:rPr>
          <w:rStyle w:val="NormalTok"/>
        </w:rPr>
        <w:t>(</w:t>
      </w:r>
      <w:r>
        <w:rPr/>
        <w:br/>
      </w:r>
      <w:r>
        <w:rPr>
          <w:rStyle w:val="NormalTok"/>
        </w:rPr>
        <w:t xml:space="preserve">  </w:t>
      </w:r>
      <w:r>
        <w:rPr>
          <w:rStyle w:val="AttributeTok"/>
        </w:rPr>
        <w:t>genus =</w:t>
      </w:r>
      <w:r>
        <w:rPr>
          <w:rStyle w:val="NormalTok"/>
        </w:rPr>
        <w:t xml:space="preserve"> </w:t>
      </w:r>
      <w:r>
        <w:rPr>
          <w:rStyle w:val="FunctionTok"/>
        </w:rPr>
        <w:t>c</w:t>
      </w:r>
      <w:r>
        <w:rPr>
          <w:rStyle w:val="NormalTok"/>
        </w:rPr>
        <w:t>(</w:t>
      </w:r>
      <w:r>
        <w:rPr>
          <w:rStyle w:val="StringTok"/>
        </w:rPr>
        <w:t>"Falco"</w:t>
      </w:r>
      <w:r>
        <w:rPr>
          <w:rStyle w:val="NormalTok"/>
        </w:rPr>
        <w:t xml:space="preserve">, </w:t>
      </w:r>
      <w:r>
        <w:rPr>
          <w:rStyle w:val="StringTok"/>
        </w:rPr>
        <w:t>"Polygonum"</w:t>
      </w:r>
      <w:r>
        <w:rPr>
          <w:rStyle w:val="NormalTok"/>
        </w:rPr>
        <w:t xml:space="preserve">, </w:t>
      </w:r>
      <w:r>
        <w:rPr>
          <w:rStyle w:val="StringTok"/>
        </w:rPr>
        <w:t>"Androsace"</w:t>
      </w:r>
      <w:r>
        <w:rPr>
          <w:rStyle w:val="NormalTok"/>
        </w:rPr>
        <w:t>),</w:t>
      </w:r>
      <w:r>
        <w:rPr/>
        <w:br/>
      </w:r>
      <w:r>
        <w:rPr>
          <w:rStyle w:val="NormalTok"/>
        </w:rPr>
        <w:t xml:space="preserve">  </w:t>
      </w:r>
      <w:r>
        <w:rPr>
          <w:rStyle w:val="AttributeTok"/>
        </w:rPr>
        <w:t>species =</w:t>
      </w:r>
      <w:r>
        <w:rPr>
          <w:rStyle w:val="NormalTok"/>
        </w:rPr>
        <w:t xml:space="preserve"> </w:t>
      </w:r>
      <w:r>
        <w:rPr>
          <w:rStyle w:val="FunctionTok"/>
        </w:rPr>
        <w:t>c</w:t>
      </w:r>
      <w:r>
        <w:rPr>
          <w:rStyle w:val="NormalTok"/>
        </w:rPr>
        <w:t>(</w:t>
      </w:r>
      <w:r>
        <w:rPr>
          <w:rStyle w:val="StringTok"/>
        </w:rPr>
        <w:t>"eleonorae"</w:t>
      </w:r>
      <w:r>
        <w:rPr>
          <w:rStyle w:val="NormalTok"/>
        </w:rPr>
        <w:t xml:space="preserve">, </w:t>
      </w:r>
      <w:r>
        <w:rPr>
          <w:rStyle w:val="StringTok"/>
        </w:rPr>
        <w:t>"viviparum"</w:t>
      </w:r>
      <w:r>
        <w:rPr>
          <w:rStyle w:val="NormalTok"/>
        </w:rPr>
        <w:t xml:space="preserve">, </w:t>
      </w:r>
      <w:r>
        <w:rPr>
          <w:rStyle w:val="StringTok"/>
        </w:rPr>
        <w:t>"cylindrica"</w:t>
      </w:r>
      <w:r>
        <w:rPr>
          <w:rStyle w:val="NormalTok"/>
        </w:rPr>
        <w:t>),</w:t>
      </w:r>
      <w:r>
        <w:rPr/>
        <w:br/>
      </w:r>
      <w:r>
        <w:rPr>
          <w:rStyle w:val="NormalTok"/>
        </w:rPr>
        <w:t xml:space="preserve">  </w:t>
      </w:r>
      <w:r>
        <w:rPr>
          <w:rStyle w:val="AttributeTok"/>
        </w:rPr>
        <w:t>subspecies =</w:t>
      </w:r>
      <w:r>
        <w:rPr>
          <w:rStyle w:val="NormalTok"/>
        </w:rPr>
        <w:t xml:space="preserve"> </w:t>
      </w:r>
      <w:r>
        <w:rPr>
          <w:rStyle w:val="FunctionTok"/>
        </w:rPr>
        <w:t>c</w:t>
      </w:r>
      <w:r>
        <w:rPr>
          <w:rStyle w:val="NormalTok"/>
        </w:rPr>
        <w:t>(</w:t>
      </w:r>
      <w:r>
        <w:rPr>
          <w:rStyle w:val="ConstantTok"/>
        </w:rPr>
        <w:t>NA</w:t>
      </w:r>
      <w:r>
        <w:rPr>
          <w:rStyle w:val="NormalTok"/>
        </w:rPr>
        <w:t xml:space="preserve">, </w:t>
      </w:r>
      <w:r>
        <w:rPr>
          <w:rStyle w:val="ConstantTok"/>
        </w:rPr>
        <w:t>NA</w:t>
      </w:r>
      <w:r>
        <w:rPr>
          <w:rStyle w:val="NormalTok"/>
        </w:rPr>
        <w:t xml:space="preserve">, </w:t>
      </w:r>
      <w:r>
        <w:rPr>
          <w:rStyle w:val="StringTok"/>
        </w:rPr>
        <w:t>"hirtella"</w:t>
      </w:r>
      <w:r>
        <w:rPr>
          <w:rStyle w:val="NormalTok"/>
        </w:rPr>
        <w:t>)</w:t>
      </w:r>
      <w:r>
        <w:rPr/>
        <w:br/>
      </w:r>
      <w:r>
        <w:rPr>
          <w:rStyle w:val="NormalTok"/>
        </w:rPr>
        <w:t xml:space="preserve">  )</w:t>
      </w:r>
      <w:r>
        <w:rPr/>
        <w:br/>
        <w:br/>
      </w:r>
      <w:r>
        <w:rPr>
          <w:rStyle w:val="NormalTok"/>
        </w:rPr>
        <w:t xml:space="preserve">eidos_results </w:t>
      </w:r>
      <w:r>
        <w:rPr>
          <w:rStyle w:val="OtherTok"/>
        </w:rPr>
        <w:t>&lt;-</w:t>
      </w:r>
      <w:r>
        <w:rPr>
          <w:rStyle w:val="NormalTok"/>
        </w:rPr>
        <w:t xml:space="preserve"> </w:t>
      </w:r>
      <w:r>
        <w:rPr>
          <w:rStyle w:val="FunctionTok"/>
        </w:rPr>
        <w:t>eidos_taxon_by_name</w:t>
      </w:r>
      <w:r>
        <w:rPr>
          <w:rStyle w:val="NormalTok"/>
        </w:rPr>
        <w:t>(</w:t>
      </w:r>
      <w:r>
        <w:rPr/>
        <w:br/>
      </w:r>
      <w:r>
        <w:rPr>
          <w:rStyle w:val="NormalTok"/>
        </w:rPr>
        <w:t xml:space="preserve">  </w:t>
      </w:r>
      <w:r>
        <w:rPr>
          <w:rStyle w:val="AttributeTok"/>
        </w:rPr>
        <w:t>taxa_list =</w:t>
      </w:r>
      <w:r>
        <w:rPr>
          <w:rStyle w:val="NormalTok"/>
        </w:rPr>
        <w:t xml:space="preserve"> taxa_list</w:t>
      </w:r>
      <w:r>
        <w:rPr/>
        <w:br/>
      </w:r>
      <w:r>
        <w:rPr>
          <w:rStyle w:val="NormalTok"/>
        </w:rPr>
        <w:t>)</w:t>
      </w:r>
      <w:r>
        <w:rPr/>
        <w:br/>
        <w:br/>
      </w:r>
      <w:r>
        <w:rPr>
          <w:rStyle w:val="CommentTok"/>
        </w:rPr>
        <w:t># La tabla resultante tienes muchas columnas. Aquí solo se muestra</w:t>
      </w:r>
      <w:r>
        <w:rPr/>
        <w:br/>
      </w:r>
      <w:r>
        <w:rPr>
          <w:rStyle w:val="CommentTok"/>
        </w:rPr>
        <w:t># el nombre que hemos buscado, su identificador, si es un sinónimo</w:t>
      </w:r>
      <w:r>
        <w:rPr/>
        <w:br/>
      </w:r>
      <w:r>
        <w:rPr>
          <w:rStyle w:val="CommentTok"/>
        </w:rPr>
        <w:t># o no y el id del taxón aceptado:</w:t>
      </w:r>
      <w:r>
        <w:rPr/>
        <w:br/>
      </w:r>
      <w:r>
        <w:rPr>
          <w:rStyle w:val="NormalTok"/>
        </w:rPr>
        <w:t>knitr</w:t>
      </w:r>
      <w:r>
        <w:rPr>
          <w:rStyle w:val="SpecialCharTok"/>
        </w:rPr>
        <w:t>::</w:t>
      </w:r>
      <w:r>
        <w:rPr>
          <w:rStyle w:val="FunctionTok"/>
        </w:rPr>
        <w:t>kable</w:t>
      </w:r>
      <w:r>
        <w:rPr>
          <w:rStyle w:val="NormalTok"/>
        </w:rPr>
        <w:t>(eidos_results[</w:t>
      </w:r>
      <w:r>
        <w:rPr>
          <w:rStyle w:val="FunctionTok"/>
        </w:rPr>
        <w:t>c</w:t>
      </w:r>
      <w:r>
        <w:rPr>
          <w:rStyle w:val="NormalTok"/>
        </w:rPr>
        <w:t>(</w:t>
      </w:r>
      <w:r>
        <w:rPr>
          <w:rStyle w:val="StringTok"/>
        </w:rPr>
        <w:t>"supplied_taxon"</w:t>
      </w:r>
      <w:r>
        <w:rPr>
          <w:rStyle w:val="NormalTok"/>
        </w:rPr>
        <w:t>,</w:t>
      </w:r>
      <w:r>
        <w:rPr/>
        <w:br/>
      </w:r>
      <w:r>
        <w:rPr>
          <w:rStyle w:val="NormalTok"/>
        </w:rPr>
        <w:t xml:space="preserve">                             </w:t>
      </w:r>
      <w:r>
        <w:rPr>
          <w:rStyle w:val="StringTok"/>
        </w:rPr>
        <w:t>"idtaxon"</w:t>
      </w:r>
      <w:r>
        <w:rPr>
          <w:rStyle w:val="NormalTok"/>
        </w:rPr>
        <w:t xml:space="preserve">, </w:t>
      </w:r>
      <w:r>
        <w:rPr>
          <w:rStyle w:val="StringTok"/>
        </w:rPr>
        <w:t>"nametype"</w:t>
      </w:r>
      <w:r>
        <w:rPr>
          <w:rStyle w:val="NormalTok"/>
        </w:rPr>
        <w:t xml:space="preserve">, </w:t>
      </w:r>
      <w:r>
        <w:rPr>
          <w:rStyle w:val="StringTok"/>
        </w:rPr>
        <w:t>"acceptednameid"</w:t>
      </w:r>
      <w:r>
        <w:rPr>
          <w:rStyle w:val="NormalTok"/>
        </w:rPr>
        <w:t>)])</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3924"/>
        <w:gridCol w:w="1047"/>
        <w:gridCol w:w="2092"/>
        <w:gridCol w:w="1962"/>
      </w:tblGrid>
      <w:tr>
        <w:trPr>
          <w:tblHeader w:val="true"/>
        </w:trPr>
        <w:tc>
          <w:tcPr>
            <w:tcW w:w="3924" w:type="dxa"/>
            <w:tcBorders/>
          </w:tcPr>
          <w:p>
            <w:pPr>
              <w:pStyle w:val="Compact"/>
              <w:spacing w:before="36" w:after="36"/>
              <w:jc w:val="left"/>
              <w:rPr>
                <w:sz w:val="18"/>
                <w:szCs w:val="18"/>
              </w:rPr>
            </w:pPr>
            <w:r>
              <w:rPr>
                <w:sz w:val="18"/>
                <w:szCs w:val="18"/>
              </w:rPr>
              <w:t>supplied_taxon</w:t>
            </w:r>
          </w:p>
        </w:tc>
        <w:tc>
          <w:tcPr>
            <w:tcW w:w="1047" w:type="dxa"/>
            <w:tcBorders/>
          </w:tcPr>
          <w:p>
            <w:pPr>
              <w:pStyle w:val="Compact"/>
              <w:spacing w:before="36" w:after="36"/>
              <w:jc w:val="left"/>
              <w:rPr>
                <w:sz w:val="18"/>
                <w:szCs w:val="18"/>
              </w:rPr>
            </w:pPr>
            <w:r>
              <w:rPr>
                <w:sz w:val="18"/>
                <w:szCs w:val="18"/>
              </w:rPr>
              <w:t>idtaxon</w:t>
            </w:r>
          </w:p>
        </w:tc>
        <w:tc>
          <w:tcPr>
            <w:tcW w:w="2092" w:type="dxa"/>
            <w:tcBorders/>
          </w:tcPr>
          <w:p>
            <w:pPr>
              <w:pStyle w:val="Compact"/>
              <w:spacing w:before="36" w:after="36"/>
              <w:jc w:val="left"/>
              <w:rPr>
                <w:sz w:val="18"/>
                <w:szCs w:val="18"/>
              </w:rPr>
            </w:pPr>
            <w:r>
              <w:rPr>
                <w:sz w:val="18"/>
                <w:szCs w:val="18"/>
              </w:rPr>
              <w:t>nametype</w:t>
            </w:r>
          </w:p>
        </w:tc>
        <w:tc>
          <w:tcPr>
            <w:tcW w:w="1962" w:type="dxa"/>
            <w:tcBorders/>
          </w:tcPr>
          <w:p>
            <w:pPr>
              <w:pStyle w:val="Compact"/>
              <w:spacing w:before="36" w:after="36"/>
              <w:jc w:val="left"/>
              <w:rPr>
                <w:sz w:val="18"/>
                <w:szCs w:val="18"/>
              </w:rPr>
            </w:pPr>
            <w:r>
              <w:rPr>
                <w:sz w:val="18"/>
                <w:szCs w:val="18"/>
              </w:rPr>
              <w:t>acceptednameid</w:t>
            </w:r>
          </w:p>
        </w:tc>
      </w:tr>
      <w:tr>
        <w:trPr/>
        <w:tc>
          <w:tcPr>
            <w:tcW w:w="3924" w:type="dxa"/>
            <w:tcBorders/>
          </w:tcPr>
          <w:p>
            <w:pPr>
              <w:pStyle w:val="Compact"/>
              <w:spacing w:before="36" w:after="36"/>
              <w:jc w:val="left"/>
              <w:rPr>
                <w:sz w:val="18"/>
                <w:szCs w:val="18"/>
              </w:rPr>
            </w:pPr>
            <w:r>
              <w:rPr>
                <w:sz w:val="18"/>
                <w:szCs w:val="18"/>
              </w:rPr>
              <w:t>Falco eleonorae</w:t>
            </w:r>
          </w:p>
        </w:tc>
        <w:tc>
          <w:tcPr>
            <w:tcW w:w="1047" w:type="dxa"/>
            <w:tcBorders/>
          </w:tcPr>
          <w:p>
            <w:pPr>
              <w:pStyle w:val="Compact"/>
              <w:spacing w:before="36" w:after="36"/>
              <w:jc w:val="left"/>
              <w:rPr>
                <w:sz w:val="18"/>
                <w:szCs w:val="18"/>
              </w:rPr>
            </w:pPr>
            <w:r>
              <w:rPr>
                <w:sz w:val="18"/>
                <w:szCs w:val="18"/>
              </w:rPr>
              <w:t>11198</w:t>
            </w:r>
          </w:p>
        </w:tc>
        <w:tc>
          <w:tcPr>
            <w:tcW w:w="2092" w:type="dxa"/>
            <w:tcBorders/>
          </w:tcPr>
          <w:p>
            <w:pPr>
              <w:pStyle w:val="Compact"/>
              <w:spacing w:before="36" w:after="36"/>
              <w:jc w:val="left"/>
              <w:rPr>
                <w:sz w:val="18"/>
                <w:szCs w:val="18"/>
              </w:rPr>
            </w:pPr>
            <w:r>
              <w:rPr>
                <w:sz w:val="18"/>
                <w:szCs w:val="18"/>
              </w:rPr>
              <w:t>Aceptado/válido</w:t>
            </w:r>
          </w:p>
        </w:tc>
        <w:tc>
          <w:tcPr>
            <w:tcW w:w="1962" w:type="dxa"/>
            <w:tcBorders/>
          </w:tcPr>
          <w:p>
            <w:pPr>
              <w:pStyle w:val="Compact"/>
              <w:spacing w:before="36" w:after="36"/>
              <w:jc w:val="left"/>
              <w:rPr>
                <w:sz w:val="18"/>
                <w:szCs w:val="18"/>
              </w:rPr>
            </w:pPr>
            <w:r>
              <w:rPr>
                <w:sz w:val="18"/>
                <w:szCs w:val="18"/>
              </w:rPr>
              <w:t>11198</w:t>
            </w:r>
          </w:p>
        </w:tc>
      </w:tr>
      <w:tr>
        <w:trPr/>
        <w:tc>
          <w:tcPr>
            <w:tcW w:w="3924" w:type="dxa"/>
            <w:tcBorders/>
          </w:tcPr>
          <w:p>
            <w:pPr>
              <w:pStyle w:val="Compact"/>
              <w:spacing w:before="36" w:after="36"/>
              <w:jc w:val="left"/>
              <w:rPr>
                <w:sz w:val="18"/>
                <w:szCs w:val="18"/>
              </w:rPr>
            </w:pPr>
            <w:r>
              <w:rPr>
                <w:sz w:val="18"/>
                <w:szCs w:val="18"/>
              </w:rPr>
              <w:t>Polygonum viviparum</w:t>
            </w:r>
          </w:p>
        </w:tc>
        <w:tc>
          <w:tcPr>
            <w:tcW w:w="1047" w:type="dxa"/>
            <w:tcBorders/>
          </w:tcPr>
          <w:p>
            <w:pPr>
              <w:pStyle w:val="Compact"/>
              <w:spacing w:before="36" w:after="36"/>
              <w:jc w:val="left"/>
              <w:rPr>
                <w:sz w:val="18"/>
                <w:szCs w:val="18"/>
              </w:rPr>
            </w:pPr>
            <w:r>
              <w:rPr>
                <w:sz w:val="18"/>
                <w:szCs w:val="18"/>
              </w:rPr>
              <w:t>32824</w:t>
            </w:r>
          </w:p>
        </w:tc>
        <w:tc>
          <w:tcPr>
            <w:tcW w:w="2092" w:type="dxa"/>
            <w:tcBorders/>
          </w:tcPr>
          <w:p>
            <w:pPr>
              <w:pStyle w:val="Compact"/>
              <w:spacing w:before="36" w:after="36"/>
              <w:jc w:val="left"/>
              <w:rPr>
                <w:sz w:val="18"/>
                <w:szCs w:val="18"/>
              </w:rPr>
            </w:pPr>
            <w:r>
              <w:rPr>
                <w:sz w:val="18"/>
                <w:szCs w:val="18"/>
              </w:rPr>
              <w:t>Sinónimo</w:t>
            </w:r>
          </w:p>
        </w:tc>
        <w:tc>
          <w:tcPr>
            <w:tcW w:w="1962" w:type="dxa"/>
            <w:tcBorders/>
          </w:tcPr>
          <w:p>
            <w:pPr>
              <w:pStyle w:val="Compact"/>
              <w:spacing w:before="36" w:after="36"/>
              <w:jc w:val="left"/>
              <w:rPr>
                <w:sz w:val="18"/>
                <w:szCs w:val="18"/>
              </w:rPr>
            </w:pPr>
            <w:r>
              <w:rPr>
                <w:sz w:val="18"/>
                <w:szCs w:val="18"/>
              </w:rPr>
              <w:t>7277</w:t>
            </w:r>
          </w:p>
        </w:tc>
      </w:tr>
      <w:tr>
        <w:trPr/>
        <w:tc>
          <w:tcPr>
            <w:tcW w:w="3924" w:type="dxa"/>
            <w:tcBorders/>
          </w:tcPr>
          <w:p>
            <w:pPr>
              <w:pStyle w:val="Compact"/>
              <w:spacing w:before="36" w:after="36"/>
              <w:jc w:val="left"/>
              <w:rPr>
                <w:sz w:val="18"/>
                <w:szCs w:val="18"/>
              </w:rPr>
            </w:pPr>
            <w:r>
              <w:rPr>
                <w:sz w:val="18"/>
                <w:szCs w:val="18"/>
              </w:rPr>
              <w:t>Androsace cylindrica hirtella</w:t>
            </w:r>
          </w:p>
        </w:tc>
        <w:tc>
          <w:tcPr>
            <w:tcW w:w="1047" w:type="dxa"/>
            <w:tcBorders/>
          </w:tcPr>
          <w:p>
            <w:pPr>
              <w:pStyle w:val="Compact"/>
              <w:spacing w:before="36" w:after="36"/>
              <w:jc w:val="left"/>
              <w:rPr>
                <w:sz w:val="18"/>
                <w:szCs w:val="18"/>
              </w:rPr>
            </w:pPr>
            <w:r>
              <w:rPr>
                <w:sz w:val="18"/>
                <w:szCs w:val="18"/>
              </w:rPr>
              <w:t>2146</w:t>
            </w:r>
          </w:p>
        </w:tc>
        <w:tc>
          <w:tcPr>
            <w:tcW w:w="2092" w:type="dxa"/>
            <w:tcBorders/>
          </w:tcPr>
          <w:p>
            <w:pPr>
              <w:pStyle w:val="Compact"/>
              <w:spacing w:before="36" w:after="36"/>
              <w:jc w:val="left"/>
              <w:rPr>
                <w:sz w:val="18"/>
                <w:szCs w:val="18"/>
              </w:rPr>
            </w:pPr>
            <w:r>
              <w:rPr>
                <w:sz w:val="18"/>
                <w:szCs w:val="18"/>
              </w:rPr>
              <w:t>Aceptado/válido</w:t>
            </w:r>
          </w:p>
        </w:tc>
        <w:tc>
          <w:tcPr>
            <w:tcW w:w="1962" w:type="dxa"/>
            <w:tcBorders/>
          </w:tcPr>
          <w:p>
            <w:pPr>
              <w:pStyle w:val="Compact"/>
              <w:spacing w:before="36" w:after="36"/>
              <w:jc w:val="left"/>
              <w:rPr>
                <w:sz w:val="18"/>
                <w:szCs w:val="18"/>
              </w:rPr>
            </w:pPr>
            <w:r>
              <w:rPr>
                <w:sz w:val="18"/>
                <w:szCs w:val="18"/>
              </w:rPr>
              <w:t>2146</w:t>
            </w:r>
            <w:bookmarkStart w:id="5" w:name="búsqueda-de-especies-por-nombre"/>
            <w:bookmarkEnd w:id="5"/>
          </w:p>
        </w:tc>
      </w:tr>
    </w:tbl>
    <w:p>
      <w:pPr>
        <w:pStyle w:val="Heading2"/>
        <w:rPr/>
      </w:pPr>
      <w:r>
        <w:rPr/>
        <w:t>Estado de conservación</w:t>
      </w:r>
    </w:p>
    <w:p>
      <w:pPr>
        <w:pStyle w:val="Normal"/>
        <w:rPr/>
      </w:pPr>
      <w:r>
        <w:rPr/>
        <w:t xml:space="preserve">La columna </w:t>
      </w:r>
      <w:r>
        <w:rPr>
          <w:i/>
          <w:iCs/>
        </w:rPr>
        <w:t>idtaxon</w:t>
      </w:r>
      <w:r>
        <w:rPr/>
        <w:t xml:space="preserve"> obtenida en el paso anterior contiene el identificador único para cada taxón en el IEPNB. Si quisiéramos saber si el halcón de Eleonora tiene asociada alguna categoría de amenaza, solo tendríamos que introducir este indicador en la función </w:t>
      </w:r>
      <w:r>
        <w:rPr>
          <w:rStyle w:val="VerbatimChar"/>
        </w:rPr>
        <w:t>eidos_conservation_by_id()</w:t>
      </w:r>
      <w:r>
        <w:rPr/>
        <w:t>.</w:t>
      </w:r>
    </w:p>
    <w:p>
      <w:pPr>
        <w:pStyle w:val="SourceCode"/>
        <w:rPr/>
      </w:pPr>
      <w:r>
        <w:rPr>
          <w:rStyle w:val="CommentTok"/>
        </w:rPr>
        <w:t># Buscamos el identificador por nombre:</w:t>
      </w:r>
      <w:r>
        <w:rPr/>
        <w:br/>
      </w:r>
      <w:r>
        <w:rPr>
          <w:rStyle w:val="NormalTok"/>
        </w:rPr>
        <w:t xml:space="preserve">eidos_results </w:t>
      </w:r>
      <w:r>
        <w:rPr>
          <w:rStyle w:val="OtherTok"/>
        </w:rPr>
        <w:t>&lt;-</w:t>
      </w:r>
      <w:r>
        <w:rPr>
          <w:rStyle w:val="NormalTok"/>
        </w:rPr>
        <w:t xml:space="preserve"> </w:t>
      </w:r>
      <w:r>
        <w:rPr>
          <w:rStyle w:val="FunctionTok"/>
        </w:rPr>
        <w:t>eidos_taxon_by_name</w:t>
      </w:r>
      <w:r>
        <w:rPr>
          <w:rStyle w:val="NormalTok"/>
        </w:rPr>
        <w:t>(</w:t>
      </w:r>
      <w:r>
        <w:rPr/>
        <w:br/>
      </w:r>
      <w:r>
        <w:rPr>
          <w:rStyle w:val="NormalTok"/>
        </w:rPr>
        <w:t xml:space="preserve">  </w:t>
      </w:r>
      <w:r>
        <w:rPr>
          <w:rStyle w:val="AttributeTok"/>
        </w:rPr>
        <w:t>taxa_list =</w:t>
      </w:r>
      <w:r>
        <w:rPr>
          <w:rStyle w:val="NormalTok"/>
        </w:rPr>
        <w:t xml:space="preserve"> </w:t>
      </w:r>
      <w:r>
        <w:rPr>
          <w:rStyle w:val="StringTok"/>
        </w:rPr>
        <w:t>"Falco eleonorae"</w:t>
      </w:r>
      <w:r>
        <w:rPr/>
        <w:br/>
      </w:r>
      <w:r>
        <w:rPr>
          <w:rStyle w:val="NormalTok"/>
        </w:rPr>
        <w:t>)</w:t>
      </w:r>
      <w:r>
        <w:rPr/>
        <w:br/>
        <w:br/>
      </w:r>
      <w:r>
        <w:rPr>
          <w:rStyle w:val="CommentTok"/>
        </w:rPr>
        <w:t># El identificador debería ser 11198:</w:t>
      </w:r>
      <w:r>
        <w:rPr/>
        <w:br/>
      </w:r>
      <w:r>
        <w:rPr>
          <w:rStyle w:val="FunctionTok"/>
        </w:rPr>
        <w:t>print</w:t>
      </w:r>
      <w:r>
        <w:rPr>
          <w:rStyle w:val="NormalTok"/>
        </w:rPr>
        <w:t>(eidos_results</w:t>
      </w:r>
      <w:r>
        <w:rPr>
          <w:rStyle w:val="SpecialCharTok"/>
        </w:rPr>
        <w:t>$</w:t>
      </w:r>
      <w:r>
        <w:rPr>
          <w:rStyle w:val="NormalTok"/>
        </w:rPr>
        <w:t>idtaxon)</w:t>
      </w:r>
    </w:p>
    <w:p>
      <w:pPr>
        <w:pStyle w:val="SourceCode"/>
        <w:rPr/>
      </w:pPr>
      <w:r>
        <w:rPr>
          <w:rStyle w:val="VerbatimChar"/>
        </w:rPr>
        <w:t>[1] "11198"</w:t>
      </w:r>
    </w:p>
    <w:p>
      <w:pPr>
        <w:pStyle w:val="SourceCode"/>
        <w:rPr/>
      </w:pPr>
      <w:r>
        <w:rPr>
          <w:rStyle w:val="CommentTok"/>
        </w:rPr>
        <w:t># Accedemos a la información sobre su estado de conservación</w:t>
      </w:r>
      <w:r>
        <w:rPr/>
        <w:br/>
      </w:r>
      <w:r>
        <w:rPr>
          <w:rStyle w:val="NormalTok"/>
        </w:rPr>
        <w:t xml:space="preserve">eidos_cons </w:t>
      </w:r>
      <w:r>
        <w:rPr>
          <w:rStyle w:val="OtherTok"/>
        </w:rPr>
        <w:t>&lt;-</w:t>
      </w:r>
      <w:r>
        <w:rPr>
          <w:rStyle w:val="NormalTok"/>
        </w:rPr>
        <w:t xml:space="preserve"> </w:t>
      </w:r>
      <w:r>
        <w:rPr>
          <w:rStyle w:val="FunctionTok"/>
        </w:rPr>
        <w:t>eidos_conservation_by_id</w:t>
      </w:r>
      <w:r>
        <w:rPr>
          <w:rStyle w:val="NormalTok"/>
        </w:rPr>
        <w:t>(</w:t>
      </w:r>
      <w:r>
        <w:rPr/>
        <w:br/>
      </w:r>
      <w:r>
        <w:rPr>
          <w:rStyle w:val="NormalTok"/>
        </w:rPr>
        <w:t xml:space="preserve">  </w:t>
      </w:r>
      <w:r>
        <w:rPr>
          <w:rStyle w:val="AttributeTok"/>
        </w:rPr>
        <w:t>taxon_id =</w:t>
      </w:r>
      <w:r>
        <w:rPr>
          <w:rStyle w:val="NormalTok"/>
        </w:rPr>
        <w:t xml:space="preserve"> eidos_results</w:t>
      </w:r>
      <w:r>
        <w:rPr>
          <w:rStyle w:val="SpecialCharTok"/>
        </w:rPr>
        <w:t>$</w:t>
      </w:r>
      <w:r>
        <w:rPr>
          <w:rStyle w:val="NormalTok"/>
        </w:rPr>
        <w:t>idtaxon</w:t>
      </w:r>
      <w:r>
        <w:rPr/>
        <w:br/>
      </w:r>
      <w:r>
        <w:rPr>
          <w:rStyle w:val="NormalTok"/>
        </w:rPr>
        <w:t xml:space="preserve">  )</w:t>
      </w:r>
      <w:r>
        <w:rPr/>
        <w:br/>
        <w:br/>
      </w:r>
      <w:r>
        <w:rPr>
          <w:rStyle w:val="CommentTok"/>
        </w:rPr>
        <w:t># Mostramos solo algunas columnas básicas:</w:t>
      </w:r>
      <w:r>
        <w:rPr/>
        <w:br/>
      </w:r>
      <w:r>
        <w:rPr>
          <w:rStyle w:val="NormalTok"/>
        </w:rPr>
        <w:t>knitr</w:t>
      </w:r>
      <w:r>
        <w:rPr>
          <w:rStyle w:val="SpecialCharTok"/>
        </w:rPr>
        <w:t>::</w:t>
      </w:r>
      <w:r>
        <w:rPr>
          <w:rStyle w:val="FunctionTok"/>
        </w:rPr>
        <w:t>kable</w:t>
      </w:r>
      <w:r>
        <w:rPr>
          <w:rStyle w:val="NormalTok"/>
        </w:rPr>
        <w:t>(eidos_cons[</w:t>
      </w:r>
      <w:r>
        <w:rPr>
          <w:rStyle w:val="FunctionTok"/>
        </w:rPr>
        <w:t>c</w:t>
      </w:r>
      <w:r>
        <w:rPr>
          <w:rStyle w:val="NormalTok"/>
        </w:rPr>
        <w:t>(</w:t>
      </w:r>
      <w:r>
        <w:rPr>
          <w:rStyle w:val="StringTok"/>
        </w:rPr>
        <w:t>"supplied_name"</w:t>
      </w:r>
      <w:r>
        <w:rPr>
          <w:rStyle w:val="NormalTok"/>
        </w:rPr>
        <w:t xml:space="preserve">, </w:t>
      </w:r>
      <w:r>
        <w:rPr>
          <w:rStyle w:val="StringTok"/>
        </w:rPr>
        <w:t>"idtaxon"</w:t>
      </w:r>
      <w:r>
        <w:rPr>
          <w:rStyle w:val="NormalTok"/>
        </w:rPr>
        <w:t xml:space="preserve">, </w:t>
      </w:r>
      <w:r>
        <w:rPr>
          <w:rStyle w:val="StringTok"/>
        </w:rPr>
        <w:t>"anio"</w:t>
      </w:r>
      <w:r>
        <w:rPr>
          <w:rStyle w:val="NormalTok"/>
        </w:rPr>
        <w:t xml:space="preserve">, </w:t>
      </w:r>
      <w:r>
        <w:rPr>
          <w:rStyle w:val="StringTok"/>
        </w:rPr>
        <w:t>"categoriaconservacion"</w:t>
      </w:r>
      <w:r>
        <w:rPr>
          <w:rStyle w:val="NormalTok"/>
        </w:rPr>
        <w:t xml:space="preserve">, </w:t>
      </w:r>
      <w:r>
        <w:rPr>
          <w:rStyle w:val="StringTok"/>
        </w:rPr>
        <w:t>"aplicaa"</w:t>
      </w:r>
      <w:r>
        <w:rPr>
          <w:rStyle w:val="NormalTok"/>
        </w:rPr>
        <w:t>)])</w:t>
      </w:r>
    </w:p>
    <w:p>
      <w:pPr>
        <w:pStyle w:val="SourceCode"/>
        <w:rPr/>
      </w:pPr>
      <w:r>
        <w:rPr>
          <w:rStyle w:val="VerbatimChar"/>
        </w:rPr>
        <w:t>Error in `[.data.frame`(eidos_cons, c("supplied_name", "idtaxon", "anio", : columnas no definidas seleccionadas</w:t>
      </w:r>
    </w:p>
    <w:p>
      <w:pPr>
        <w:pStyle w:val="Normal"/>
        <w:rPr/>
      </w:pPr>
      <w:r>
        <w:rPr/>
        <w:t xml:space="preserve">En este caso, el halcón de Eleonora a nivel mundial está en la categoría “Preocupación menor” (LC) desde el año 2016, mientras que en España y la Península Ibérica se la considera “Casi amenazado” (NT) desde 2004 y 2021 respectivamente. Siguiendo este mismo procedimiento podríamos conocer las normativas específicas que rigen esas categorías para cada especie con la función </w:t>
      </w:r>
      <w:r>
        <w:rPr>
          <w:rStyle w:val="VerbatimChar"/>
        </w:rPr>
        <w:t>eidos_legal_status_by_id()</w:t>
      </w:r>
      <w:r>
        <w:rPr/>
        <w:t>.</w:t>
      </w:r>
    </w:p>
    <w:p>
      <w:pPr>
        <w:pStyle w:val="Heading2"/>
        <w:rPr/>
      </w:pPr>
      <w:r>
        <w:rPr/>
        <w:t>Búsqueda de especies con errores en la nomenclatura</w:t>
      </w:r>
    </w:p>
    <w:p>
      <w:pPr>
        <w:pStyle w:val="Normal"/>
        <w:rPr/>
      </w:pPr>
      <w:r>
        <w:rPr/>
        <w:t xml:space="preserve">Un problema común a la hora de trabajar con datos de especies son los errores de escritura. El paquete </w:t>
      </w:r>
      <w:r>
        <w:rPr>
          <w:b/>
          <w:bCs/>
        </w:rPr>
        <w:t>eidosapi</w:t>
      </w:r>
      <w:r>
        <w:rPr/>
        <w:t xml:space="preserve"> incluye la función </w:t>
      </w:r>
      <w:r>
        <w:rPr>
          <w:rStyle w:val="VerbatimChar"/>
        </w:rPr>
        <w:t>eidos_fuzzy_names()</w:t>
      </w:r>
      <w:r>
        <w:rPr/>
        <w:t xml:space="preserve"> que permite consultar en la LP, previa descarga con la función </w:t>
      </w:r>
      <w:r>
        <w:rPr>
          <w:rStyle w:val="VerbatimChar"/>
        </w:rPr>
        <w:t>eidos_clean_checklist()</w:t>
      </w:r>
      <w:r>
        <w:rPr/>
        <w:t>, los nombres que más se acerquen a la información que hayamos aportado. Podemos comprobarlo con algunos nombres muy mal escritos.</w:t>
      </w:r>
    </w:p>
    <w:p>
      <w:pPr>
        <w:pStyle w:val="SourceCode"/>
        <w:rPr/>
      </w:pPr>
      <w:r>
        <w:rPr>
          <w:rStyle w:val="CommentTok"/>
        </w:rPr>
        <w:t># Creamos la tabla con la información que queremos contrastar:</w:t>
      </w:r>
      <w:r>
        <w:rPr/>
        <w:br/>
      </w:r>
      <w:r>
        <w:rPr>
          <w:rStyle w:val="NormalTok"/>
        </w:rPr>
        <w:t xml:space="preserve">taxa_list </w:t>
      </w:r>
      <w:r>
        <w:rPr>
          <w:rStyle w:val="OtherTok"/>
        </w:rPr>
        <w:t>&lt;-</w:t>
      </w:r>
      <w:r>
        <w:rPr>
          <w:rStyle w:val="NormalTok"/>
        </w:rPr>
        <w:t xml:space="preserve"> </w:t>
      </w:r>
      <w:r>
        <w:rPr>
          <w:rStyle w:val="FunctionTok"/>
        </w:rPr>
        <w:t>data.frame</w:t>
      </w:r>
      <w:r>
        <w:rPr>
          <w:rStyle w:val="NormalTok"/>
        </w:rPr>
        <w:t>(</w:t>
      </w:r>
      <w:r>
        <w:rPr/>
        <w:br/>
      </w:r>
      <w:r>
        <w:rPr>
          <w:rStyle w:val="NormalTok"/>
        </w:rPr>
        <w:t xml:space="preserve">  </w:t>
      </w:r>
      <w:r>
        <w:rPr>
          <w:rStyle w:val="AttributeTok"/>
        </w:rPr>
        <w:t>genus =</w:t>
      </w:r>
      <w:r>
        <w:rPr>
          <w:rStyle w:val="NormalTok"/>
        </w:rPr>
        <w:t xml:space="preserve"> </w:t>
      </w:r>
      <w:r>
        <w:rPr>
          <w:rStyle w:val="FunctionTok"/>
        </w:rPr>
        <w:t>c</w:t>
      </w:r>
      <w:r>
        <w:rPr>
          <w:rStyle w:val="NormalTok"/>
        </w:rPr>
        <w:t>(</w:t>
      </w:r>
      <w:r>
        <w:rPr>
          <w:rStyle w:val="StringTok"/>
        </w:rPr>
        <w:t>"Vorderea"</w:t>
      </w:r>
      <w:r>
        <w:rPr>
          <w:rStyle w:val="NormalTok"/>
        </w:rPr>
        <w:t xml:space="preserve">, </w:t>
      </w:r>
      <w:r>
        <w:rPr>
          <w:rStyle w:val="StringTok"/>
        </w:rPr>
        <w:t>"Alytes"</w:t>
      </w:r>
      <w:r>
        <w:rPr>
          <w:rStyle w:val="NormalTok"/>
        </w:rPr>
        <w:t>),</w:t>
      </w:r>
      <w:r>
        <w:rPr/>
        <w:br/>
      </w:r>
      <w:r>
        <w:rPr>
          <w:rStyle w:val="NormalTok"/>
        </w:rPr>
        <w:t xml:space="preserve">  </w:t>
      </w:r>
      <w:r>
        <w:rPr>
          <w:rStyle w:val="AttributeTok"/>
        </w:rPr>
        <w:t>species =</w:t>
      </w:r>
      <w:r>
        <w:rPr>
          <w:rStyle w:val="NormalTok"/>
        </w:rPr>
        <w:t xml:space="preserve"> </w:t>
      </w:r>
      <w:r>
        <w:rPr>
          <w:rStyle w:val="FunctionTok"/>
        </w:rPr>
        <w:t>c</w:t>
      </w:r>
      <w:r>
        <w:rPr>
          <w:rStyle w:val="NormalTok"/>
        </w:rPr>
        <w:t>(</w:t>
      </w:r>
      <w:r>
        <w:rPr>
          <w:rStyle w:val="StringTok"/>
        </w:rPr>
        <w:t>"pyrenaica"</w:t>
      </w:r>
      <w:r>
        <w:rPr>
          <w:rStyle w:val="NormalTok"/>
        </w:rPr>
        <w:t xml:space="preserve">, </w:t>
      </w:r>
      <w:r>
        <w:rPr>
          <w:rStyle w:val="StringTok"/>
        </w:rPr>
        <w:t>"cisternasi"</w:t>
      </w:r>
      <w:r>
        <w:rPr>
          <w:rStyle w:val="NormalTok"/>
        </w:rPr>
        <w:t>)</w:t>
      </w:r>
      <w:r>
        <w:rPr/>
        <w:br/>
      </w:r>
      <w:r>
        <w:rPr>
          <w:rStyle w:val="NormalTok"/>
        </w:rPr>
        <w:t xml:space="preserve">  )</w:t>
      </w:r>
      <w:r>
        <w:rPr/>
        <w:br/>
        <w:br/>
      </w:r>
      <w:r>
        <w:rPr>
          <w:rStyle w:val="CommentTok"/>
        </w:rPr>
        <w:t># Podemos emplear la función directamente y esta descargará</w:t>
      </w:r>
      <w:r>
        <w:rPr/>
        <w:br/>
      </w:r>
      <w:r>
        <w:rPr>
          <w:rStyle w:val="CommentTok"/>
        </w:rPr>
        <w:t># la LP de forma automática:</w:t>
      </w:r>
      <w:r>
        <w:rPr/>
        <w:br/>
      </w:r>
      <w:r>
        <w:rPr>
          <w:rStyle w:val="NormalTok"/>
        </w:rPr>
        <w:t xml:space="preserve">eidos_result </w:t>
      </w:r>
      <w:r>
        <w:rPr>
          <w:rStyle w:val="OtherTok"/>
        </w:rPr>
        <w:t>&lt;-</w:t>
      </w:r>
      <w:r>
        <w:rPr>
          <w:rStyle w:val="NormalTok"/>
        </w:rPr>
        <w:t xml:space="preserve"> </w:t>
      </w:r>
      <w:r>
        <w:rPr>
          <w:rStyle w:val="FunctionTok"/>
        </w:rPr>
        <w:t>eidos_fuzzy_names</w:t>
      </w:r>
      <w:r>
        <w:rPr>
          <w:rStyle w:val="NormalTok"/>
        </w:rPr>
        <w:t>(</w:t>
      </w:r>
      <w:r>
        <w:rPr>
          <w:rStyle w:val="AttributeTok"/>
        </w:rPr>
        <w:t>taxa_list =</w:t>
      </w:r>
      <w:r>
        <w:rPr>
          <w:rStyle w:val="NormalTok"/>
        </w:rPr>
        <w:t xml:space="preserve"> taxa_list)</w:t>
      </w:r>
    </w:p>
    <w:p>
      <w:pPr>
        <w:pStyle w:val="SourceCode"/>
        <w:rPr/>
      </w:pPr>
      <w:r>
        <w:rPr>
          <w:rStyle w:val="VerbatimChar"/>
        </w:rPr>
        <w:t>Downloading checklist and formatting, please wait...</w:t>
      </w:r>
    </w:p>
    <w:p>
      <w:pPr>
        <w:pStyle w:val="SourceCode"/>
        <w:rPr/>
      </w:pPr>
      <w:r>
        <w:rPr>
          <w:rStyle w:val="CommentTok"/>
        </w:rPr>
        <w:t xml:space="preserve"># Podemos comprobar que ha encontrado dos coincidencias: </w:t>
      </w:r>
      <w:r>
        <w:rPr/>
        <w:br/>
      </w:r>
      <w:r>
        <w:rPr>
          <w:rStyle w:val="CommentTok"/>
        </w:rPr>
        <w:t># Borderea pyrenaica y Alytes cisternasii:</w:t>
      </w:r>
      <w:r>
        <w:rPr/>
        <w:br/>
      </w:r>
      <w:r>
        <w:rPr>
          <w:rStyle w:val="NormalTok"/>
        </w:rPr>
        <w:t>knitr</w:t>
      </w:r>
      <w:r>
        <w:rPr>
          <w:rStyle w:val="SpecialCharTok"/>
        </w:rPr>
        <w:t>::</w:t>
      </w:r>
      <w:r>
        <w:rPr>
          <w:rStyle w:val="FunctionTok"/>
        </w:rPr>
        <w:t>kable</w:t>
      </w:r>
      <w:r>
        <w:rPr>
          <w:rStyle w:val="NormalTok"/>
        </w:rPr>
        <w:t>(eidos_result[</w:t>
      </w:r>
      <w:r>
        <w:rPr>
          <w:rStyle w:val="FunctionTok"/>
        </w:rPr>
        <w:t>c</w:t>
      </w:r>
      <w:r>
        <w:rPr>
          <w:rStyle w:val="NormalTok"/>
        </w:rPr>
        <w:t>(</w:t>
      </w:r>
      <w:r>
        <w:rPr>
          <w:rStyle w:val="StringTok"/>
        </w:rPr>
        <w:t>"supplied_taxon"</w:t>
      </w:r>
      <w:r>
        <w:rPr>
          <w:rStyle w:val="NormalTok"/>
        </w:rPr>
        <w:t xml:space="preserve">, </w:t>
      </w:r>
      <w:r>
        <w:rPr>
          <w:rStyle w:val="StringTok"/>
        </w:rPr>
        <w:t>"idtaxon"</w:t>
      </w:r>
      <w:r>
        <w:rPr>
          <w:rStyle w:val="NormalTok"/>
        </w:rPr>
        <w:t xml:space="preserve">, </w:t>
      </w:r>
      <w:r>
        <w:rPr/>
        <w:br/>
      </w:r>
      <w:r>
        <w:rPr>
          <w:rStyle w:val="NormalTok"/>
        </w:rPr>
        <w:t xml:space="preserve">               </w:t>
      </w:r>
      <w:r>
        <w:rPr>
          <w:rStyle w:val="StringTok"/>
        </w:rPr>
        <w:t>"name"</w:t>
      </w:r>
      <w:r>
        <w:rPr>
          <w:rStyle w:val="NormalTok"/>
        </w:rPr>
        <w:t xml:space="preserve">, </w:t>
      </w:r>
      <w:r>
        <w:rPr>
          <w:rStyle w:val="StringTok"/>
        </w:rPr>
        <w:t>"withoutautorship"</w:t>
      </w:r>
      <w:r>
        <w:rPr>
          <w:rStyle w:val="NormalTok"/>
        </w:rPr>
        <w:t>)])</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2198"/>
        <w:gridCol w:w="926"/>
        <w:gridCol w:w="3587"/>
        <w:gridCol w:w="2314"/>
      </w:tblGrid>
      <w:tr>
        <w:trPr>
          <w:tblHeader w:val="true"/>
        </w:trPr>
        <w:tc>
          <w:tcPr>
            <w:tcW w:w="2198" w:type="dxa"/>
            <w:tcBorders/>
          </w:tcPr>
          <w:p>
            <w:pPr>
              <w:pStyle w:val="Compact"/>
              <w:spacing w:before="36" w:after="36"/>
              <w:jc w:val="left"/>
              <w:rPr>
                <w:sz w:val="18"/>
                <w:szCs w:val="18"/>
              </w:rPr>
            </w:pPr>
            <w:r>
              <w:rPr>
                <w:sz w:val="18"/>
                <w:szCs w:val="18"/>
              </w:rPr>
              <w:t>supplied_taxon</w:t>
            </w:r>
          </w:p>
        </w:tc>
        <w:tc>
          <w:tcPr>
            <w:tcW w:w="926" w:type="dxa"/>
            <w:tcBorders/>
          </w:tcPr>
          <w:p>
            <w:pPr>
              <w:pStyle w:val="Compact"/>
              <w:spacing w:before="36" w:after="36"/>
              <w:jc w:val="left"/>
              <w:rPr>
                <w:sz w:val="18"/>
                <w:szCs w:val="18"/>
              </w:rPr>
            </w:pPr>
            <w:r>
              <w:rPr>
                <w:sz w:val="18"/>
                <w:szCs w:val="18"/>
              </w:rPr>
              <w:t>idtaxon</w:t>
            </w:r>
          </w:p>
        </w:tc>
        <w:tc>
          <w:tcPr>
            <w:tcW w:w="3587" w:type="dxa"/>
            <w:tcBorders/>
          </w:tcPr>
          <w:p>
            <w:pPr>
              <w:pStyle w:val="Compact"/>
              <w:spacing w:before="36" w:after="36"/>
              <w:jc w:val="left"/>
              <w:rPr>
                <w:sz w:val="18"/>
                <w:szCs w:val="18"/>
              </w:rPr>
            </w:pPr>
            <w:r>
              <w:rPr>
                <w:sz w:val="18"/>
                <w:szCs w:val="18"/>
              </w:rPr>
              <w:t>name</w:t>
            </w:r>
          </w:p>
        </w:tc>
        <w:tc>
          <w:tcPr>
            <w:tcW w:w="2314" w:type="dxa"/>
            <w:tcBorders/>
          </w:tcPr>
          <w:p>
            <w:pPr>
              <w:pStyle w:val="Compact"/>
              <w:spacing w:before="36" w:after="36"/>
              <w:jc w:val="left"/>
              <w:rPr>
                <w:sz w:val="18"/>
                <w:szCs w:val="18"/>
              </w:rPr>
            </w:pPr>
            <w:r>
              <w:rPr>
                <w:sz w:val="18"/>
                <w:szCs w:val="18"/>
              </w:rPr>
              <w:t>withoutautorship</w:t>
            </w:r>
          </w:p>
        </w:tc>
      </w:tr>
      <w:tr>
        <w:trPr/>
        <w:tc>
          <w:tcPr>
            <w:tcW w:w="2198" w:type="dxa"/>
            <w:tcBorders/>
          </w:tcPr>
          <w:p>
            <w:pPr>
              <w:pStyle w:val="Compact"/>
              <w:spacing w:before="36" w:after="36"/>
              <w:jc w:val="left"/>
              <w:rPr>
                <w:sz w:val="18"/>
                <w:szCs w:val="18"/>
              </w:rPr>
            </w:pPr>
            <w:r>
              <w:rPr>
                <w:sz w:val="18"/>
                <w:szCs w:val="18"/>
              </w:rPr>
              <w:t>Vorderea pyrenaica</w:t>
            </w:r>
          </w:p>
        </w:tc>
        <w:tc>
          <w:tcPr>
            <w:tcW w:w="926" w:type="dxa"/>
            <w:tcBorders/>
          </w:tcPr>
          <w:p>
            <w:pPr>
              <w:pStyle w:val="Compact"/>
              <w:spacing w:before="36" w:after="36"/>
              <w:jc w:val="left"/>
              <w:rPr>
                <w:sz w:val="18"/>
                <w:szCs w:val="18"/>
              </w:rPr>
            </w:pPr>
            <w:r>
              <w:rPr>
                <w:sz w:val="18"/>
                <w:szCs w:val="18"/>
              </w:rPr>
              <w:t>94856</w:t>
            </w:r>
          </w:p>
        </w:tc>
        <w:tc>
          <w:tcPr>
            <w:tcW w:w="3587" w:type="dxa"/>
            <w:tcBorders/>
          </w:tcPr>
          <w:p>
            <w:pPr>
              <w:pStyle w:val="Compact"/>
              <w:spacing w:before="36" w:after="36"/>
              <w:jc w:val="left"/>
              <w:rPr>
                <w:sz w:val="18"/>
                <w:szCs w:val="18"/>
              </w:rPr>
            </w:pPr>
            <w:r>
              <w:rPr>
                <w:sz w:val="18"/>
                <w:szCs w:val="18"/>
              </w:rPr>
              <w:t>Borderea pyrenaica Miégev.</w:t>
            </w:r>
          </w:p>
        </w:tc>
        <w:tc>
          <w:tcPr>
            <w:tcW w:w="2314" w:type="dxa"/>
            <w:tcBorders/>
          </w:tcPr>
          <w:p>
            <w:pPr>
              <w:pStyle w:val="Compact"/>
              <w:spacing w:before="36" w:after="36"/>
              <w:jc w:val="left"/>
              <w:rPr>
                <w:sz w:val="18"/>
                <w:szCs w:val="18"/>
              </w:rPr>
            </w:pPr>
            <w:r>
              <w:rPr>
                <w:sz w:val="18"/>
                <w:szCs w:val="18"/>
              </w:rPr>
              <w:t>Dioscorea pyrenaica</w:t>
            </w:r>
          </w:p>
        </w:tc>
      </w:tr>
      <w:tr>
        <w:trPr/>
        <w:tc>
          <w:tcPr>
            <w:tcW w:w="2198" w:type="dxa"/>
            <w:tcBorders/>
          </w:tcPr>
          <w:p>
            <w:pPr>
              <w:pStyle w:val="Compact"/>
              <w:spacing w:before="36" w:after="36"/>
              <w:jc w:val="left"/>
              <w:rPr>
                <w:sz w:val="18"/>
                <w:szCs w:val="18"/>
              </w:rPr>
            </w:pPr>
            <w:r>
              <w:rPr>
                <w:sz w:val="18"/>
                <w:szCs w:val="18"/>
              </w:rPr>
              <w:t>Alytes cisternasi</w:t>
            </w:r>
          </w:p>
        </w:tc>
        <w:tc>
          <w:tcPr>
            <w:tcW w:w="926" w:type="dxa"/>
            <w:tcBorders/>
          </w:tcPr>
          <w:p>
            <w:pPr>
              <w:pStyle w:val="Compact"/>
              <w:spacing w:before="36" w:after="36"/>
              <w:jc w:val="left"/>
              <w:rPr>
                <w:sz w:val="18"/>
                <w:szCs w:val="18"/>
              </w:rPr>
            </w:pPr>
            <w:r>
              <w:rPr>
                <w:sz w:val="18"/>
                <w:szCs w:val="18"/>
              </w:rPr>
              <w:t>10909</w:t>
            </w:r>
          </w:p>
        </w:tc>
        <w:tc>
          <w:tcPr>
            <w:tcW w:w="3587" w:type="dxa"/>
            <w:tcBorders/>
          </w:tcPr>
          <w:p>
            <w:pPr>
              <w:pStyle w:val="Compact"/>
              <w:spacing w:before="36" w:after="36"/>
              <w:jc w:val="left"/>
              <w:rPr>
                <w:sz w:val="18"/>
                <w:szCs w:val="18"/>
              </w:rPr>
            </w:pPr>
            <w:r>
              <w:rPr>
                <w:sz w:val="18"/>
                <w:szCs w:val="18"/>
              </w:rPr>
              <w:t>Alytes cisternasii Boscá, 1879</w:t>
            </w:r>
          </w:p>
        </w:tc>
        <w:tc>
          <w:tcPr>
            <w:tcW w:w="2314" w:type="dxa"/>
            <w:tcBorders/>
          </w:tcPr>
          <w:p>
            <w:pPr>
              <w:pStyle w:val="Compact"/>
              <w:spacing w:before="36" w:after="36"/>
              <w:jc w:val="left"/>
              <w:rPr>
                <w:sz w:val="18"/>
                <w:szCs w:val="18"/>
              </w:rPr>
            </w:pPr>
            <w:r>
              <w:rPr>
                <w:sz w:val="18"/>
                <w:szCs w:val="18"/>
              </w:rPr>
              <w:t>Alytes cisternasii</w:t>
            </w:r>
          </w:p>
        </w:tc>
      </w:tr>
    </w:tbl>
    <w:p>
      <w:pPr>
        <w:pStyle w:val="BodyText"/>
        <w:rPr/>
      </w:pPr>
      <w:r>
        <w:rPr/>
        <w:t xml:space="preserve">La función </w:t>
      </w:r>
      <w:r>
        <w:rPr>
          <w:rStyle w:val="VerbatimChar"/>
        </w:rPr>
        <w:t>eidos_fuzzy_names()</w:t>
      </w:r>
      <w:r>
        <w:rPr/>
        <w:t xml:space="preserve"> también nos permite ajustar la búsqueda empleando el argumento </w:t>
      </w:r>
      <w:r>
        <w:rPr>
          <w:i/>
          <w:iCs/>
        </w:rPr>
        <w:t>maxdist</w:t>
      </w:r>
      <w:r>
        <w:rPr/>
        <w:t>, que controla el grado de similitud entre los nombres aceptados y el nombre que queremos buscar.</w:t>
      </w:r>
    </w:p>
    <w:p>
      <w:pPr>
        <w:pStyle w:val="SourceCode"/>
        <w:rPr/>
      </w:pPr>
      <w:r>
        <w:rPr>
          <w:rStyle w:val="CommentTok"/>
        </w:rPr>
        <w:t># Tabla con la información que queremos contrastar:</w:t>
      </w:r>
      <w:r>
        <w:rPr/>
        <w:br/>
      </w:r>
      <w:r>
        <w:rPr>
          <w:rStyle w:val="NormalTok"/>
        </w:rPr>
        <w:t xml:space="preserve">taxa_list </w:t>
      </w:r>
      <w:r>
        <w:rPr>
          <w:rStyle w:val="OtherTok"/>
        </w:rPr>
        <w:t>&lt;-</w:t>
      </w:r>
      <w:r>
        <w:rPr>
          <w:rStyle w:val="NormalTok"/>
        </w:rPr>
        <w:t xml:space="preserve"> </w:t>
      </w:r>
      <w:r>
        <w:rPr>
          <w:rStyle w:val="FunctionTok"/>
        </w:rPr>
        <w:t>data.frame</w:t>
      </w:r>
      <w:r>
        <w:rPr>
          <w:rStyle w:val="NormalTok"/>
        </w:rPr>
        <w:t>(</w:t>
      </w:r>
      <w:r>
        <w:rPr/>
        <w:br/>
      </w:r>
      <w:r>
        <w:rPr>
          <w:rStyle w:val="NormalTok"/>
        </w:rPr>
        <w:t xml:space="preserve">  </w:t>
      </w:r>
      <w:r>
        <w:rPr>
          <w:rStyle w:val="AttributeTok"/>
        </w:rPr>
        <w:t>genus =</w:t>
      </w:r>
      <w:r>
        <w:rPr>
          <w:rStyle w:val="NormalTok"/>
        </w:rPr>
        <w:t xml:space="preserve"> </w:t>
      </w:r>
      <w:r>
        <w:rPr>
          <w:rStyle w:val="FunctionTok"/>
        </w:rPr>
        <w:t>c</w:t>
      </w:r>
      <w:r>
        <w:rPr>
          <w:rStyle w:val="NormalTok"/>
        </w:rPr>
        <w:t>(</w:t>
      </w:r>
      <w:r>
        <w:rPr>
          <w:rStyle w:val="StringTok"/>
        </w:rPr>
        <w:t>"Nepeta"</w:t>
      </w:r>
      <w:r>
        <w:rPr>
          <w:rStyle w:val="NormalTok"/>
        </w:rPr>
        <w:t xml:space="preserve">, </w:t>
      </w:r>
      <w:r>
        <w:rPr>
          <w:rStyle w:val="StringTok"/>
        </w:rPr>
        <w:t>"Barlia"</w:t>
      </w:r>
      <w:r>
        <w:rPr>
          <w:rStyle w:val="NormalTok"/>
        </w:rPr>
        <w:t>),</w:t>
      </w:r>
      <w:r>
        <w:rPr/>
        <w:br/>
      </w:r>
      <w:r>
        <w:rPr>
          <w:rStyle w:val="NormalTok"/>
        </w:rPr>
        <w:t xml:space="preserve">  </w:t>
      </w:r>
      <w:r>
        <w:rPr>
          <w:rStyle w:val="AttributeTok"/>
        </w:rPr>
        <w:t>species =</w:t>
      </w:r>
      <w:r>
        <w:rPr>
          <w:rStyle w:val="NormalTok"/>
        </w:rPr>
        <w:t xml:space="preserve"> </w:t>
      </w:r>
      <w:r>
        <w:rPr>
          <w:rStyle w:val="FunctionTok"/>
        </w:rPr>
        <w:t>c</w:t>
      </w:r>
      <w:r>
        <w:rPr>
          <w:rStyle w:val="NormalTok"/>
        </w:rPr>
        <w:t>(</w:t>
      </w:r>
      <w:r>
        <w:rPr>
          <w:rStyle w:val="StringTok"/>
        </w:rPr>
        <w:t>"beltrani"</w:t>
      </w:r>
      <w:r>
        <w:rPr>
          <w:rStyle w:val="NormalTok"/>
        </w:rPr>
        <w:t xml:space="preserve">, </w:t>
      </w:r>
      <w:r>
        <w:rPr>
          <w:rStyle w:val="StringTok"/>
        </w:rPr>
        <w:t>"robertianum"</w:t>
      </w:r>
      <w:r>
        <w:rPr>
          <w:rStyle w:val="NormalTok"/>
        </w:rPr>
        <w:t>)</w:t>
      </w:r>
      <w:r>
        <w:rPr/>
        <w:br/>
      </w:r>
      <w:r>
        <w:rPr>
          <w:rStyle w:val="NormalTok"/>
        </w:rPr>
        <w:t xml:space="preserve">  )</w:t>
      </w:r>
      <w:r>
        <w:rPr/>
        <w:br/>
        <w:br/>
      </w:r>
      <w:r>
        <w:rPr>
          <w:rStyle w:val="CommentTok"/>
        </w:rPr>
        <w:t># Descargamos la LP usando la función eidos_clean_checklist().</w:t>
      </w:r>
      <w:r>
        <w:rPr/>
        <w:br/>
      </w:r>
      <w:r>
        <w:rPr>
          <w:rStyle w:val="CommentTok"/>
        </w:rPr>
        <w:t># Así no hay que descargarla cada vez que empleemos la función</w:t>
      </w:r>
      <w:r>
        <w:rPr/>
        <w:br/>
      </w:r>
      <w:r>
        <w:rPr>
          <w:rStyle w:val="CommentTok"/>
        </w:rPr>
        <w:t># eidos_fuzzy_names()</w:t>
      </w:r>
      <w:r>
        <w:rPr/>
        <w:br/>
      </w:r>
      <w:r>
        <w:rPr>
          <w:rStyle w:val="NormalTok"/>
        </w:rPr>
        <w:t xml:space="preserve">checklist </w:t>
      </w:r>
      <w:r>
        <w:rPr>
          <w:rStyle w:val="OtherTok"/>
        </w:rPr>
        <w:t>&lt;-</w:t>
      </w:r>
      <w:r>
        <w:rPr>
          <w:rStyle w:val="NormalTok"/>
        </w:rPr>
        <w:t xml:space="preserve"> </w:t>
      </w:r>
      <w:r>
        <w:rPr>
          <w:rStyle w:val="FunctionTok"/>
        </w:rPr>
        <w:t>eidos_clean_checklist</w:t>
      </w:r>
      <w:r>
        <w:rPr>
          <w:rStyle w:val="NormalTok"/>
        </w:rPr>
        <w:t>()</w:t>
      </w:r>
    </w:p>
    <w:p>
      <w:pPr>
        <w:pStyle w:val="SourceCode"/>
        <w:rPr/>
      </w:pPr>
      <w:r>
        <w:rPr>
          <w:rStyle w:val="CommentTok"/>
        </w:rPr>
        <w:t># Si buscamos con el valor por defecto de *maxdist* solo obtenemos</w:t>
      </w:r>
      <w:r>
        <w:rPr/>
        <w:br/>
      </w:r>
      <w:r>
        <w:rPr>
          <w:rStyle w:val="CommentTok"/>
        </w:rPr>
        <w:t># un resultado:</w:t>
      </w:r>
      <w:r>
        <w:rPr/>
        <w:br/>
      </w:r>
      <w:r>
        <w:rPr>
          <w:rStyle w:val="NormalTok"/>
        </w:rPr>
        <w:t xml:space="preserve">fuzzy_dist2 </w:t>
      </w:r>
      <w:r>
        <w:rPr>
          <w:rStyle w:val="OtherTok"/>
        </w:rPr>
        <w:t>&lt;-</w:t>
      </w:r>
      <w:r>
        <w:rPr>
          <w:rStyle w:val="NormalTok"/>
        </w:rPr>
        <w:t xml:space="preserve"> </w:t>
      </w:r>
      <w:r>
        <w:rPr>
          <w:rStyle w:val="FunctionTok"/>
        </w:rPr>
        <w:t>eidos_fuzzy_names</w:t>
      </w:r>
      <w:r>
        <w:rPr>
          <w:rStyle w:val="NormalTok"/>
        </w:rPr>
        <w:t>(</w:t>
      </w:r>
      <w:r>
        <w:rPr>
          <w:rStyle w:val="AttributeTok"/>
        </w:rPr>
        <w:t>taxa_list =</w:t>
      </w:r>
      <w:r>
        <w:rPr>
          <w:rStyle w:val="NormalTok"/>
        </w:rPr>
        <w:t xml:space="preserve"> taxa_list,</w:t>
      </w:r>
      <w:r>
        <w:rPr/>
        <w:br/>
      </w:r>
      <w:r>
        <w:rPr>
          <w:rStyle w:val="NormalTok"/>
        </w:rPr>
        <w:t xml:space="preserve">                                 </w:t>
      </w:r>
      <w:r>
        <w:rPr>
          <w:rStyle w:val="AttributeTok"/>
        </w:rPr>
        <w:t>checklist =</w:t>
      </w:r>
      <w:r>
        <w:rPr>
          <w:rStyle w:val="NormalTok"/>
        </w:rPr>
        <w:t xml:space="preserve"> checklist,</w:t>
      </w:r>
      <w:r>
        <w:rPr/>
        <w:br/>
      </w:r>
      <w:r>
        <w:rPr>
          <w:rStyle w:val="NormalTok"/>
        </w:rPr>
        <w:t xml:space="preserve">                                 </w:t>
      </w:r>
      <w:r>
        <w:rPr>
          <w:rStyle w:val="AttributeTok"/>
        </w:rPr>
        <w:t>maxdist =</w:t>
      </w:r>
      <w:r>
        <w:rPr>
          <w:rStyle w:val="NormalTok"/>
        </w:rPr>
        <w:t xml:space="preserve"> </w:t>
      </w:r>
      <w:r>
        <w:rPr>
          <w:rStyle w:val="DecValTok"/>
        </w:rPr>
        <w:t>2</w:t>
      </w:r>
      <w:r>
        <w:rPr>
          <w:rStyle w:val="NormalTok"/>
        </w:rPr>
        <w:t xml:space="preserve">) </w:t>
      </w:r>
      <w:r>
        <w:rPr>
          <w:rStyle w:val="CommentTok"/>
        </w:rPr>
        <w:t># valor por defecto</w:t>
      </w:r>
      <w:r>
        <w:rPr/>
        <w:br/>
        <w:br/>
      </w:r>
      <w:r>
        <w:rPr>
          <w:rStyle w:val="NormalTok"/>
        </w:rPr>
        <w:t>knitr</w:t>
      </w:r>
      <w:r>
        <w:rPr>
          <w:rStyle w:val="SpecialCharTok"/>
        </w:rPr>
        <w:t>::</w:t>
      </w:r>
      <w:r>
        <w:rPr>
          <w:rStyle w:val="FunctionTok"/>
        </w:rPr>
        <w:t>kable</w:t>
      </w:r>
      <w:r>
        <w:rPr>
          <w:rStyle w:val="NormalTok"/>
        </w:rPr>
        <w:t>(fuzzy_dist2[</w:t>
      </w:r>
      <w:r>
        <w:rPr>
          <w:rStyle w:val="FunctionTok"/>
        </w:rPr>
        <w:t>c</w:t>
      </w:r>
      <w:r>
        <w:rPr>
          <w:rStyle w:val="NormalTok"/>
        </w:rPr>
        <w:t>(</w:t>
      </w:r>
      <w:r>
        <w:rPr>
          <w:rStyle w:val="StringTok"/>
        </w:rPr>
        <w:t>"supplied_taxon"</w:t>
      </w:r>
      <w:r>
        <w:rPr>
          <w:rStyle w:val="NormalTok"/>
        </w:rPr>
        <w:t xml:space="preserve">, </w:t>
      </w:r>
      <w:r>
        <w:rPr>
          <w:rStyle w:val="StringTok"/>
        </w:rPr>
        <w:t>"idtaxon"</w:t>
      </w:r>
      <w:r>
        <w:rPr>
          <w:rStyle w:val="NormalTok"/>
        </w:rPr>
        <w:t xml:space="preserve">, </w:t>
      </w:r>
      <w:r>
        <w:rPr/>
        <w:br/>
      </w:r>
      <w:r>
        <w:rPr>
          <w:rStyle w:val="NormalTok"/>
        </w:rPr>
        <w:t xml:space="preserve">               </w:t>
      </w:r>
      <w:r>
        <w:rPr>
          <w:rStyle w:val="StringTok"/>
        </w:rPr>
        <w:t>"name"</w:t>
      </w:r>
      <w:r>
        <w:rPr>
          <w:rStyle w:val="NormalTok"/>
        </w:rPr>
        <w:t xml:space="preserve">, </w:t>
      </w:r>
      <w:r>
        <w:rPr>
          <w:rStyle w:val="StringTok"/>
        </w:rPr>
        <w:t>"withoutautorship"</w:t>
      </w:r>
      <w:r>
        <w:rPr>
          <w:rStyle w:val="NormalTok"/>
        </w:rPr>
        <w:t>)])</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tcPr>
          <w:p>
            <w:pPr>
              <w:pStyle w:val="Compact"/>
              <w:spacing w:before="36" w:after="36"/>
              <w:jc w:val="left"/>
              <w:rPr>
                <w:sz w:val="18"/>
                <w:szCs w:val="18"/>
              </w:rPr>
            </w:pPr>
            <w:r>
              <w:rPr>
                <w:sz w:val="18"/>
                <w:szCs w:val="18"/>
              </w:rPr>
              <w:t>supplied_taxon</w:t>
            </w:r>
          </w:p>
        </w:tc>
        <w:tc>
          <w:tcPr>
            <w:tcW w:w="1980" w:type="dxa"/>
            <w:tcBorders/>
          </w:tcPr>
          <w:p>
            <w:pPr>
              <w:pStyle w:val="Compact"/>
              <w:spacing w:before="36" w:after="36"/>
              <w:jc w:val="left"/>
              <w:rPr>
                <w:sz w:val="18"/>
                <w:szCs w:val="18"/>
              </w:rPr>
            </w:pPr>
            <w:r>
              <w:rPr>
                <w:sz w:val="18"/>
                <w:szCs w:val="18"/>
              </w:rPr>
              <w:t>idtaxon</w:t>
            </w:r>
          </w:p>
        </w:tc>
        <w:tc>
          <w:tcPr>
            <w:tcW w:w="1980" w:type="dxa"/>
            <w:tcBorders/>
          </w:tcPr>
          <w:p>
            <w:pPr>
              <w:pStyle w:val="Compact"/>
              <w:spacing w:before="36" w:after="36"/>
              <w:jc w:val="left"/>
              <w:rPr>
                <w:sz w:val="18"/>
                <w:szCs w:val="18"/>
              </w:rPr>
            </w:pPr>
            <w:r>
              <w:rPr>
                <w:sz w:val="18"/>
                <w:szCs w:val="18"/>
              </w:rPr>
              <w:t>name</w:t>
            </w:r>
          </w:p>
        </w:tc>
        <w:tc>
          <w:tcPr>
            <w:tcW w:w="1979" w:type="dxa"/>
            <w:tcBorders/>
          </w:tcPr>
          <w:p>
            <w:pPr>
              <w:pStyle w:val="Compact"/>
              <w:spacing w:before="36" w:after="36"/>
              <w:jc w:val="left"/>
              <w:rPr>
                <w:sz w:val="18"/>
                <w:szCs w:val="18"/>
              </w:rPr>
            </w:pPr>
            <w:r>
              <w:rPr>
                <w:sz w:val="18"/>
                <w:szCs w:val="18"/>
              </w:rPr>
              <w:t>withoutautorship</w:t>
            </w:r>
          </w:p>
        </w:tc>
      </w:tr>
      <w:tr>
        <w:trPr/>
        <w:tc>
          <w:tcPr>
            <w:tcW w:w="1980" w:type="dxa"/>
            <w:tcBorders/>
          </w:tcPr>
          <w:p>
            <w:pPr>
              <w:pStyle w:val="Compact"/>
              <w:spacing w:before="36" w:after="36"/>
              <w:jc w:val="left"/>
              <w:rPr>
                <w:sz w:val="18"/>
                <w:szCs w:val="18"/>
              </w:rPr>
            </w:pPr>
            <w:r>
              <w:rPr>
                <w:sz w:val="18"/>
                <w:szCs w:val="18"/>
              </w:rPr>
              <w:t>Nepeta beltrani</w:t>
            </w:r>
          </w:p>
        </w:tc>
        <w:tc>
          <w:tcPr>
            <w:tcW w:w="1980" w:type="dxa"/>
            <w:tcBorders/>
          </w:tcPr>
          <w:p>
            <w:pPr>
              <w:pStyle w:val="Compact"/>
              <w:spacing w:before="36" w:after="36"/>
              <w:jc w:val="left"/>
              <w:rPr>
                <w:sz w:val="18"/>
                <w:szCs w:val="18"/>
              </w:rPr>
            </w:pPr>
            <w:r>
              <w:rPr>
                <w:sz w:val="18"/>
                <w:szCs w:val="18"/>
              </w:rPr>
              <w:t>6550</w:t>
            </w:r>
          </w:p>
        </w:tc>
        <w:tc>
          <w:tcPr>
            <w:tcW w:w="1980" w:type="dxa"/>
            <w:tcBorders/>
          </w:tcPr>
          <w:p>
            <w:pPr>
              <w:pStyle w:val="Compact"/>
              <w:spacing w:before="36" w:after="36"/>
              <w:jc w:val="left"/>
              <w:rPr>
                <w:sz w:val="18"/>
                <w:szCs w:val="18"/>
              </w:rPr>
            </w:pPr>
            <w:r>
              <w:rPr>
                <w:sz w:val="18"/>
                <w:szCs w:val="18"/>
              </w:rPr>
              <w:t>Nepeta beltranii Pau</w:t>
            </w:r>
          </w:p>
        </w:tc>
        <w:tc>
          <w:tcPr>
            <w:tcW w:w="1979" w:type="dxa"/>
            <w:tcBorders/>
          </w:tcPr>
          <w:p>
            <w:pPr>
              <w:pStyle w:val="Compact"/>
              <w:spacing w:before="36" w:after="36"/>
              <w:jc w:val="left"/>
              <w:rPr>
                <w:sz w:val="18"/>
                <w:szCs w:val="18"/>
              </w:rPr>
            </w:pPr>
            <w:r>
              <w:rPr>
                <w:sz w:val="18"/>
                <w:szCs w:val="18"/>
              </w:rPr>
              <w:t>Nepeta hispanica</w:t>
            </w:r>
          </w:p>
        </w:tc>
      </w:tr>
      <w:tr>
        <w:trPr/>
        <w:tc>
          <w:tcPr>
            <w:tcW w:w="1980" w:type="dxa"/>
            <w:tcBorders/>
          </w:tcPr>
          <w:p>
            <w:pPr>
              <w:pStyle w:val="Compact"/>
              <w:spacing w:before="36" w:after="36"/>
              <w:jc w:val="left"/>
              <w:rPr>
                <w:sz w:val="18"/>
                <w:szCs w:val="18"/>
              </w:rPr>
            </w:pPr>
            <w:r>
              <w:rPr>
                <w:sz w:val="18"/>
                <w:szCs w:val="18"/>
              </w:rPr>
              <w:t>Barlia robertianum</w:t>
            </w:r>
          </w:p>
        </w:tc>
        <w:tc>
          <w:tcPr>
            <w:tcW w:w="1980" w:type="dxa"/>
            <w:tcBorders/>
          </w:tcPr>
          <w:p>
            <w:pPr>
              <w:pStyle w:val="Compact"/>
              <w:spacing w:before="36" w:after="36"/>
              <w:jc w:val="left"/>
              <w:rPr>
                <w:sz w:val="18"/>
                <w:szCs w:val="18"/>
              </w:rPr>
            </w:pPr>
            <w:r>
              <w:rPr>
                <w:sz w:val="18"/>
                <w:szCs w:val="18"/>
              </w:rPr>
              <w:t>NA</w:t>
            </w:r>
          </w:p>
        </w:tc>
        <w:tc>
          <w:tcPr>
            <w:tcW w:w="1980" w:type="dxa"/>
            <w:tcBorders/>
          </w:tcPr>
          <w:p>
            <w:pPr>
              <w:pStyle w:val="Compact"/>
              <w:spacing w:before="36" w:after="36"/>
              <w:jc w:val="left"/>
              <w:rPr>
                <w:sz w:val="18"/>
                <w:szCs w:val="18"/>
              </w:rPr>
            </w:pPr>
            <w:r>
              <w:rPr>
                <w:sz w:val="18"/>
                <w:szCs w:val="18"/>
              </w:rPr>
              <w:t>NA</w:t>
            </w:r>
          </w:p>
        </w:tc>
        <w:tc>
          <w:tcPr>
            <w:tcW w:w="1979" w:type="dxa"/>
            <w:tcBorders/>
          </w:tcPr>
          <w:p>
            <w:pPr>
              <w:pStyle w:val="Compact"/>
              <w:spacing w:before="36" w:after="36"/>
              <w:jc w:val="left"/>
              <w:rPr>
                <w:sz w:val="18"/>
                <w:szCs w:val="18"/>
              </w:rPr>
            </w:pPr>
            <w:r>
              <w:rPr>
                <w:sz w:val="18"/>
                <w:szCs w:val="18"/>
              </w:rPr>
              <w:t>NA</w:t>
            </w:r>
          </w:p>
        </w:tc>
      </w:tr>
    </w:tbl>
    <w:p>
      <w:pPr>
        <w:pStyle w:val="SourceCode"/>
        <w:rPr/>
      </w:pPr>
      <w:r>
        <w:rPr>
          <w:rStyle w:val="CommentTok"/>
        </w:rPr>
        <w:t># Podemos relajar el criterio para obtener más resultados:</w:t>
      </w:r>
      <w:r>
        <w:rPr/>
        <w:br/>
      </w:r>
      <w:r>
        <w:rPr>
          <w:rStyle w:val="NormalTok"/>
        </w:rPr>
        <w:t xml:space="preserve">fuzzy_dist3 </w:t>
      </w:r>
      <w:r>
        <w:rPr>
          <w:rStyle w:val="OtherTok"/>
        </w:rPr>
        <w:t>&lt;-</w:t>
      </w:r>
      <w:r>
        <w:rPr>
          <w:rStyle w:val="NormalTok"/>
        </w:rPr>
        <w:t xml:space="preserve"> </w:t>
      </w:r>
      <w:r>
        <w:rPr>
          <w:rStyle w:val="FunctionTok"/>
        </w:rPr>
        <w:t>eidos_fuzzy_names</w:t>
      </w:r>
      <w:r>
        <w:rPr>
          <w:rStyle w:val="NormalTok"/>
        </w:rPr>
        <w:t>(</w:t>
      </w:r>
      <w:r>
        <w:rPr>
          <w:rStyle w:val="AttributeTok"/>
        </w:rPr>
        <w:t>taxa_list =</w:t>
      </w:r>
      <w:r>
        <w:rPr>
          <w:rStyle w:val="NormalTok"/>
        </w:rPr>
        <w:t xml:space="preserve"> taxa_list,</w:t>
      </w:r>
      <w:r>
        <w:rPr/>
        <w:br/>
      </w:r>
      <w:r>
        <w:rPr>
          <w:rStyle w:val="NormalTok"/>
        </w:rPr>
        <w:t xml:space="preserve">                                 </w:t>
      </w:r>
      <w:r>
        <w:rPr>
          <w:rStyle w:val="AttributeTok"/>
        </w:rPr>
        <w:t>checklist =</w:t>
      </w:r>
      <w:r>
        <w:rPr>
          <w:rStyle w:val="NormalTok"/>
        </w:rPr>
        <w:t xml:space="preserve"> checklist,</w:t>
      </w:r>
      <w:r>
        <w:rPr/>
        <w:br/>
      </w:r>
      <w:r>
        <w:rPr>
          <w:rStyle w:val="NormalTok"/>
        </w:rPr>
        <w:t xml:space="preserve">                                 </w:t>
      </w:r>
      <w:r>
        <w:rPr>
          <w:rStyle w:val="AttributeTok"/>
        </w:rPr>
        <w:t>maxdist =</w:t>
      </w:r>
      <w:r>
        <w:rPr>
          <w:rStyle w:val="NormalTok"/>
        </w:rPr>
        <w:t xml:space="preserve"> </w:t>
      </w:r>
      <w:r>
        <w:rPr>
          <w:rStyle w:val="DecValTok"/>
        </w:rPr>
        <w:t>3</w:t>
      </w:r>
      <w:r>
        <w:rPr>
          <w:rStyle w:val="NormalTok"/>
        </w:rPr>
        <w:t>)</w:t>
      </w:r>
      <w:r>
        <w:rPr/>
        <w:br/>
        <w:br/>
      </w:r>
      <w:r>
        <w:rPr>
          <w:rStyle w:val="NormalTok"/>
        </w:rPr>
        <w:t>knitr</w:t>
      </w:r>
      <w:r>
        <w:rPr>
          <w:rStyle w:val="SpecialCharTok"/>
        </w:rPr>
        <w:t>::</w:t>
      </w:r>
      <w:r>
        <w:rPr>
          <w:rStyle w:val="FunctionTok"/>
        </w:rPr>
        <w:t>kable</w:t>
      </w:r>
      <w:r>
        <w:rPr>
          <w:rStyle w:val="NormalTok"/>
        </w:rPr>
        <w:t>(fuzzy_dist3[</w:t>
      </w:r>
      <w:r>
        <w:rPr>
          <w:rStyle w:val="FunctionTok"/>
        </w:rPr>
        <w:t>c</w:t>
      </w:r>
      <w:r>
        <w:rPr>
          <w:rStyle w:val="NormalTok"/>
        </w:rPr>
        <w:t>(</w:t>
      </w:r>
      <w:r>
        <w:rPr>
          <w:rStyle w:val="StringTok"/>
        </w:rPr>
        <w:t>"supplied_taxon"</w:t>
      </w:r>
      <w:r>
        <w:rPr>
          <w:rStyle w:val="NormalTok"/>
        </w:rPr>
        <w:t xml:space="preserve">, </w:t>
      </w:r>
      <w:r>
        <w:rPr>
          <w:rStyle w:val="StringTok"/>
        </w:rPr>
        <w:t>"idtaxon"</w:t>
      </w:r>
      <w:r>
        <w:rPr>
          <w:rStyle w:val="NormalTok"/>
        </w:rPr>
        <w:t xml:space="preserve">, </w:t>
      </w:r>
      <w:r>
        <w:rPr/>
        <w:br/>
      </w:r>
      <w:r>
        <w:rPr>
          <w:rStyle w:val="NormalTok"/>
        </w:rPr>
        <w:t xml:space="preserve">               </w:t>
      </w:r>
      <w:r>
        <w:rPr>
          <w:rStyle w:val="StringTok"/>
        </w:rPr>
        <w:t>"name"</w:t>
      </w:r>
      <w:r>
        <w:rPr>
          <w:rStyle w:val="NormalTok"/>
        </w:rPr>
        <w:t xml:space="preserve">, </w:t>
      </w:r>
      <w:r>
        <w:rPr>
          <w:rStyle w:val="StringTok"/>
        </w:rPr>
        <w:t>"withoutautorship"</w:t>
      </w:r>
      <w:r>
        <w:rPr>
          <w:rStyle w:val="NormalTok"/>
        </w:rPr>
        <w:t>)])</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905"/>
        <w:gridCol w:w="802"/>
        <w:gridCol w:w="3611"/>
        <w:gridCol w:w="2707"/>
      </w:tblGrid>
      <w:tr>
        <w:trPr>
          <w:tblHeader w:val="true"/>
        </w:trPr>
        <w:tc>
          <w:tcPr>
            <w:tcW w:w="1905" w:type="dxa"/>
            <w:tcBorders/>
          </w:tcPr>
          <w:p>
            <w:pPr>
              <w:pStyle w:val="Compact"/>
              <w:spacing w:before="36" w:after="36"/>
              <w:jc w:val="left"/>
              <w:rPr>
                <w:sz w:val="18"/>
                <w:szCs w:val="18"/>
              </w:rPr>
            </w:pPr>
            <w:r>
              <w:rPr>
                <w:sz w:val="18"/>
                <w:szCs w:val="18"/>
              </w:rPr>
              <w:t>supplied_taxon</w:t>
            </w:r>
          </w:p>
        </w:tc>
        <w:tc>
          <w:tcPr>
            <w:tcW w:w="802" w:type="dxa"/>
            <w:tcBorders/>
          </w:tcPr>
          <w:p>
            <w:pPr>
              <w:pStyle w:val="Compact"/>
              <w:spacing w:before="36" w:after="36"/>
              <w:jc w:val="left"/>
              <w:rPr>
                <w:sz w:val="18"/>
                <w:szCs w:val="18"/>
              </w:rPr>
            </w:pPr>
            <w:r>
              <w:rPr>
                <w:sz w:val="18"/>
                <w:szCs w:val="18"/>
              </w:rPr>
              <w:t>idtaxon</w:t>
            </w:r>
          </w:p>
        </w:tc>
        <w:tc>
          <w:tcPr>
            <w:tcW w:w="3611" w:type="dxa"/>
            <w:tcBorders/>
          </w:tcPr>
          <w:p>
            <w:pPr>
              <w:pStyle w:val="Compact"/>
              <w:spacing w:before="36" w:after="36"/>
              <w:jc w:val="left"/>
              <w:rPr>
                <w:sz w:val="18"/>
                <w:szCs w:val="18"/>
              </w:rPr>
            </w:pPr>
            <w:r>
              <w:rPr>
                <w:sz w:val="18"/>
                <w:szCs w:val="18"/>
              </w:rPr>
              <w:t>name</w:t>
            </w:r>
          </w:p>
        </w:tc>
        <w:tc>
          <w:tcPr>
            <w:tcW w:w="2707" w:type="dxa"/>
            <w:tcBorders/>
          </w:tcPr>
          <w:p>
            <w:pPr>
              <w:pStyle w:val="Compact"/>
              <w:spacing w:before="36" w:after="36"/>
              <w:jc w:val="left"/>
              <w:rPr>
                <w:sz w:val="18"/>
                <w:szCs w:val="18"/>
              </w:rPr>
            </w:pPr>
            <w:r>
              <w:rPr>
                <w:sz w:val="18"/>
                <w:szCs w:val="18"/>
              </w:rPr>
              <w:t>withoutautorship</w:t>
            </w:r>
          </w:p>
        </w:tc>
      </w:tr>
      <w:tr>
        <w:trPr/>
        <w:tc>
          <w:tcPr>
            <w:tcW w:w="1905" w:type="dxa"/>
            <w:tcBorders/>
          </w:tcPr>
          <w:p>
            <w:pPr>
              <w:pStyle w:val="Compact"/>
              <w:spacing w:before="36" w:after="36"/>
              <w:jc w:val="left"/>
              <w:rPr>
                <w:sz w:val="18"/>
                <w:szCs w:val="18"/>
              </w:rPr>
            </w:pPr>
            <w:r>
              <w:rPr>
                <w:sz w:val="18"/>
                <w:szCs w:val="18"/>
              </w:rPr>
              <w:t>Nepeta beltrani</w:t>
            </w:r>
          </w:p>
        </w:tc>
        <w:tc>
          <w:tcPr>
            <w:tcW w:w="802" w:type="dxa"/>
            <w:tcBorders/>
          </w:tcPr>
          <w:p>
            <w:pPr>
              <w:pStyle w:val="Compact"/>
              <w:spacing w:before="36" w:after="36"/>
              <w:jc w:val="left"/>
              <w:rPr>
                <w:sz w:val="18"/>
                <w:szCs w:val="18"/>
              </w:rPr>
            </w:pPr>
            <w:r>
              <w:rPr>
                <w:sz w:val="18"/>
                <w:szCs w:val="18"/>
              </w:rPr>
              <w:t>6550</w:t>
            </w:r>
          </w:p>
        </w:tc>
        <w:tc>
          <w:tcPr>
            <w:tcW w:w="3611" w:type="dxa"/>
            <w:tcBorders/>
          </w:tcPr>
          <w:p>
            <w:pPr>
              <w:pStyle w:val="Compact"/>
              <w:spacing w:before="36" w:after="36"/>
              <w:jc w:val="left"/>
              <w:rPr>
                <w:sz w:val="18"/>
                <w:szCs w:val="18"/>
              </w:rPr>
            </w:pPr>
            <w:r>
              <w:rPr>
                <w:sz w:val="18"/>
                <w:szCs w:val="18"/>
              </w:rPr>
              <w:t>Nepeta beltranii Pau</w:t>
            </w:r>
          </w:p>
        </w:tc>
        <w:tc>
          <w:tcPr>
            <w:tcW w:w="2707" w:type="dxa"/>
            <w:tcBorders/>
          </w:tcPr>
          <w:p>
            <w:pPr>
              <w:pStyle w:val="Compact"/>
              <w:spacing w:before="36" w:after="36"/>
              <w:jc w:val="left"/>
              <w:rPr>
                <w:sz w:val="18"/>
                <w:szCs w:val="18"/>
              </w:rPr>
            </w:pPr>
            <w:r>
              <w:rPr>
                <w:sz w:val="18"/>
                <w:szCs w:val="18"/>
              </w:rPr>
              <w:t>Nepeta hispanica</w:t>
            </w:r>
          </w:p>
        </w:tc>
      </w:tr>
      <w:tr>
        <w:trPr/>
        <w:tc>
          <w:tcPr>
            <w:tcW w:w="1905" w:type="dxa"/>
            <w:tcBorders/>
          </w:tcPr>
          <w:p>
            <w:pPr>
              <w:pStyle w:val="Compact"/>
              <w:spacing w:before="36" w:after="36"/>
              <w:jc w:val="left"/>
              <w:rPr>
                <w:sz w:val="18"/>
                <w:szCs w:val="18"/>
              </w:rPr>
            </w:pPr>
            <w:r>
              <w:rPr>
                <w:sz w:val="18"/>
                <w:szCs w:val="18"/>
              </w:rPr>
              <w:t>Barlia robertianum</w:t>
            </w:r>
          </w:p>
        </w:tc>
        <w:tc>
          <w:tcPr>
            <w:tcW w:w="802" w:type="dxa"/>
            <w:tcBorders/>
          </w:tcPr>
          <w:p>
            <w:pPr>
              <w:pStyle w:val="Compact"/>
              <w:spacing w:before="36" w:after="36"/>
              <w:jc w:val="left"/>
              <w:rPr>
                <w:sz w:val="18"/>
                <w:szCs w:val="18"/>
              </w:rPr>
            </w:pPr>
            <w:r>
              <w:rPr>
                <w:sz w:val="18"/>
                <w:szCs w:val="18"/>
              </w:rPr>
              <w:t>32238</w:t>
            </w:r>
          </w:p>
        </w:tc>
        <w:tc>
          <w:tcPr>
            <w:tcW w:w="3611" w:type="dxa"/>
            <w:tcBorders/>
          </w:tcPr>
          <w:p>
            <w:pPr>
              <w:pStyle w:val="Compact"/>
              <w:spacing w:before="36" w:after="36"/>
              <w:jc w:val="left"/>
              <w:rPr>
                <w:sz w:val="18"/>
                <w:szCs w:val="18"/>
              </w:rPr>
            </w:pPr>
            <w:r>
              <w:rPr>
                <w:sz w:val="18"/>
                <w:szCs w:val="18"/>
              </w:rPr>
              <w:t>Barlia robertiana (Loisel.) Greuter</w:t>
            </w:r>
          </w:p>
        </w:tc>
        <w:tc>
          <w:tcPr>
            <w:tcW w:w="2707" w:type="dxa"/>
            <w:tcBorders/>
          </w:tcPr>
          <w:p>
            <w:pPr>
              <w:pStyle w:val="Compact"/>
              <w:spacing w:before="36" w:after="36"/>
              <w:jc w:val="left"/>
              <w:rPr>
                <w:sz w:val="18"/>
                <w:szCs w:val="18"/>
              </w:rPr>
            </w:pPr>
            <w:r>
              <w:rPr>
                <w:sz w:val="18"/>
                <w:szCs w:val="18"/>
              </w:rPr>
              <w:t>Himantoglossum robertianum</w:t>
            </w:r>
            <w:bookmarkStart w:id="6" w:name="X27dc5a1cf66ce176076fb4241346de93b13bd0b"/>
            <w:bookmarkEnd w:id="6"/>
          </w:p>
        </w:tc>
      </w:tr>
    </w:tbl>
    <w:p>
      <w:pPr>
        <w:pStyle w:val="Heading1"/>
        <w:rPr/>
      </w:pPr>
      <w:r>
        <w:rPr/>
        <w:t>Conclusiones</w:t>
      </w:r>
    </w:p>
    <w:p>
      <w:pPr>
        <w:pStyle w:val="Normal"/>
        <w:rPr/>
      </w:pPr>
      <w:r>
        <w:rPr/>
        <w:t xml:space="preserve">El paquete </w:t>
      </w:r>
      <w:r>
        <w:rPr>
          <w:b/>
          <w:bCs/>
        </w:rPr>
        <w:t>eidosapi</w:t>
      </w:r>
      <w:r>
        <w:rPr/>
        <w:t xml:space="preserve"> permite acceder de forma sencilla a las bases de datos taxonómicas del Inventario del Patrimonio Natural y de la Biodiversidad, facilitando la estandarización de nombres científicos, obtener información detallada sobre sobre su estado de conservación y permitiéndonos incorporar esta información a otros flujos de trabajo.</w:t>
      </w:r>
    </w:p>
    <w:p>
      <w:pPr>
        <w:pStyle w:val="Heading1"/>
        <w:rPr/>
      </w:pPr>
      <w:bookmarkStart w:id="7" w:name="contribución-de-los-autores"/>
      <w:r>
        <w:rPr/>
        <w:t>Contribución de los autores</w:t>
      </w:r>
    </w:p>
    <w:p>
      <w:pPr>
        <w:pStyle w:val="Normal"/>
        <w:rPr/>
      </w:pPr>
      <w:bookmarkStart w:id="8" w:name="contribución-de-los-autores"/>
      <w:r>
        <w:rPr/>
        <w:t>Conceptualization, Software, Writing – original draft, Writing – review &amp; editing: Héctor Miranda-Cebrián</w:t>
      </w:r>
      <w:bookmarkEnd w:id="8"/>
    </w:p>
    <w:p>
      <w:pPr>
        <w:pStyle w:val="Heading1"/>
        <w:rPr/>
      </w:pPr>
      <w:bookmarkStart w:id="9" w:name="agradecimientos"/>
      <w:r>
        <w:rPr/>
        <w:t>Agradecimientos</w:t>
      </w:r>
    </w:p>
    <w:p>
      <w:pPr>
        <w:pStyle w:val="Normal"/>
        <w:rPr/>
      </w:pPr>
      <w:r>
        <w:rPr/>
        <w:t xml:space="preserve">Querría mostrar mi agradecimiento a Julen Astigarraga e Ignacio Ramos Gutiérrez por sus comentarios y sugerencias para mejorar tanto esta nota como el paquete </w:t>
      </w:r>
      <w:r>
        <w:rPr>
          <w:b/>
          <w:bCs/>
        </w:rPr>
        <w:t>eidosapi</w:t>
      </w:r>
      <w:r>
        <w:rPr/>
        <w:t>. Esta nota se ha revisado siguiendo un proceso colaborativo y público disponible en https://github.com/ecoinfAEET/Notas_Ecosistemas/issues/61.</w:t>
      </w:r>
      <w:bookmarkEnd w:id="9"/>
    </w:p>
    <w:p>
      <w:pPr>
        <w:pStyle w:val="Heading1"/>
        <w:rPr/>
      </w:pPr>
      <w:bookmarkStart w:id="10" w:name="referencias"/>
      <w:r>
        <w:rPr/>
        <w:t>Referencias</w:t>
      </w:r>
    </w:p>
    <w:p>
      <w:pPr>
        <w:pStyle w:val="Bibliography"/>
        <w:rPr/>
      </w:pPr>
      <w:bookmarkStart w:id="11" w:name="refs"/>
      <w:bookmarkStart w:id="12" w:name="ref-taxize2020"/>
      <w:r>
        <w:rPr/>
        <w:t xml:space="preserve">Chamberlain, S., Szoecs, E., Foster, Z., Arendsee, Z., Boettiger, C., Ram, K., Bartomeus, I. et al. 2020. </w:t>
      </w:r>
      <w:hyperlink r:id="rId8">
        <w:r>
          <w:rPr>
            <w:rStyle w:val="Hyperlink"/>
            <w:i/>
            <w:iCs/>
          </w:rPr>
          <w:t>taxize: Taxonomic information from around the web</w:t>
        </w:r>
      </w:hyperlink>
      <w:r>
        <w:rPr/>
        <w:t>.</w:t>
      </w:r>
      <w:bookmarkEnd w:id="12"/>
    </w:p>
    <w:p>
      <w:pPr>
        <w:pStyle w:val="Bibliography"/>
        <w:rPr/>
      </w:pPr>
      <w:bookmarkStart w:id="13" w:name="ref-kindt2020"/>
      <w:r>
        <w:rPr/>
        <w:t xml:space="preserve">Kindt, R. 2020. WorldFlora: An R package for exact and fuzzy matching of plant names against the World Flora Online taxonomic backbone data. </w:t>
      </w:r>
      <w:r>
        <w:rPr>
          <w:i/>
          <w:iCs/>
        </w:rPr>
        <w:t>Applications in Plant Sciences</w:t>
      </w:r>
      <w:r>
        <w:rPr/>
        <w:t xml:space="preserve"> 8: e11388.</w:t>
      </w:r>
      <w:bookmarkEnd w:id="13"/>
    </w:p>
    <w:p>
      <w:pPr>
        <w:pStyle w:val="Bibliography"/>
        <w:rPr/>
      </w:pPr>
      <w:bookmarkStart w:id="14" w:name="ref-Ooms_2014"/>
      <w:r>
        <w:rPr/>
        <w:t xml:space="preserve">Ooms, J. 2014. </w:t>
      </w:r>
      <w:hyperlink r:id="rId9">
        <w:r>
          <w:rPr>
            <w:rStyle w:val="Hyperlink"/>
          </w:rPr>
          <w:t>The jsonlite Package: A Practical and Consistent Mapping Between JSON Data and R Objects</w:t>
        </w:r>
      </w:hyperlink>
      <w:r>
        <w:rPr/>
        <w:t xml:space="preserve">. </w:t>
      </w:r>
      <w:r>
        <w:rPr>
          <w:i/>
          <w:iCs/>
        </w:rPr>
        <w:t>arXiv:1403.2805 [stat.CO]</w:t>
      </w:r>
      <w:r>
        <w:rPr/>
        <w:t>.</w:t>
      </w:r>
      <w:bookmarkEnd w:id="14"/>
    </w:p>
    <w:p>
      <w:pPr>
        <w:pStyle w:val="Bibliography"/>
        <w:rPr/>
      </w:pPr>
      <w:bookmarkStart w:id="15" w:name="ref-Patterson2010"/>
      <w:r>
        <w:rPr/>
        <w:t xml:space="preserve">Patterson, D.J., Cooper, J., Kirk, P.M., Pyle, R.L., Remsen, D.P. 2010. </w:t>
      </w:r>
      <w:hyperlink r:id="rId10">
        <w:r>
          <w:rPr>
            <w:rStyle w:val="Hyperlink"/>
          </w:rPr>
          <w:t>Names are key to the big new biology</w:t>
        </w:r>
      </w:hyperlink>
      <w:r>
        <w:rPr/>
        <w:t xml:space="preserve">. </w:t>
      </w:r>
      <w:r>
        <w:rPr>
          <w:i/>
          <w:iCs/>
        </w:rPr>
        <w:t>Trends in Ecology &amp;amp; Evolution</w:t>
      </w:r>
      <w:r>
        <w:rPr/>
        <w:t xml:space="preserve"> 25: 686-691.</w:t>
      </w:r>
      <w:bookmarkEnd w:id="15"/>
    </w:p>
    <w:p>
      <w:pPr>
        <w:pStyle w:val="Bibliography"/>
        <w:rPr/>
      </w:pPr>
      <w:bookmarkStart w:id="16" w:name="ref-R_Core_Team_2025"/>
      <w:r>
        <w:rPr/>
        <w:t xml:space="preserve">R Core Team. 2025. </w:t>
      </w:r>
      <w:hyperlink r:id="rId11">
        <w:r>
          <w:rPr>
            <w:rStyle w:val="Hyperlink"/>
            <w:i/>
            <w:iCs/>
          </w:rPr>
          <w:t>R: A Language and Environment for Statistical Computing</w:t>
        </w:r>
      </w:hyperlink>
      <w:r>
        <w:rPr/>
        <w:t>. R Foundation for Statistical Computing, Vienna, Austria.</w:t>
      </w:r>
      <w:bookmarkEnd w:id="16"/>
    </w:p>
    <w:p>
      <w:pPr>
        <w:pStyle w:val="Bibliography"/>
        <w:spacing w:before="180" w:after="180"/>
        <w:ind w:hanging="567" w:left="567"/>
        <w:rPr/>
      </w:pPr>
      <w:bookmarkStart w:id="17" w:name="ref-Robinson_2025"/>
      <w:r>
        <w:rPr/>
        <w:t xml:space="preserve">Robinson, D. 2025. </w:t>
      </w:r>
      <w:hyperlink r:id="rId12">
        <w:r>
          <w:rPr>
            <w:rStyle w:val="Hyperlink"/>
            <w:i/>
            <w:iCs/>
          </w:rPr>
          <w:t>fuzzyjoin: Join Tables Together on Inexact Matching</w:t>
        </w:r>
      </w:hyperlink>
      <w:r>
        <w:rPr/>
        <w:t>.</w:t>
      </w:r>
      <w:bookmarkEnd w:id="10"/>
      <w:bookmarkEnd w:id="11"/>
      <w:bookmarkEnd w:id="17"/>
    </w:p>
    <w:sectPr>
      <w:footerReference w:type="even" r:id="rId13"/>
      <w:footerReference w:type="default" r:id="rId14"/>
      <w:footerReference w:type="first" r:id="rId15"/>
      <w:type w:val="nextPage"/>
      <w:pgSz w:w="11906" w:h="16838"/>
      <w:pgMar w:left="1440" w:right="1440" w:gutter="0" w:header="0" w:top="1440" w:footer="720" w:bottom="1440"/>
      <w:lnNumType w:countBy="1" w:restart="continuous" w:distance="283"/>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32562039"/>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32562039"/>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val="bestFit" w:percent="187"/>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0" w:defSemiHidden="0" w:defUnhideWhenUsed="0" w:defQFormat="0" w:count="267">
    <w:lsdException w:name="heading 6" w:qFormat="1"/>
    <w:lsdException w:name="footer" w:uiPriority="99"/>
  </w:latentStyles>
  <w:style w:type="paragraph" w:styleId="Normal" w:default="1">
    <w:name w:val="Normal"/>
    <w:qFormat/>
    <w:rsid w:val="006c57ed"/>
    <w:pPr>
      <w:widowControl/>
      <w:bidi w:val="0"/>
      <w:spacing w:lineRule="auto" w:line="360" w:before="180" w:after="180"/>
      <w:jc w:val="left"/>
    </w:pPr>
    <w:rPr>
      <w:rFonts w:ascii="Arial" w:hAnsi="Arial" w:eastAsia="Arial" w:cs="" w:asciiTheme="minorHAnsi" w:cstheme="minorBidi" w:eastAsiaTheme="minorHAnsi" w:hAnsiTheme="minorHAnsi"/>
      <w:color w:val="auto"/>
      <w:kern w:val="0"/>
      <w:sz w:val="20"/>
      <w:szCs w:val="24"/>
      <w:lang w:val="es-ES" w:eastAsia="en-US" w:bidi="ar-SA"/>
    </w:rPr>
  </w:style>
  <w:style w:type="paragraph" w:styleId="Heading1">
    <w:name w:val="Heading 1"/>
    <w:basedOn w:val="Normal"/>
    <w:next w:val="Normal"/>
    <w:uiPriority w:val="9"/>
    <w:qFormat/>
    <w:rsid w:val="006c57ed"/>
    <w:pPr>
      <w:keepNext w:val="true"/>
      <w:keepLines/>
      <w:spacing w:before="600" w:after="120"/>
      <w:outlineLvl w:val="0"/>
    </w:pPr>
    <w:rPr>
      <w:rFonts w:ascii="Arial" w:hAnsi="Arial" w:eastAsia="" w:cs="" w:asciiTheme="majorHAnsi" w:cstheme="majorBidi" w:eastAsiaTheme="majorEastAsia" w:hAnsiTheme="majorHAnsi"/>
      <w:b/>
      <w:bCs/>
      <w:sz w:val="22"/>
      <w:szCs w:val="32"/>
    </w:rPr>
  </w:style>
  <w:style w:type="paragraph" w:styleId="Heading2">
    <w:name w:val="Heading 2"/>
    <w:basedOn w:val="Normal"/>
    <w:next w:val="Normal"/>
    <w:uiPriority w:val="9"/>
    <w:unhideWhenUsed/>
    <w:qFormat/>
    <w:rsid w:val="006c57ed"/>
    <w:pPr>
      <w:keepNext w:val="true"/>
      <w:keepLines/>
      <w:spacing w:before="320" w:after="120"/>
      <w:outlineLvl w:val="1"/>
    </w:pPr>
    <w:rPr>
      <w:rFonts w:ascii="Arial" w:hAnsi="Arial" w:eastAsia="" w:cs="" w:asciiTheme="majorHAnsi" w:cstheme="majorBidi" w:eastAsiaTheme="majorEastAsia" w:hAnsiTheme="majorHAns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rPr/>
  </w:style>
  <w:style w:type="paragraph" w:styleId="Heading6">
    <w:name w:val="Heading 6"/>
    <w:basedOn w:val="Normal"/>
    <w:next w:val="Normal"/>
    <w:link w:val="Heading6Char"/>
    <w:qFormat/>
    <w:rsid w:val="00380ebe"/>
    <w:pPr>
      <w:keepNext w:val="true"/>
      <w:keepLines/>
      <w:pageBreakBefore/>
      <w:spacing w:before="200" w:after="0"/>
      <w:outlineLvl w:val="5"/>
    </w:pPr>
    <w:rPr>
      <w:rFonts w:ascii="Arial" w:hAnsi="Arial" w:eastAsia="" w:cs="" w:asciiTheme="majorHAnsi" w:cstheme="majorBidi" w:eastAsiaTheme="majorEastAsia" w:hAnsiTheme="majorHAnsi"/>
      <w:iC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themeColor="accent1" w:val="4F81BD"/>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ErrorTok" w:customStyle="1">
    <w:name w:val="ErrorTok"/>
    <w:basedOn w:val="VerbatimChar"/>
    <w:qFormat/>
    <w:rPr>
      <w:rFonts w:ascii="Consolas" w:hAnsi="Consolas"/>
      <w:b/>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Hyperlink">
    <w:name w:val="Hyperlink"/>
    <w:basedOn w:val="DefaultParagraphFont"/>
    <w:rsid w:val="00a6715f"/>
    <w:rPr>
      <w:color w:themeColor="hyperlink" w:val="0000FF"/>
      <w:u w:val="single"/>
    </w:rPr>
  </w:style>
  <w:style w:type="character" w:styleId="Heading6Char" w:customStyle="1">
    <w:name w:val="Heading 6 Char"/>
    <w:basedOn w:val="DefaultParagraphFont"/>
    <w:qFormat/>
    <w:rsid w:val="00380ebe"/>
    <w:rPr>
      <w:rFonts w:ascii="Arial" w:hAnsi="Arial" w:eastAsia="" w:cs="" w:asciiTheme="majorHAnsi" w:cstheme="majorBidi" w:eastAsiaTheme="majorEastAsia" w:hAnsiTheme="majorHAnsi"/>
      <w:iCs/>
      <w:sz w:val="20"/>
    </w:rPr>
  </w:style>
  <w:style w:type="character" w:styleId="BodyTextChar1" w:customStyle="1">
    <w:name w:val="Body Text Char1"/>
    <w:basedOn w:val="DefaultParagraphFont"/>
    <w:qFormat/>
    <w:rsid w:val="00c102c2"/>
    <w:rPr>
      <w:sz w:val="20"/>
    </w:rPr>
  </w:style>
  <w:style w:type="character" w:styleId="LineNumber">
    <w:name w:val="Line Number"/>
    <w:basedOn w:val="DefaultParagraphFont"/>
    <w:rsid w:val="005620f8"/>
    <w:rPr/>
  </w:style>
  <w:style w:type="character" w:styleId="HeaderChar" w:customStyle="1">
    <w:name w:val="Header Char"/>
    <w:basedOn w:val="DefaultParagraphFont"/>
    <w:qFormat/>
    <w:rsid w:val="000b51c4"/>
    <w:rPr>
      <w:sz w:val="20"/>
    </w:rPr>
  </w:style>
  <w:style w:type="character" w:styleId="FooterChar" w:customStyle="1">
    <w:name w:val="Footer Char"/>
    <w:basedOn w:val="DefaultParagraphFont"/>
    <w:uiPriority w:val="99"/>
    <w:qFormat/>
    <w:rsid w:val="000b51c4"/>
    <w:rPr>
      <w:sz w:val="20"/>
    </w:rPr>
  </w:style>
  <w:style w:type="character" w:styleId="ConstantTok" w:customStyle="1">
    <w:name w:val="ConstantTok"/>
    <w:basedOn w:val="VerbatimChar"/>
    <w:qFormat/>
    <w:rPr>
      <w:color w:val="8F5902"/>
      <w:shd w:fill="F1F3F5" w:val="clear"/>
    </w:rPr>
  </w:style>
  <w:style w:type="character" w:styleId="SpecialCharTok" w:customStyle="1">
    <w:name w:val="SpecialCharTok"/>
    <w:basedOn w:val="VerbatimChar"/>
    <w:qFormat/>
    <w:rPr>
      <w:color w:val="5E5E5E"/>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b/>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1"/>
    <w:pPr>
      <w:spacing w:before="180" w:after="12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ec1535"/>
    <w:pPr>
      <w:keepNext w:val="true"/>
      <w:keepLines/>
      <w:spacing w:before="480" w:after="720"/>
    </w:pPr>
    <w:rPr>
      <w:rFonts w:ascii="Arial" w:hAnsi="Arial" w:eastAsia="" w:cs="" w:asciiTheme="majorHAnsi" w:cstheme="majorBidi" w:eastAsiaTheme="majorEastAsia" w:hAnsiTheme="majorHAnsi"/>
      <w:b/>
      <w:bCs/>
      <w:sz w:val="28"/>
      <w:szCs w:val="36"/>
    </w:rPr>
  </w:style>
  <w:style w:type="paragraph" w:styleId="Subtitle">
    <w:name w:val="Subtitle"/>
    <w:basedOn w:val="Title"/>
    <w:next w:val="Normal"/>
    <w:qFormat/>
    <w:pPr>
      <w:spacing w:before="240" w:after="720"/>
    </w:pPr>
    <w:rPr>
      <w:sz w:val="30"/>
      <w:szCs w:val="30"/>
    </w:rPr>
  </w:style>
  <w:style w:type="paragraph" w:styleId="Author" w:customStyle="1">
    <w:name w:val="Author"/>
    <w:next w:val="Normal"/>
    <w:qFormat/>
    <w:rsid w:val="005f1dfc"/>
    <w:pPr>
      <w:keepNext w:val="true"/>
      <w:keepLines/>
      <w:widowControl/>
      <w:bidi w:val="0"/>
      <w:spacing w:before="120" w:after="320"/>
      <w:jc w:val="left"/>
    </w:pPr>
    <w:rPr>
      <w:rFonts w:ascii="Arial" w:hAnsi="Arial" w:eastAsia="Arial" w:cs="" w:asciiTheme="minorHAnsi" w:cstheme="minorBidi" w:eastAsiaTheme="minorHAnsi" w:hAnsiTheme="minorHAnsi"/>
      <w:color w:val="auto"/>
      <w:kern w:val="0"/>
      <w:sz w:val="20"/>
      <w:szCs w:val="24"/>
      <w:lang w:val="es-ES" w:eastAsia="en-US" w:bidi="ar-SA"/>
    </w:rPr>
  </w:style>
  <w:style w:type="paragraph" w:styleId="Date">
    <w:name w:val="Date"/>
    <w:next w:val="Normal"/>
    <w:qFormat/>
    <w:pPr>
      <w:keepNext w:val="true"/>
      <w:keepLines/>
      <w:widowControl/>
      <w:bidi w:val="0"/>
      <w:spacing w:before="0" w:after="200"/>
      <w:jc w:val="center"/>
    </w:pPr>
    <w:rPr>
      <w:rFonts w:ascii="Arial" w:hAnsi="Arial" w:eastAsia="Arial" w:cs="" w:asciiTheme="minorHAnsi" w:cstheme="minorBidi" w:eastAsiaTheme="minorHAnsi" w:hAnsiTheme="minorHAnsi"/>
      <w:color w:val="auto"/>
      <w:kern w:val="0"/>
      <w:sz w:val="24"/>
      <w:szCs w:val="24"/>
      <w:lang w:val="es-ES" w:eastAsia="en-US" w:bidi="ar-SA"/>
    </w:rPr>
  </w:style>
  <w:style w:type="paragraph" w:styleId="Abstract" w:customStyle="1">
    <w:name w:val="Abstract"/>
    <w:basedOn w:val="Normal"/>
    <w:next w:val="Normal"/>
    <w:qFormat/>
    <w:pPr>
      <w:keepNext w:val="true"/>
      <w:keepLines/>
      <w:spacing w:before="300" w:after="300"/>
    </w:pPr>
    <w:rPr>
      <w:szCs w:val="20"/>
    </w:rPr>
  </w:style>
  <w:style w:type="paragraph" w:styleId="Bibliography">
    <w:name w:val="Bibliography"/>
    <w:basedOn w:val="Normal"/>
    <w:qFormat/>
    <w:rsid w:val="006c57ed"/>
    <w:pPr>
      <w:ind w:hanging="567" w:left="567"/>
    </w:pPr>
    <w:rPr/>
  </w:style>
  <w:style w:type="paragraph" w:styleId="BlockQuote" w:customStyle="1">
    <w:name w:val="Block Quote"/>
    <w:basedOn w:val="Normal"/>
    <w:next w:val="Normal"/>
    <w:uiPriority w:val="9"/>
    <w:unhideWhenUsed/>
    <w:qFormat/>
    <w:rsid w:val="00975fd8"/>
    <w:pPr>
      <w:spacing w:lineRule="auto" w:line="240" w:before="100" w:after="100"/>
    </w:pPr>
    <w:rPr>
      <w:rFonts w:ascii="Arial" w:hAnsi="Arial" w:eastAsia="" w:cs="" w:asciiTheme="majorHAnsi" w:cstheme="majorBidi" w:eastAsiaTheme="majorEastAsia" w:hAnsiTheme="majorHAnsi"/>
      <w:bCs/>
      <w:szCs w:val="20"/>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Cabeceraypie">
    <w:name w:val="Cabecera y pie"/>
    <w:basedOn w:val="Normal"/>
    <w:qFormat/>
    <w:pPr/>
    <w:rPr/>
  </w:style>
  <w:style w:type="paragraph" w:styleId="Header">
    <w:name w:val="Header"/>
    <w:basedOn w:val="Normal"/>
    <w:link w:val="HeaderChar"/>
    <w:rsid w:val="000b51c4"/>
    <w:pPr>
      <w:suppressLineNumbers/>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rsid w:val="000b51c4"/>
    <w:pPr>
      <w:suppressLineNumbers/>
      <w:tabs>
        <w:tab w:val="clear" w:pos="720"/>
        <w:tab w:val="center" w:pos="4513" w:leader="none"/>
        <w:tab w:val="right" w:pos="9026" w:leader="none"/>
      </w:tabs>
      <w:spacing w:lineRule="auto" w:line="240" w:before="0" w:after="0"/>
    </w:pPr>
    <w:rPr/>
  </w:style>
  <w:style w:type="numbering" w:styleId="Ningunalista" w:default="1">
    <w:name w:val="Ninguna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ctorm94@gmail.com" TargetMode="External"/><Relationship Id="rId3" Type="http://schemas.openxmlformats.org/officeDocument/2006/relationships/hyperlink" Target="http://www.floraiberica.es/" TargetMode="External"/><Relationship Id="rId4" Type="http://schemas.openxmlformats.org/officeDocument/2006/relationships/hyperlink" Target="https://www.fauna-iberica.mncn.csic.es/" TargetMode="External"/><Relationship Id="rId5" Type="http://schemas.openxmlformats.org/officeDocument/2006/relationships/hyperlink" Target="https://iepnb.gob.es/" TargetMode="External"/><Relationship Id="rId6" Type="http://schemas.openxmlformats.org/officeDocument/2006/relationships/hyperlink" Target="https://iepnb.gob.es/recursos/servicios-interoperables/apirest-eidos" TargetMode="External"/><Relationship Id="rId7" Type="http://schemas.openxmlformats.org/officeDocument/2006/relationships/image" Target="media/image1.png"/><Relationship Id="rId8" Type="http://schemas.openxmlformats.org/officeDocument/2006/relationships/hyperlink" Target="https://github.com/ropensci/taxize" TargetMode="External"/><Relationship Id="rId9" Type="http://schemas.openxmlformats.org/officeDocument/2006/relationships/hyperlink" Target="https://arxiv.org/abs/1403.2805" TargetMode="External"/><Relationship Id="rId10" Type="http://schemas.openxmlformats.org/officeDocument/2006/relationships/hyperlink" Target="https://doi.org/10.1016/j.tree.2010.09.004" TargetMode="External"/><Relationship Id="rId11" Type="http://schemas.openxmlformats.org/officeDocument/2006/relationships/hyperlink" Target="https://www.R-project.org/" TargetMode="External"/><Relationship Id="rId12" Type="http://schemas.openxmlformats.org/officeDocument/2006/relationships/hyperlink" Target="https://doi.org/10.32614/CRAN.package.fuzzyjoin"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pitchFamily="0" charset="1"/>
        <a:ea typeface=""/>
        <a:cs typeface=""/>
      </a:majorFont>
      <a:minorFont>
        <a:latin typeface="Arial"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LibreOffice/24.2.7.2$Linux_X86_64 LibreOffice_project/420$Build-2</Application>
  <AppVersion>15.0000</AppVersion>
  <Pages>7</Pages>
  <Words>1631</Words>
  <Characters>9942</Characters>
  <CharactersWithSpaces>11768</CharactersWithSpaces>
  <Paragraphs>102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2025-10-07T14:21:08Z</dcterms:created>
  <dc:creator>Héctor Miranda-Cebrián*1</dc:creator>
  <dc:description/>
  <dc:language>es</dc:language>
  <cp:lastModifiedBy/>
  <dcterms:modified xsi:type="dcterms:W3CDTF">2025-10-07T16:23:57Z</dcterms:modified>
  <cp:revision>3</cp:revision>
  <dc:subject/>
  <dc:title>eidosapi, un paquete de R para interactuar con la base de datos de biodiversidad EIDOS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ecosistemas.csl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Tabla de contenidos</vt:lpwstr>
  </property>
</Properties>
</file>