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is negatively associated with pLDDT (median residue-level Spearman -0.04, 95% CI -0.06 to -0.03; 67.5% of 154 proteins negative; p &lt; 0.001), robust to multivariable adjustment, panel resampling and four definitions of total disagreement; low-confidence residues are ~1.5-1.8x more likely to be maximally disagreeable. Two external controls resist an input-quality-only account: experimental-structure rescoring of ESM-IF1 (64 assays) runs opposite to it, and SSEmb, a distinct joint sequence-structure architecture, reproduces the trend (architecture-level independence). Curated disorder marks a related but distinct regime (total, not pair-specific, disagreement elevated; single-sequence models lose advantage). Regimes, discrete summaries of a continuous geometry, generalize: frozen-centroid protein-level cross-validation reproduces training phenotypes (median Spearman 0.94; 185/185 positive), and regime phenotypes replicate across independent assays (0.94; 37 pairs, 28 held out).</w:t>
      </w:r>
    </w:p>
    <w:p>
      <w:pPr>
        <w:pStyle w:val="BodyText"/>
      </w:pPr>
      <w:r>
        <w:t xml:space="preserve">Disagreement is only weakly associated with prediction error in DMS (assay-level Spearman 0.032) and reverses in clinical classification: matched to the clinical two-family configuration, it stays positive in DMS (+0.027, CI +0.019 to +0.038) but flips negative in the clinic (rho -0.47). A gated ensemble does not beat uniform averaging in DMS (paired delta +0.000, CI -0.008 to +0.008), yet the DMS-trained two-family gate transfers to clinical ranking without clinical-label retraining (AUROC +0.021, CI +0.011 to +0.026, strict non-overlap), though the best single model stays superior. Disagreement among protein AI models is thus an AI-generated map of where evolutionarily informed and structure-conditioned predictions diverge; its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large-scale protein foundation models and specialized variant-effect predictors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 Two recent lines make this question concrete from different angles: Livesey and Marsh [23] show that where individual predictors disagree with multiplexed experiments, the discordance is systematic rather than noise; Prabakaran and Bromberg [24] quantify uncertainty internal to a single protein language model’s embeddings. Neither asks how disagreement between model families with different input modalities is structured across protein space.</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the final analysis specification (plan and GO/NO-GO thresholds) frozen in the versioned project configuration before the reported runs,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with DMS fitness rising from 0.04 at pLDDT&lt;50 to 0.47 at &gt;=90; structure scores are oriented to deleteriousness, so signed correlations are negative),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[25],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[26]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For the structure family we instead recompute the residue-level association for every non-empty subset of the three models (independent percentile-space recalculation; Table S11): all seven configurations are negative with bootstrap CIs excluding zero – single models ESM-IF1 -0.062, MIF -0.064, ProteinMPNN -0.050; pairs -0.048 to -0.060; full trio -0.048. The trend therefore does not depend on any single structure model, although three models remain the binding limitation.</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[27,28];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 As a control, within-protein permutation enrichment of high-disagreement residues against UniProt functional features (active site, binding site, domain, transmembrane, modified residue, disulfide, region, motif) yields nothing that survives Benjamini-Hochberg control (all q &gt;= 0.60; Table S9) – the disagreement structure is positional-confidence-driven, not a proxy for functional-site annotation.</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[29] K = 6, with the K = 2-8 BIC sweep in Table S9;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Because the two consensus regimes are phenotypically the easiest, we also re-ran the held-out concordance after removing them: across the remaining four regimes the median protein-level Spearman is 0.80 (interquartile 0.80-1.00; 87% of proteins positive), and every regime’s held-out Y median reproduces its training profile within 0.03 (Table S12) – the regime-phenotype structure is not carried by the consensus corners alone.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+0.008 to +0.022; evolution +0.002 to +0.005; structure -0.002 to -0.007).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model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Homology was assessed by standard protein search: every clinical target was queried against the DMS target sequences with HMMER3 phmmer [30] (E &lt;= 1e-3), and proteins whose best hit reached &gt;= 70% pairwise identity over aligned residues AND &gt;= 70% query coverage were excluded (35 proteins; same-protein overlaps are necessarily captured by this criterion). This left 60,384 variants across 2,490 scored proteins. On this strict set the rank-averaged uniform ensemble AUROC was 0.968 (all 2,490 proteins), and restricting to the 788 proteins with complete two-family gate inputs, AUROC was 0.867 (uniform), 0.899 (BioGate) and 0.974 (best single model, reselected within the strict set) (Table 3). Standard-homology sensitivity (Table S4): tightening to 50% or 30% identity (coverage &gt;= 70%) excludes 46 and 82 proteins, with the uniform median unchanged at 0.968.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marks clinical difficulty with the OPPOSITE sign. Misclassified clinical variants have LOWER two-family disagreement than correctly classified ones (median 0.662 vs 0.693; protein-level Spearman between disagreement and ensemble error -0.47, 95% CI -0.50 to -0.44; AUROC of low disagreement for misclassification 0.678, 95% CI 0.663 to 0.692; figure 6(b)), while pathogenic vs benign variants show no disagreement difference (0.693 vs 0.690). This sign flip cannot be attributed to the missing structure family: the clinical files contain only sequence and evolution scores, so we recomputed the DMS association under the identical two-family configuration (|U_seq - U_evo| disagreement versus two-family ensemble error) – DMS keeps a positive median assay-level association (0.027, 95% CI 0.019 to 0.038; AUROC for above-median error 0.515), against clinical’s negative one (Table S10). Models that AGREE yet err are the clinical blind spot: consensus does not imply correctness there. The disagreement-error association is therefore domain-specific in both existence and direction: a weak positive signal in well-posed fitness landscapes that inverts under heterogeneous disease annotation, and it survives matching the model configuration across domains.</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under the per-fold-median aggregation of Table S5; 0.573 under the pooled aggregation of Table 4; context-feature ablation in figure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Meta-predictors and integrative scores (MetaSVM/MetaLR [31], ClinPred [32], BayesDel (distributed within the PERCH framework) [33], REVEL [34], CADD [35]) use globally trained mappings or integrative scoring functions that combine multiple annotations or component predictors for variant-level prediction; their goal is predictive integration, whereas ours is to characterize context-dependent inter-model divergence – they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[36], Bayesian approximations, active learning [37]; embedding-level uncertainty for single protein language models [24]).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used as an instrument to derive landscape-level observables – assay-level correlations, residue-level associations, variant-level regimes and protein-level clinical transfer – with the primary structural-confidence analysis performed at residue level. We additionally surface a methodological caveat absent from benchmark practice: the disagreement scale (u vs z) changes the disagreement-error association ~4.5x, so future disagreement analyses must pre-specify their scale.</w:t>
      </w:r>
    </w:p>
    <w:p>
      <w:pPr>
        <w:numPr>
          <w:ilvl w:val="0"/>
          <w:numId w:val="1001"/>
        </w:numPr>
      </w:pPr>
      <w:r>
        <w:t xml:space="preserve">Predictor-versus-experiment discordance. Livesey and Marsh [23] dissect where and why individual variant effect predictors disagree with multiplexed assays of human proteins, showing that discordance is systematic rather than random – shaped by burial, bulky hydrophobic positions, disorder and assay mechanism. That question is predictor-versus-experiment; ours is disagreement internal to the computational model ecosystem itself (model family versus model family), asked across 217 assays and 40 predictors and tied to a structural-confidence axis the predictors share but do not report. The two framings are complementary and neither subsumes the other.</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[27,28,38].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[39,25]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complementary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REVERSAL of the disagreement-error association in clinical data is as informative as the weak DMS association. DMS assays measure one well-defined phenotype under controlled conditions [22]; clinical labels aggregate heterogeneous phenotypes, cell types and genetic backgrounds curated across submitters [40]. The boundary condition we document – a weak disagreement-error association in fitness landscapes that inverts in clinical annotation, even when the two-family model configuration is matched – prevents mechanical misapplication of disagreement-based confidence in clinical genomics: agreement of sequence and evolutionary models does not certify a variant call as reliable.</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model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[41,42]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[43], Tranception and TranceptEVE [44],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r>
                <m:rPr>
                  <m:sty m:val="p"/>
                </m:rPr>
                <m:t>,</m:t>
              </m:r>
              <m:r>
                <m:t>i</m:t>
              </m:r>
            </m:sub>
          </m:sSub>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r>
                <m:rPr>
                  <m:sty m:val="p"/>
                </m:rPr>
                <m:t>,</m:t>
              </m:r>
              <m:r>
                <m:t>i</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sSub>
            <m:e>
              <m:r>
                <m:t>z</m:t>
              </m:r>
            </m:e>
            <m:sub>
              <m:r>
                <m:t>i</m:t>
              </m:r>
              <m:r>
                <m:t>m</m:t>
              </m:r>
            </m:sub>
          </m:sSub>
          <m:r>
            <m:rPr>
              <m:sty m:val="p"/>
            </m:rPr>
            <m:t>|</m:t>
          </m:r>
        </m:oMath>
      </m:oMathPara>
    </w:p>
    <w:p>
      <w:pPr>
        <w:pStyle w:val="FirstParagraph"/>
      </w:pPr>
      <m:oMathPara>
        <m:oMathParaPr>
          <m:jc m:val="center"/>
        </m:oMathParaPr>
        <m:oMath>
          <m:sSub>
            <m:e>
              <m:r>
                <m:t>D</m:t>
              </m:r>
            </m:e>
            <m:sub>
              <m:r>
                <m:rPr>
                  <m:sty m:val="p"/>
                </m:rPr>
                <m:t>u</m:t>
              </m:r>
              <m:r>
                <m:rPr>
                  <m:sty m:val="p"/>
                </m:rPr>
                <m:t>,</m:t>
              </m:r>
              <m:r>
                <m:t>i</m:t>
              </m:r>
            </m:sub>
          </m:sSub>
          <m:r>
            <m:rPr>
              <m:sty m:val="p"/>
            </m:rPr>
            <m:t>=</m:t>
          </m:r>
          <m:sSub>
            <m:e>
              <m:r>
                <m:rPr>
                  <m:sty m:val="p"/>
                </m:rPr>
                <m:t>S</m:t>
              </m:r>
              <m:r>
                <m:rPr>
                  <m:sty m:val="p"/>
                </m:rPr>
                <m:t>D</m:t>
              </m:r>
            </m:e>
            <m:sub>
              <m:r>
                <m:t>m</m:t>
              </m:r>
            </m:sub>
          </m:sSub>
          <m:r>
            <m:t>​</m:t>
          </m:r>
          <m:d>
            <m:dPr>
              <m:begChr m:val="("/>
              <m:sepChr m:val=""/>
              <m:endChr m:val=")"/>
              <m:grow/>
            </m:dPr>
            <m:e>
              <m:sSub>
                <m:e>
                  <m:r>
                    <m:t>u</m:t>
                  </m:r>
                </m:e>
                <m:sub>
                  <m:r>
                    <m:t>i</m:t>
                  </m:r>
                  <m:r>
                    <m:t>m</m:t>
                  </m:r>
                </m:sub>
              </m:sSub>
            </m:e>
          </m:d>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r>
                <m:rPr>
                  <m:sty m:val="p"/>
                </m:rPr>
                <m:t>,</m:t>
              </m:r>
              <m:r>
                <m:t>i</m:t>
              </m:r>
            </m:sub>
          </m:sSub>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[45]. GO/NO-GO thresholds were fixed in the versioned project configuration (config.yaml) before the reported runs; the specification is versioned in the public repository rather than a registry. Within-protein permutation enrichment with Benjamini-Hochberg FDR control [46]. Regime clustering: Gaussian mixtures K = 2-8 by BIC [29]; K-robustness reported (K = 4-7, adjusted Rand index); experimental replication evaluated as regime-level Y correlation across independent assays of the same protein. BioGate: torch [47] CPU MLP gating, 5-fold GroupKFold by UniProt; baselines best family expert (the train-selected mechanistic-family centroid, here the evolution centroid), uniform ensemble, Ridge stacking, XGBoost [48] (scores-only / context-only / scores+context ablations); paired protein-level bootstrap (2,000) [45]. Clinical transfer: a separate two-expert gate (sequence + evolution, the only families in the clinical score files) was trained exclusively on DMS, frozen, and applied once to the clinical benchmark; no clinical labels were used to train, tune or select the transfer gate – the best-single baseline is a post hoc descriptive oracle comparator, re-selected within each evaluation set, that never enters the gating procedure; per-protein AUROC; strict non-overlap set defined by STANDARD homology search: every clinical target was queried against the 217 DMS target sequences with HMMER3 phmmer [30] (E &lt;= 1e-3); a protein was excluded when the best hit reached &gt;= 70% pairwise identity over aligned residues AND &gt;= 70% query coverage (35 proteins excluded; retained-protein count and median uniform-ensemble AUROC in Table S4). Sensitivity at 50% and 30% identity excludes 46 and 82 proteins; the earlier 8-mer/difflib heuristic excluded the same 35 proteins at the 70% level (34 shared). Software: Python ecosystem (numpy [49], scipy [50], pandas [51], scikit-learn [52], statsmodels [53], matplotlib [54]), Biopython [55], PyTorch [47], pydssp [56] (DSSP [57]); transformer architectures follow Vaswani et al. [58].</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[41]. pydssp secondary structure (H/E/C; DSSP algorithm [57]) and CA contact density (8/10 A) from the same PDBs; burial tertiles within protein. UniProt features (active site, binding site, domain, transmembrane, modified residue, disulfide, region, motif) and curated disordered regions fetched via the UniProt REST API [59]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[40].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01-44), machine-readable source tables for every figure, and figure files are openly available at https://github.com/hmjpan/protein-ai-disagreement (versioned, timestamped); a frozen archival snapshot with a citable Zenodo DOI accompanies the submission.</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14 968-978.e3</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Proc. Adv. Neural Inf. Process. Syst. (NeurIPS 2025) Main Conference</w:t>
      </w:r>
    </w:p>
    <w:p>
      <w:pPr>
        <w:pStyle w:val="BodyText"/>
      </w:pPr>
      <w:r>
        <w:t xml:space="preserve">[18] Chen B et al 2023 xTrimoPGLM: unified 100B-scale pre-trained transformer for deciphering the language of proteins bioRxiv 2023.07.05.547496</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Livesey B J and Marsh J A 2026 Why variant effect predictors and multiplexed assays agree and disagree Nat. Commun. 17 77211</w:t>
      </w:r>
    </w:p>
    <w:p>
      <w:pPr>
        <w:pStyle w:val="BodyText"/>
      </w:pPr>
      <w:r>
        <w:t xml:space="preserve">[24] Prabakaran R and Bromberg Y 2026 Quantifying uncertainty in protein representations across models and tasks Nat. Methods 23 796-804</w:t>
      </w:r>
    </w:p>
    <w:p>
      <w:pPr>
        <w:pStyle w:val="BodyText"/>
      </w:pPr>
      <w:r>
        <w:t xml:space="preserve">[25] Sharma A and Gitter A 2025 Exploring zero-shot structure-based protein fitness prediction Proc. ICLR Workshop on Generative and Experimental Perspectives for Biomolecular Design; experimental-structure scores at Zenodo 10.5281/zenodo.13819824</w:t>
      </w:r>
    </w:p>
    <w:p>
      <w:pPr>
        <w:pStyle w:val="BodyText"/>
      </w:pPr>
      <w:r>
        <w:t xml:space="preserve">[26] Blaabjerg L M, Jonsson N, Boomsma W, Stein A and Lindorff-Larsen K 2024 SSEmb: a joint embedding of protein sequence and structure enables robust variant effect predictions Nat. Commun. 15 9646</w:t>
      </w:r>
    </w:p>
    <w:p>
      <w:pPr>
        <w:pStyle w:val="BodyText"/>
      </w:pPr>
      <w:r>
        <w:t xml:space="preserve">[27] Piovesan D, Monzon A M and Tosatto S C E 2022 Intrinsic protein disorder and conditional folding in AlphaFoldDB Protein Sci. 31 e4466</w:t>
      </w:r>
    </w:p>
    <w:p>
      <w:pPr>
        <w:pStyle w:val="BodyText"/>
      </w:pPr>
      <w:r>
        <w:t xml:space="preserve">[28] Ruff K M and Pappu R V 2021 AlphaFold and implications for intrinsically disordered proteins J. Mol. Biol. 433 167208</w:t>
      </w:r>
    </w:p>
    <w:p>
      <w:pPr>
        <w:pStyle w:val="BodyText"/>
      </w:pPr>
      <w:r>
        <w:t xml:space="preserve">[29] Schwarz G 1978 Estimating the dimension of a model Ann. Stat. 6 461-4</w:t>
      </w:r>
    </w:p>
    <w:p>
      <w:pPr>
        <w:pStyle w:val="BodyText"/>
      </w:pPr>
      <w:r>
        <w:t xml:space="preserve">[30] Eddy S R 2011 Accelerated profile HMM searches PLoS Comput. Biol. 7 e1002196</w:t>
      </w:r>
    </w:p>
    <w:p>
      <w:pPr>
        <w:pStyle w:val="BodyText"/>
      </w:pPr>
      <w:r>
        <w:t xml:space="preserve">[31] Dong C, Wei P, Jian X, Gibbs R, Boerwinkle E, Wang K and Liu X 2015 Comparison and integration of deleteriousness prediction methods for nonsynonymous SNVs in whole exome sequencing studies PLoS ONE 10 e0134848</w:t>
      </w:r>
    </w:p>
    <w:p>
      <w:pPr>
        <w:pStyle w:val="BodyText"/>
      </w:pPr>
      <w:r>
        <w:t xml:space="preserve">[32] Alirezaie N, Kernohan K D, Hartley T, Majewski J and Richer T D 2018 ClinPred: prediction tool to identify disease-relevant nonsynonymous single-nucleotide variants Am. J. Hum. Genet. 103 474-83</w:t>
      </w:r>
    </w:p>
    <w:p>
      <w:pPr>
        <w:pStyle w:val="BodyText"/>
      </w:pPr>
      <w:r>
        <w:t xml:space="preserve">[33] Feng B-J 2017 PERCH: a unified framework for disease gene prioritization Hum. Mutat. 38 243-51</w:t>
      </w:r>
    </w:p>
    <w:p>
      <w:pPr>
        <w:pStyle w:val="BodyText"/>
      </w:pPr>
      <w:r>
        <w:t xml:space="preserve">[34] Ioannidis N M et al 2016 REVEL: an ensemble method for predicting the pathogenicity of rare missense variants Am. J. Hum. Genet. 99 877-85</w:t>
      </w:r>
    </w:p>
    <w:p>
      <w:pPr>
        <w:pStyle w:val="BodyText"/>
      </w:pPr>
      <w:r>
        <w:t xml:space="preserve">[35] Rentzsch P, Witten D, Cooper G M, Shendure J and Kircher M 2019 CADD: predicting the deleteriousness of variants throughout the human genome Nucleic Acids Res. 47 D886-94</w:t>
      </w:r>
    </w:p>
    <w:p>
      <w:pPr>
        <w:pStyle w:val="BodyText"/>
      </w:pPr>
      <w:r>
        <w:t xml:space="preserve">[36] Lakshminarayanan B, Pritzel A and Blundell C 2017 Simple and scalable predictive uncertainty estimation using deep ensembles Adv. Neural Inf. Process. Syst. 30</w:t>
      </w:r>
    </w:p>
    <w:p>
      <w:pPr>
        <w:pStyle w:val="BodyText"/>
      </w:pPr>
      <w:r>
        <w:t xml:space="preserve">[37] Beluch W H, Genewein T, Nurnberger A and Kohler J M 2018 The power of ensembles for active learning in image classification Proc. IEEE/CVF Conf. on Computer Vision and Pattern Recognition (CVPR)</w:t>
      </w:r>
    </w:p>
    <w:p>
      <w:pPr>
        <w:pStyle w:val="BodyText"/>
      </w:pPr>
      <w:r>
        <w:t xml:space="preserve">[38] Necci M, Piovesan D, CAID Predictors, DisProt Curators and Tosatto S C E 2021 Critical assessment of protein intrinsic disorder prediction Nat. Methods 18 472-81</w:t>
      </w:r>
    </w:p>
    <w:p>
      <w:pPr>
        <w:pStyle w:val="BodyText"/>
      </w:pPr>
      <w:r>
        <w:t xml:space="preserve">[39] Gitter laboratory benchmarking structure-based models on ProteinGym https://github.com/gitter-lab/benchmarking-structure-based-models (accessed 2026)</w:t>
      </w:r>
    </w:p>
    <w:p>
      <w:pPr>
        <w:pStyle w:val="BodyText"/>
      </w:pPr>
      <w:r>
        <w:t xml:space="preserve">[40] Landrum M J et al 2018 ClinVar: improving access to variant interpretations and supporting evidence Nucleic Acids Res. 46 D1062-7</w:t>
      </w:r>
    </w:p>
    <w:p>
      <w:pPr>
        <w:pStyle w:val="BodyText"/>
      </w:pPr>
      <w:r>
        <w:t xml:space="preserve">[41] Jumper J et al 2021 Highly accurate protein structure prediction with AlphaFold Nature 596 583-9</w:t>
      </w:r>
    </w:p>
    <w:p>
      <w:pPr>
        <w:pStyle w:val="BodyText"/>
      </w:pPr>
      <w:r>
        <w:t xml:space="preserve">[42] Varadi M et al 2022 AlphaFold Protein Structure Database: massively expanding the structural coverage of protein-sequence space with high-accuracy models Nucleic Acids Res. 50 D439-44</w:t>
      </w:r>
    </w:p>
    <w:p>
      <w:pPr>
        <w:pStyle w:val="BodyText"/>
      </w:pPr>
      <w:r>
        <w:t xml:space="preserve">[43] Rao R, Liu J, Verkuil R, Meier J, Canny J, Abbeel P, Sercu T and Rives A 2021 MSA Transformer Proc. 38th Int. Conf. on Machine Learning (ICML)</w:t>
      </w:r>
    </w:p>
    <w:p>
      <w:pPr>
        <w:pStyle w:val="BodyText"/>
      </w:pPr>
      <w:r>
        <w:t xml:space="preserve">[44]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[45] Efron B and Tibshirani R J 1993 An Introduction to the Bootstrap (New York: Chapman and Hall)</w:t>
      </w:r>
    </w:p>
    <w:p>
      <w:pPr>
        <w:pStyle w:val="BodyText"/>
      </w:pPr>
      <w:r>
        <w:t xml:space="preserve">[46] Benjamini Y and Hochberg Y 1995 Controlling the false discovery rate: a practical and powerful approach to multiple testing J. R. Stat. Soc. B 57 289-300</w:t>
      </w:r>
    </w:p>
    <w:p>
      <w:pPr>
        <w:pStyle w:val="BodyText"/>
      </w:pPr>
      <w:r>
        <w:t xml:space="preserve">[47] Paszke A et al 2019 PyTorch: an imperative style, high-performance deep learning library Adv. Neural Inf. Process. Syst. 32</w:t>
      </w:r>
    </w:p>
    <w:p>
      <w:pPr>
        <w:pStyle w:val="BodyText"/>
      </w:pPr>
      <w:r>
        <w:t xml:space="preserve">[48] Chen T and Guestrin C 2016 XGBoost: a scalable tree boosting system Proc. 22nd ACM SIGKDD Int. Conf. on Knowledge Discovery and Data Mining</w:t>
      </w:r>
    </w:p>
    <w:p>
      <w:pPr>
        <w:pStyle w:val="BodyText"/>
      </w:pPr>
      <w:r>
        <w:t xml:space="preserve">[49] Harris C R et al 2020 Array programming with NumPy Nature 585 357-62</w:t>
      </w:r>
    </w:p>
    <w:p>
      <w:pPr>
        <w:pStyle w:val="BodyText"/>
      </w:pPr>
      <w:r>
        <w:t xml:space="preserve">[50] Virtanen P et al 2020 SciPy 1.0: fundamental algorithms for scientific computing in Python Nat. Methods 17 261-72</w:t>
      </w:r>
    </w:p>
    <w:p>
      <w:pPr>
        <w:pStyle w:val="BodyText"/>
      </w:pPr>
      <w:r>
        <w:t xml:space="preserve">[51] McKinney W 2010 Data structures for statistical computing in Python Proc. 9th Python in Science Conf.</w:t>
      </w:r>
    </w:p>
    <w:p>
      <w:pPr>
        <w:pStyle w:val="BodyText"/>
      </w:pPr>
      <w:r>
        <w:t xml:space="preserve">[52] Pedregosa F et al 2011 Scikit-learn: machine learning in Python J. Mach. Learn. Res. 12 2825-30</w:t>
      </w:r>
    </w:p>
    <w:p>
      <w:pPr>
        <w:pStyle w:val="BodyText"/>
      </w:pPr>
      <w:r>
        <w:t xml:space="preserve">[53] Seabold S and Perktold J 2010 statsmodels: econometric and statistical modeling with python Proc. 9th Python in Science Conf.</w:t>
      </w:r>
    </w:p>
    <w:p>
      <w:pPr>
        <w:pStyle w:val="BodyText"/>
      </w:pPr>
      <w:r>
        <w:t xml:space="preserve">[54] Hunter J D 2007 Matplotlib: a 2D graphics environment Comput. Sci. Eng. 9 90-5</w:t>
      </w:r>
    </w:p>
    <w:p>
      <w:pPr>
        <w:pStyle w:val="BodyText"/>
      </w:pPr>
      <w:r>
        <w:t xml:space="preserve">[55] Cock P J A et al 2009 Biopython: freely available Python tools for computational molecular biology and bioinformatics Bioinformatics 25 1422-3</w:t>
      </w:r>
    </w:p>
    <w:p>
      <w:pPr>
        <w:pStyle w:val="BodyText"/>
      </w:pPr>
      <w:r>
        <w:t xml:space="preserve">[56] Minami S 2024 PyDSSP: a simplified implementation of the DSSP algorithm for PyTorch and NumPy https://github.com/ShintaroMinami/PyDSSP (accessed 2026)</w:t>
      </w:r>
    </w:p>
    <w:p>
      <w:pPr>
        <w:pStyle w:val="BodyText"/>
      </w:pPr>
      <w:r>
        <w:t xml:space="preserve">[57] Kabsch W and Sander C 1983 Dictionary of protein secondary structure: pattern recognition of hydrogen-bonded and geometrical features Biopolymers 22 2577-637</w:t>
      </w:r>
    </w:p>
    <w:p>
      <w:pPr>
        <w:pStyle w:val="BodyText"/>
      </w:pPr>
      <w:r>
        <w:t xml:space="preserve">[58] Vaswani A et al 2017 Attention is all you need Adv. Neural Inf. Process. Syst. 30</w:t>
      </w:r>
    </w:p>
    <w:p>
      <w:pPr>
        <w:pStyle w:val="BodyText"/>
      </w:pPr>
      <w:r>
        <w:t xml:space="preserve">[59]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7497748"/>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7497748"/>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5334000" cy="9568732"/>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5334000" cy="9568732"/>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5334000" cy="9070119"/>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5334000" cy="9070119"/>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5334000" cy="9443499"/>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5334000" cy="9443499"/>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7694874"/>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7694874"/>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(uniform, BioGate, best single model)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S1-S12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+0.008 to +0.022; evo +0.002 to +0.005;</w:t>
      </w:r>
      <w:r>
        <w:t xml:space="preserve"> </w:t>
      </w:r>
      <w:r>
        <w:t xml:space="preserve">struct -0.002 to -0.007).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(rank-averaged ensemble): 0.968; standard-homology</w:t>
      </w:r>
      <w:r>
        <w:t xml:space="preserve"> </w:t>
      </w:r>
      <w:r>
        <w:t xml:space="preserve">threshold sensitivity in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 model</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rank-averaged)</w:t>
            </w:r>
          </w:p>
        </w:tc>
        <w:tc>
          <w:tcPr/>
          <w:p>
            <w:pPr>
              <w:pStyle w:val="Compact"/>
            </w:pPr>
            <w:r>
              <w:t xml:space="preserve">2,490</w:t>
            </w:r>
          </w:p>
        </w:tc>
        <w:tc>
          <w:tcPr/>
          <w:p>
            <w:pPr>
              <w:pStyle w:val="Compact"/>
            </w:pPr>
            <w:r>
              <w:t xml:space="preserve">0.968</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family expert</w:t>
      </w:r>
      <w:r>
        <w:t xml:space="preserve"> </w:t>
      </w:r>
      <w:r>
        <w:t xml:space="preserve">(evolution centroid) 0.473; linear</w:t>
      </w:r>
      <w:r>
        <w:t xml:space="preserve"> </w:t>
      </w:r>
      <w:r>
        <w:t xml:space="preserve">stacking 0.528; uniform ensemble 0.542; BioGate 0.551; XGBoost</w:t>
      </w:r>
      <w:r>
        <w:t xml:space="preserve"> </w:t>
      </w:r>
      <w:r>
        <w:t xml:space="preserve">(scores + context) 0.573 (pooled out-of-fold protein median, the</w:t>
      </w:r>
      <w:r>
        <w:t xml:space="preserve"> </w:t>
      </w:r>
      <w:r>
        <w:t xml:space="preserve">aggregation used in this table; the per-fold-median aggregation of</w:t>
      </w:r>
      <w:r>
        <w:t xml:space="preserve"> </w:t>
      </w:r>
      <w:r>
        <w:t xml:space="preserve">Table S5 yields 0.551 for the same configuration). The median</w:t>
      </w:r>
      <w:r>
        <w:t xml:space="preserve"> </w:t>
      </w:r>
      <w:r>
        <w:t xml:space="preserve">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association as median |Spearman rho| with the</w:t>
      </w:r>
      <w:r>
        <w:t xml:space="preserve"> </w:t>
      </w:r>
      <w:r>
        <w:t xml:space="preserve">DMS fitness score (released structure scores are oriented toward</w:t>
      </w:r>
      <w:r>
        <w:t xml:space="preserve"> </w:t>
      </w:r>
      <w:r>
        <w:t xml:space="preserve">deleteriousness, so signed correlations are negative; absolute values</w:t>
      </w:r>
      <w:r>
        <w:t xml:space="preserve"> </w:t>
      </w:r>
      <w:r>
        <w:t xml:space="preserve">are used here and in panel (ii) of Table S2): ESM-IF1 0.04 at &lt;50 vs</w:t>
      </w:r>
      <w:r>
        <w:t xml:space="preserve"> </w:t>
      </w:r>
      <w:r>
        <w:t xml:space="preserve">0.47 at &gt;=90; MIF 0.03 vs 0.43; ProteinMPNN 0.01 vs 0.22;</w:t>
      </w:r>
      <w:r>
        <w:t xml:space="preserve"> </w:t>
      </w:r>
      <w:r>
        <w:t xml:space="preserve">(iii) structure-model score coverage = 100% at all pLDDT levels;</w:t>
      </w:r>
      <w:r>
        <w:t xml:space="preserve"> </w:t>
      </w:r>
      <w:r>
        <w:t xml:space="preserve">(iv) protein-fixed-effects regression of residue-level</w:t>
      </w:r>
      <w:r>
        <w:t xml:space="preserve"> </w:t>
      </w:r>
      <w:r>
        <w:t xml:space="preserve">evo-vs-structure disagreement on pLDDT, adjusted for disorder, contact</w:t>
      </w:r>
      <w:r>
        <w:t xml:space="preserve"> </w:t>
      </w:r>
      <w:r>
        <w:t xml:space="preserve">density, secondary structure, normalized position, MSA depth and</w:t>
      </w:r>
      <w:r>
        <w:t xml:space="preserve"> </w:t>
      </w:r>
      <w:r>
        <w:t xml:space="preserve">structure coverage, with protein-clustered standard errors.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(pair</w:t>
      </w:r>
      <w:r>
        <w:t xml:space="preserve"> </w:t>
      </w:r>
      <w:r>
        <w:t xml:space="preserve">count 30 at every K, using assay pairs with &gt;= 20 shared positions; the</w:t>
      </w:r>
      <w:r>
        <w:t xml:space="preserve"> </w:t>
      </w:r>
      <w:r>
        <w:t xml:space="preserve">phenotype-replication criterion of Section 2.4 – &gt;= 3 regimes with</w:t>
      </w:r>
      <w:r>
        <w:t xml:space="preserve"> </w:t>
      </w:r>
      <w:r>
        <w:t xml:space="preserve">&gt;= 20 variants – yields 37 pairs); the structure-dissenting pattern emerges at K &gt;= 6; ARI vs K = 6: 0.35 (K = 4),</w:t>
      </w:r>
      <w:r>
        <w:t xml:space="preserve"> </w:t>
      </w:r>
      <w:r>
        <w:t xml:space="preserve">0.58 (K = 5), 0.46 (K = 7).</w:t>
      </w:r>
    </w:p>
    <w:p>
      <w:pPr>
        <w:pStyle w:val="BodyText"/>
      </w:pPr>
      <w:r>
        <w:rPr>
          <w:b/>
          <w:bCs/>
        </w:rPr>
        <w:t xml:space="preserve">Table S4. Standard-homology sensitivity.</w:t>
      </w:r>
      <w:r>
        <w:t xml:space="preserve"> </w:t>
      </w:r>
      <w:r>
        <w:t xml:space="preserve">Clinical-versus-DMS best hits</w:t>
      </w:r>
      <w:r>
        <w:t xml:space="preserve"> </w:t>
      </w:r>
      <w:r>
        <w:t xml:space="preserve">by HMMER3 phmmer (E &lt;= 1e-3), excluding proteins with &gt;= 70% pairwise</w:t>
      </w:r>
      <w:r>
        <w:t xml:space="preserve"> </w:t>
      </w:r>
      <w:r>
        <w:t xml:space="preserve">identity over aligned residues AND &gt;= 70% query coverage (primary set:</w:t>
      </w:r>
      <w:r>
        <w:t xml:space="preserve"> </w:t>
      </w:r>
      <w:r>
        <w:t xml:space="preserve">35 excluded, 2,490 proteins retained, median rank-averaged uniform-ensemble</w:t>
      </w:r>
      <w:r>
        <w:t xml:space="preserve"> </w:t>
      </w:r>
      <w:r>
        <w:t xml:space="preserve">AUROC 0.968); 50% and 30% identity thresholds exclude 46 and 82 proteins</w:t>
      </w:r>
      <w:r>
        <w:t xml:space="preserve"> </w:t>
      </w:r>
      <w:r>
        <w:t xml:space="preserve">with medians 0.968 and 0.968. The 8-mer heuristic used in the previous</w:t>
      </w:r>
      <w:r>
        <w:t xml:space="preserve"> </w:t>
      </w:r>
      <w:r>
        <w:t xml:space="preserve">draft shares 34 of the 35 exclusions at the 70% level.</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p>
      <w:pPr>
        <w:pStyle w:val="BodyText"/>
      </w:pPr>
      <w:r>
        <w:rPr>
          <w:b/>
          <w:bCs/>
        </w:rPr>
        <w:t xml:space="preserve">Table S9. Regime-selection audit and functional-feature controls.</w:t>
      </w:r>
      <w:r>
        <w:t xml:space="preserve"> </w:t>
      </w:r>
      <w:r>
        <w:t xml:space="preserve">(a) Gaussian-mixture BIC sweep over K = 2-8 (family-centroid input,</w:t>
      </w:r>
      <w:r>
        <w:t xml:space="preserve"> </w:t>
      </w:r>
      <w:r>
        <w:t xml:space="preserve">covariance_type = full, n_init = 3, identical settings to the regime fit);</w:t>
      </w:r>
      <w:r>
        <w:t xml:space="preserve"> </w:t>
      </w:r>
      <w:r>
        <w:t xml:space="preserve">K = 6 minimizes BIC. (b) Within-protein permutation enrichment of</w:t>
      </w:r>
      <w:r>
        <w:t xml:space="preserve"> </w:t>
      </w:r>
      <w:r>
        <w:t xml:space="preserve">high-disagreement residues for UniProt functional features with</w:t>
      </w:r>
      <w:r>
        <w:t xml:space="preserve"> </w:t>
      </w:r>
      <w:r>
        <w:t xml:space="preserve">Benjamini-Hochberg FDR control across features; no feature survives</w:t>
      </w:r>
      <w:r>
        <w:t xml:space="preserve"> </w:t>
      </w:r>
      <w:r>
        <w:t xml:space="preserve">(minimum q = 0.60).</w:t>
      </w:r>
    </w:p>
    <w:p>
      <w:pPr>
        <w:pStyle w:val="BodyText"/>
      </w:pPr>
      <w:r>
        <w:rPr>
          <w:b/>
          <w:bCs/>
        </w:rPr>
        <w:t xml:space="preserve">Table S10. Matched two-family control (DMS versus clinical).</w:t>
      </w:r>
      <w:r>
        <w:t xml:space="preserve"> </w:t>
      </w:r>
      <w:r>
        <w:t xml:space="preserve">Assay- or</w:t>
      </w:r>
      <w:r>
        <w:t xml:space="preserve"> </w:t>
      </w:r>
      <w:r>
        <w:t xml:space="preserve">protein-level Spearman between |U_seq - U_evo| disagreement and the</w:t>
      </w:r>
      <w:r>
        <w:t xml:space="preserve"> </w:t>
      </w:r>
      <w:r>
        <w:t xml:space="preserve">two-family ensemble error, identical definition in both datasets, with</w:t>
      </w:r>
      <w:r>
        <w:t xml:space="preserve"> </w:t>
      </w:r>
      <w:r>
        <w:t xml:space="preserve">10,000-resample bootstrap CIs; scale-matched AUROC comparison (high-error</w:t>
      </w:r>
      <w:r>
        <w:t xml:space="preserve"> </w:t>
      </w:r>
      <w:r>
        <w:t xml:space="preserve">versus misclassification).</w:t>
      </w:r>
    </w:p>
    <w:p>
      <w:pPr>
        <w:pStyle w:val="BodyText"/>
      </w:pPr>
      <w:r>
        <w:rPr>
          <w:b/>
          <w:bCs/>
        </w:rPr>
        <w:t xml:space="preserve">Table S11. Structure-subset sensitivity of the residue-level pLDDT</w:t>
      </w:r>
      <w:r>
        <w:rPr>
          <w:b/>
          <w:bCs/>
        </w:rPr>
        <w:t xml:space="preserve"> </w:t>
      </w:r>
      <w:r>
        <w:rPr>
          <w:b/>
          <w:bCs/>
        </w:rPr>
        <w:t xml:space="preserve">association.</w:t>
      </w:r>
      <w:r>
        <w:t xml:space="preserve"> </w:t>
      </w:r>
      <w:r>
        <w:t xml:space="preserve">All seven non-empty subsets of the three released structure</w:t>
      </w:r>
      <w:r>
        <w:t xml:space="preserve"> </w:t>
      </w:r>
      <w:r>
        <w:t xml:space="preserve">models; percentile-space independent recomputation (median within-protein</w:t>
      </w:r>
      <w:r>
        <w:t xml:space="preserve"> </w:t>
      </w:r>
      <w:r>
        <w:t xml:space="preserve">Spearman; protein bootstrap CI; sign-test p).</w:t>
      </w:r>
    </w:p>
    <w:p>
      <w:pPr>
        <w:pStyle w:val="BodyText"/>
      </w:pPr>
      <w:r>
        <w:rPr>
          <w:b/>
          <w:bCs/>
        </w:rPr>
        <w:t xml:space="preserve">Table S12. Held-out regime generalization excluding the consensus</w:t>
      </w:r>
      <w:r>
        <w:rPr>
          <w:b/>
          <w:bCs/>
        </w:rPr>
        <w:t xml:space="preserve"> </w:t>
      </w:r>
      <w:r>
        <w:rPr>
          <w:b/>
          <w:bCs/>
        </w:rPr>
        <w:t xml:space="preserve">regimes.</w:t>
      </w:r>
      <w:r>
        <w:t xml:space="preserve"> </w:t>
      </w:r>
      <w:r>
        <w:t xml:space="preserve">Concordance over the four non-consensus regimes (median;</w:t>
      </w:r>
      <w:r>
        <w:t xml:space="preserve"> </w:t>
      </w:r>
      <w:r>
        <w:t xml:space="preserve">interquartile) and per-regime training versus held-out experimental-Y</w:t>
      </w:r>
      <w:r>
        <w:t xml:space="preserve"> </w:t>
      </w:r>
      <w:r>
        <w:t xml:space="preserve">medians.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2026-09-13T08:07:23Z</dcterms:created>
  <dcterms:modified xsi:type="dcterms:W3CDTF">2026-09-13T08:07:23Z</dcterms:modified>
</cp:coreProperties>
</file>

<file path=docProps/custom.xml><?xml version="1.0" encoding="utf-8"?>
<Properties xmlns="http://schemas.openxmlformats.org/officeDocument/2006/custom-properties" xmlns:vt="http://schemas.openxmlformats.org/officeDocument/2006/docPropsVTypes"/>
</file>