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Supplementary Information</w:t>
      </w:r>
    </w:p>
    <w:p>
      <w:pPr>
        <w:jc w:val="center"/>
      </w:pPr>
      <w:r>
        <w:rPr>
          <w:b/>
          <w:sz w:val="26"/>
        </w:rPr>
        <w:t>Protein AI Model Disagreement Tracks AlphaFold Structural Confidence</w:t>
      </w:r>
    </w:p>
    <w:p>
      <w:r>
        <w:rPr>
          <w:b w:val="0"/>
        </w:rPr>
      </w:r>
    </w:p>
    <w:p>
      <w:r>
        <w:rPr>
          <w:b/>
        </w:rPr>
        <w:t>Contents</w:t>
      </w:r>
    </w:p>
    <w:p>
      <w:r>
        <w:rPr>
          <w:b w:val="0"/>
          <w:sz w:val="21"/>
        </w:rPr>
        <w:t>Supplementary Figures S1-S11 (one figure per page).</w:t>
      </w:r>
    </w:p>
    <w:p>
      <w:r>
        <w:rPr>
          <w:b w:val="0"/>
          <w:sz w:val="21"/>
        </w:rPr>
        <w:t>Supplementary Tables S1-S9.</w:t>
      </w:r>
    </w:p>
    <w:p>
      <w:r>
        <w:rPr>
          <w:b w:val="0"/>
        </w:rPr>
      </w:r>
    </w:p>
    <w:p>
      <w:r>
        <w:rPr>
          <w:b w:val="0"/>
          <w:sz w:val="21"/>
        </w:rPr>
        <w:t>All underlying machine-readable tables and pipeline code (scripts 01-37) are archived with the manuscript at https://github.com/hmjpan/protein-ai-disagreement (results/ and figures/ directories). Primary inferential summaries aggregate at the protein level where applicable, with bootstrap inference used for the principal effect estimates; assay-, residue- and variant-level quantities are labelled as such at each point of use. The analysis plan and GO/NO-GO thresholds were fixed in config.yaml before the final analyses.</w:t>
      </w:r>
    </w:p>
    <w:p>
      <w:r>
        <w:br w:type="page"/>
      </w:r>
    </w:p>
    <w:p>
      <w:r>
        <w:rPr>
          <w:b/>
          <w:sz w:val="28"/>
        </w:rPr>
        <w:t>Supplementary Figures</w:t>
      </w:r>
    </w:p>
    <w:p>
      <w:r>
        <w:br w:type="page"/>
      </w:r>
    </w:p>
    <w:p>
      <w:r>
        <w:rPr>
          <w:b/>
          <w:sz w:val="21"/>
        </w:rPr>
        <w:t>Figure S1. Assay-level distribution of the Spearman correlation between disagreement and ensemble prediction error (median 0.032; Section 2.6).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disagreemen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S2. Mean ensemble prediction error by disagreement decile (monotonic: top decile 0.214 vs bottom decile 0.201).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disagreement_dec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S3. Disagreement versus distance to the nearest UniProt domain boundary (no boundary effect).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domai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S4. BioGate 5-fold UniProt-grouped cross-validation: protein-level Spearman distributions against all baselines.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biogate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S5. BioGate context-feature ablation: validation Spearman for the full gate versus removal of pLDDT (no_plddt), functional annotations (no_ann) or MSA-depth (no_msa) context features. The scores-only / context-only / scores+context XGBoost comparison is in Table S5.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5_biogat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S6. Leave-one-model-out sensitivity of the disagreement-error association (range 0.027-0.039).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6_lomo_sensi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S7. Percentile (u) versus inverse-normal (z) disagreement scale: median assay-level rho 0.145 vs 0.032 at fixed error definition.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7_scal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S8. Disagreement-error association by assay selection type (stability 0.076, binding 0.057; activity 0.003, organismal fitness -0.004).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19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8_rho_by_assay_con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S9. Residue mechanics (secondary structure, burial, contact density) versus family advantage or disagreement: null result.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9_mechanics_n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S10. ESM-IF1 gain from experimental structures over AlphaFold2 by assay mean pLDDT (64 assays; low-confidence assays show MORE negative gain: -0.081 vs -0.023, difference -0.058, 95% CI -0.099 to -0.013).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0_expstruct_g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S11. SSEmb distinct-architecture replication: residue-level Spearman between pLDDT and evolution-vs-SSEmb disagreement (median -0.067; 65.6% of 151 proteins negative).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1_ssemb_replic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</w:rPr>
        <w:t>Supplementary Tables</w:t>
      </w:r>
    </w:p>
    <w:p>
      <w:r>
        <w:br w:type="page"/>
      </w:r>
    </w:p>
    <w:p>
      <w:r>
        <w:rPr>
          <w:b/>
          <w:sz w:val="21"/>
        </w:rPr>
        <w:t>Table S1. Residue-level pLDDT association across disagreement definitions. D_std -0.078, D_MAD -0.076, D_pair -0.089, D_u -0.115 (median rho; all CIs exclude zero; 71-77% of proteins negative; four complementary definitions). Effect sizes (D_evo_struct): lowest-vs-highest pLDDT decile difference +0.057 (CI +0.013 to +0.084); Cohen's d 0.15 (CI 0.04-0.23); enrichment OR (low-pLDDT decile vs top-disagreement decile) median 1.84 (CI 1.62-2.04), pooled 1.49 (CI 1.35-1.65).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Definition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proteins 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D_MAD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-0.104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D_pair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-0.109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D_std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-0.101 to -0.040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-0.150 to -0.091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0.766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S2. Confound controls for the shared AlphaFold input. (i) Asymmetry: residue-level rho(seq-vs-struct, pLDDT) = +0.01 vs rho(evo-vs-struct, pLDDT) = -0.04 (65% of proteins in the evo-struct direction); (ii) structure-model DMS association as median |Spearman rho| with the DMS fitness score (released structure scores are oriented toward deleteriousness, so signed correlations are negative; absolute values are used here and in panel (ii) of Table S2): ESM-IF1 0.04 at &lt;50 vs 0.47 at &gt;=90; MIF 0.03 vs 0.43; ProteinMPNN 0.01 vs 0.22; (iii) structure-model score coverage = 100% at all pLDDT levels; (iv) protein-fixed-effects regression of residue-level evo-vs-structure disagreement on pLDDT, adjusted for disorder, contact density, secondary structure, normalized position, MSA depth and structure coverage, with protein-clustered standard errors.</w:t>
      </w:r>
    </w:p>
    <w:p>
      <w:r>
        <w:rPr>
          <w:b/>
          <w:sz w:val="20"/>
        </w:rPr>
        <w:t>(i) Asymmetry of the residue-level association: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median rho vs pLDDT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 proteins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-0.041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sequence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% proteins with more negative evo-vs-struct rho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(ii) Structure-model DMS association, median |Spearman rho| with the DMS fitness score (released structure scores are oriented to deleteriousness, so signed correlations are negative):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assays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|rho| vs DMS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0.123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0.054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0.263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0.225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(iii) Structure-model score coverage: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fraction scored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(iv) Protein-fixed-effects regression of residue-level evo-vs-structure disagreement on pLDDT (dependent variable: per-residue median disagreement; within-protein demeaning = protein dummies; protein-clustered standard errors; beta per 10 pLDDT units):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beta pLDDT (per 10 units)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clustered SE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 residues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pLDDT only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[-0.0208, -0.0037]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0.0024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full covariates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[-0.0289, -0.0076]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0.0056</w:t>
            </w:r>
          </w:p>
        </w:tc>
      </w:tr>
    </w:tbl>
    <w:p>
      <w:r>
        <w:rPr>
          <w:b w:val="0"/>
          <w:sz w:val="18"/>
        </w:rPr>
        <w:t>Adjusted model covariates (standardized direction of median coefficients): disorder beta -0.046 (P 0.082), contact density +0.006, helix -0.008, sheet -0.033, normalized position, MSA-depth category and structure coverage (full coefficients in results/statistics/multivariable_regression.csv). The pLDDT term remains negative and significant after adjustment.</w:t>
      </w:r>
    </w:p>
    <w:p>
      <w:r>
        <w:br w:type="page"/>
      </w:r>
    </w:p>
    <w:p>
      <w:r>
        <w:rPr>
          <w:b/>
          <w:sz w:val="21"/>
        </w:rPr>
        <w:t>Table S3. Regime robustness across K = 4-7. Consensus regimes track experimental Y at every K (Y_tolerant 0.26-0.30; Y_damaging 0.73-0.79); cross-assay position-level agreement 0.75-0.84 at every K (pair count 30 at every K, using assay pairs with &gt;= 20 shared positions; the phenotype-replication criterion of Section 2.4 -- &gt;= 3 regimes with &gt;= 20 variants -- yields 37 pairs); the structure-dissenting pattern emerges at K &gt;= 6; ARI vs K = 6: 0.35 (K = 4), 0.58 (K = 5), 0.46 (K = 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structure-dissenting regime present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consensus-tolerant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consensus-damaging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agreement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pairs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ARI vs K=6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0.289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0.776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0.462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S4. Identity-threshold sensitivity. 30% / 50% / 70% each exclude the same 35 clinical proteins; uniform AUROC 0.905 (n = 2,490) in all three settings. The maximum-identity distribution is strongly bimodal (2,490 proteins &lt; 0.05; 35 at &gt;= 0.80), so thresholds between 0.3 and 0.7 select the identical set; this table is a consistency check, not a graded homology control.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Identity threshold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 excluded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uniform AUROC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60,214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60,214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60,214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0.905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S5. XGBoost ablations (5-fold UniProt-grouped CV, percentile space; median of per-fold medians). scores only 0.509; context only 0.167; scores + context 0.551; uniform ensemble 0.542.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median protein-level Spearman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context_only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uniform_ensemble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S6. Model panel composition. Per core model: architecture, input modalities, AlphaFold-structure input, mechanistic-panel membership (model_panel_table.csv).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Official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Analysis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MSA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structure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Structure input AlphaFold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In mechanistic panel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Site_Independent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EVmutation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DeepSequence_ensemble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Unirep_evotune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MSA_Transformer_ensemble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ESM1v_ensemble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ESM2_650M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Wavenet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RITA_xl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Progen2_xlarge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GEMME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ProtGPT2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Tranception_L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single-sequence transformer is scored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TranceptEVE_L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transformer + EVE prior; not structure-based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CARP_640M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 MSA input; sequence representations transferred from a pretrained single-sequence language model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ProtSSN_ensemble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SaProt_650M_AF2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structure-aware vocabulary from AlphaFold2 structure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PoET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MULAN_small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ProSST-4096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ESCOTT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VenusREM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RSALOR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S2F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S3F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SiteRM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sequence, Structure &amp; Function annotations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multimodal: sequence, structure and function annotations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ESMC-600M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xTrimoPGLM-100B-int4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Progen3_3b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  <w:sz w:val="18"/>
        </w:rPr>
        <w:t>Official family = model_type from the ProteinGym v1.3 config (the source of all modality flags). Tranception/TranceptEVE use an MSA only for inference-time homolog retrieval (not structure input); MIF-ST transfers sequence representations from a pretrained single-sequence language model (no MSA input). All structure-based scores in the released ProteinGym evaluation operate on the AlphaFold2 target structures shipped with the benchmark.</w:t>
      </w:r>
    </w:p>
    <w:p>
      <w:r>
        <w:br w:type="page"/>
      </w:r>
    </w:p>
    <w:p>
      <w:r>
        <w:rPr>
          <w:b/>
          <w:sz w:val="21"/>
        </w:rPr>
        <w:t>Table S7. Clinical paired deltas (10,000 protein bootstrap). Full set: BioGate - uniform +0.039 [0.033, 0.045], best - uniform +0.056 [0.048, 0.064]. Strict set: BioGate - uniform +0.021 [0.011, 0.026], best - uniform +0.085 [0.077, 0.091], best - BioGate +0.061 [0.056, 0.066].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delta AUROC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[0.033, 0.045]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0.662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[0.048, 0.063]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0.692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[0, 0.001]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0.476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[0.011, 0.026]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[0.077, 0.091]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[0.056, 0.066]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0.933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S8. Held-out protein regime generalization. Median regime-profile Spearman 0.94 (IQR 0.89-1.00, 100% positive, 185 proteins); dissenting regime held-out Y median 0.61, damaging in 72% of supported proteins; cross-assay replication on held-out proteins median 0.94 (28 pairs, 100% above chance).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Proteins with held-out support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Median Spearman, held-out regime profile vs training profile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(IQR 0.886-1)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proteins with positive correlation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(185/185)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Dissenting regime held-out Y (median)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supported proteins with dissenting regime Y &gt; 0.5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Held-out cross-assay replication, median rho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(28 pairs)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held-out cross-assay pairs above chance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(28/28)</w:t>
            </w:r>
          </w:p>
        </w:tc>
      </w:tr>
    </w:tbl>
    <w:p>
      <w:r>
        <w:rPr>
          <w:b w:val="0"/>
          <w:sz w:val="18"/>
        </w:rPr>
        <w:t>Per-protein values: results/statistics/heldout_regime_per_protein.csv.</w:t>
      </w:r>
    </w:p>
    <w:p>
      <w:r>
        <w:br w:type="page"/>
      </w:r>
    </w:p>
    <w:p>
      <w:r>
        <w:rPr>
          <w:b/>
          <w:sz w:val="21"/>
        </w:rPr>
        <w:t xml:space="preserve">Table S9. Regime-selection audit and functional-feature controls. (a) Gaussian-mixture BIC sweep over K = 2-8 (family-centroid input, covariance_type = full, n_init = 3, identical settings to the regime fit); K = 6 minimizes BIC. (b) Within-protein permutation enrichment of high-disagreement residues for UniProt functional features with Benjamini-Hochberg FDR control across features; no feature survives (minimum q = 0.60). </w:t>
      </w:r>
    </w:p>
    <w:p>
      <w:r>
        <w:rPr>
          <w:b/>
          <w:sz w:val="20"/>
        </w:rPr>
        <w:t>(a) GMM model selection (family-centroid input, covariance_type=full, n_init=3, identical settings to the regime fit):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selected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3,761,555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3,718,186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3,713,160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3,715,447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3,712,513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3,713,039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3,713,405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Within-protein permutation enrichment of high-disagreement residues for UniProt functional features (BH FDR across features):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OR (high vs low decile)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permutation 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BH q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active_site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undefined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binding_site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3.11995686695236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disulfid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0.9783319509883035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0.3801169456946358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mod_res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1.4600814289744544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motif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0.9647437347345152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1.3257524656829285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transmembrane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1.1629237156081964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</w:tbl>
    <w:p>
      <w:r>
        <w:rPr>
          <w:b w:val="0"/>
          <w:sz w:val="18"/>
        </w:rPr>
        <w:t>No feature survives BH control (minimum q = 0.60); disagreement structure is not a proxy for functional-site annotation.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