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3ddcfdee9e5df1ea2b7edd1918f3c96f2fd94a6"/>
    <w:p>
      <w:pPr>
        <w:pStyle w:val="Heading1"/>
      </w:pPr>
      <w:r>
        <w:t xml:space="preserve">Protein AI Model Disagreement Tracks AlphaFold Structural Confidence</w:t>
      </w:r>
    </w:p>
    <w:bookmarkStart w:id="9" w:name="abstract"/>
    <w:p>
      <w:pPr>
        <w:pStyle w:val="Heading2"/>
      </w:pPr>
      <w:r>
        <w:t xml:space="preserve">Abstract</w:t>
      </w:r>
    </w:p>
    <w:p>
      <w:pPr>
        <w:pStyle w:val="FirstParagraph"/>
      </w:pPr>
      <w:r>
        <w:t xml:space="preserve">Protein AI models – evolutionary (MSA), single-sequence language, and structure-conditioned predictors – are usually treated as competing estimators of mutation effect. Here we ask what it means, biologically, when they disagree. Using 696,311 single missense substitutions across 217 deep-mutational scanning assays (ProteinGym v1.3) scored by 40 architecturally diverse zero-shot models, we show that disagreement contains reproducible biological structure: it tracks AlphaFold structural confidence.</w:t>
      </w:r>
    </w:p>
    <w:p>
      <w:pPr>
        <w:pStyle w:val="BodyText"/>
      </w:pPr>
      <w:r>
        <w:t xml:space="preserve">Within proteins, evolution-vs-structure disagreement is negatively associated with pLDDT (median residue-level Spearman -0.04, 95% CI -0.06 to -0.03; 67.5% of 154 proteins negative; p &lt; 0.001), robust to multivariable adjustment, panel resampling and four definitions of total disagreement; low-confidence residues are ~1.5-1.8x more likely to be maximally disagreeable. Two external controls resist an input-quality-only account: experimental-structure rescoring of ESM-IF1 (64 assays) runs opposite to it, and SSEmb, a distinct joint sequence-structure architecture, reproduces the trend. Curated disorder marks a related but distinct regime (total, not pair-specific, disagreement elevated there). Regimes (discrete summaries of a continuous geometry) generalize: frozen-centroid protein-level cross-validation reproduces training phenotypes (median Spearman 0.94; 185/185), and regime phenotypes replicate across independent assays (0.94; 37 pairs, 28 held out).</w:t>
      </w:r>
    </w:p>
    <w:p>
      <w:pPr>
        <w:pStyle w:val="BodyText"/>
      </w:pPr>
      <w:r>
        <w:t xml:space="preserve">Disagreement is only weakly associated with prediction error in DMS (assay-level Spearman 0.032), and this signal is panel-scale-dependent: under the five models released for the clinical benchmark it vanishes in DMS (-0.001, 95% CI -0.008 to +0.005) and reverses in clinical annotation (-0.23; AUROC of low disagreement for misclassification 0.635). A gated ensemble does not beat uniform averaging in DMS (paired delta +0.000, CI -0.008 to +0.008); clinically it beats the matched two-family baseline (+0.045, CI +0.038 to +0.053) but not the five-model average (-0.011). Model disagreement is thus a scientific observable in its own right: an AI-generated map of where evolutionarily informed and structure-conditioned predictions diverge – reproducible, structured, and domain-bounded, but explanatory rather than predictive.</w:t>
      </w:r>
    </w:p>
    <w:p>
      <w:pPr>
        <w:pStyle w:val="BodyText"/>
      </w:pPr>
      <w:r>
        <w:rPr>
          <w:b/>
          <w:bCs/>
        </w:rPr>
        <w:t xml:space="preserve">Keywords:</w:t>
      </w:r>
      <w:r>
        <w:t xml:space="preserve"> </w:t>
      </w:r>
      <w:r>
        <w:t xml:space="preserve">variant effect prediction, protein language models, deep mutational scanning, model disagreement, AlphaFold structural confidence</w:t>
      </w:r>
    </w:p>
    <w:bookmarkEnd w:id="9"/>
    <w:bookmarkStart w:id="10" w:name="introduction"/>
    <w:p>
      <w:pPr>
        <w:pStyle w:val="Heading2"/>
      </w:pPr>
      <w:r>
        <w:t xml:space="preserve">1. Introduction</w:t>
      </w:r>
    </w:p>
    <w:p>
      <w:pPr>
        <w:pStyle w:val="FirstParagraph"/>
      </w:pPr>
      <w:r>
        <w:t xml:space="preserve">Missense variation is central to protein function and human disease, and predicting its effects is a foundational problem in computational biology. Over the past five years the field has moved from evolutionary statistics (GEMME [1], EVE [2], DeepSequence [3], EVmutation [4]) to single-sequence protein language models (ESM-1v [5], ESM-1b [6], ESM-2 [7], ProtTrans [8], ProGen [9], ProGen2 [10], VESPA [11]) and structure-conditioned predictors (ESM-IF1 [12], ProteinMPNN [13], SaProt [14], MIF/MIF-ST [15]), culminating in large-scale protein foundation models and specialized variant-effect predictors (ESM3 [16], ProGen3 [17], xTrimoPGLM [18], AlphaMissense [19]) whose zero-shot mutation scores are evaluated against deep mutational scanning (DMS) experiments at scale (ProteinGym [20]; DMS methodology [21,22]).</w:t>
      </w:r>
    </w:p>
    <w:p>
      <w:pPr>
        <w:pStyle w:val="BodyText"/>
      </w:pPr>
      <w:r>
        <w:t xml:space="preserve">These models are usually benchmarked as competitors: one average performance number decides the winner. But average performance hides structure. Models are trained on different modalities – evolutionary conservation (MSA families), sequence statistics alone, or three-dimensional structure – and there is no a priori reason they should encode identical biological constraints. A substitution that violates conservation while preserving local folding compatibility, or one in a flexible region for which the available structural representation is uncertain, may split the panel cleanly. The information the models share is a consensus estimate; the information on which they diverge may be information about biology. Two recent lines make this question concrete from different angles: Livesey and Marsh [23] show that where individual predictors disagree with multiplexed experiments, the discordance is systematic rather than noise; Prabakaran and Bromberg [24] quantify uncertainty internal to a single protein language model’s embeddings. Neither asks how disagreement between model families with different input modalities is structured across protein space.</w:t>
      </w:r>
    </w:p>
    <w:p>
      <w:pPr>
        <w:pStyle w:val="BodyText"/>
      </w:pPr>
      <w:r>
        <w:t xml:space="preserve">We therefore treat disagreement among architecturally diverse protein AI models as a scientific observable: a residue-level measurement of where biological constraints are encoded inconsistently across model families. The question is not</w:t>
      </w:r>
      <w:r>
        <w:t xml:space="preserve"> </w:t>
      </w:r>
      <w:r>
        <w:t xml:space="preserve">“who wins?”</w:t>
      </w:r>
      <w:r>
        <w:t xml:space="preserve"> </w:t>
      </w:r>
      <w:r>
        <w:t xml:space="preserve">but</w:t>
      </w:r>
      <w:r>
        <w:t xml:space="preserve"> </w:t>
      </w:r>
      <w:r>
        <w:t xml:space="preserve">“what biology does disagreement reveal?”</w:t>
      </w:r>
    </w:p>
    <w:p>
      <w:pPr>
        <w:pStyle w:val="BodyText"/>
      </w:pPr>
      <w:r>
        <w:t xml:space="preserve">We test this with the final analysis specification (plan and GO/NO-GO thresholds) frozen in the versioned project configuration before the reported runs, on 696,311 single substitutions across 217 DMS assays scored by a 40-model panel: (i) whether models encode overlapping but distinct constraints; (ii) whether disagreement tracks structural confidence (AlphaFold pLDDT), curated disorder, and residue mechanics; (iii) whether disagreement regimes correspond to distinct biological contexts and reproduce across independent experiments; (iv) whether model families exhibit context-dependent expertise; (v) whether disagreement marks prediction difficulty in DMS and in clinical variant classification; and (vi) whether a biologically gated ensemble transfers across domains. Section 3.0 positions the work against fixed-weight predictor integration, uncertainty estimation, and the ProteinGym benchmark itself.</w:t>
      </w:r>
    </w:p>
    <w:bookmarkEnd w:id="10"/>
    <w:bookmarkStart w:id="20" w:name="results"/>
    <w:p>
      <w:pPr>
        <w:pStyle w:val="Heading2"/>
      </w:pPr>
      <w:r>
        <w:t xml:space="preserve">2. Results</w:t>
      </w:r>
    </w:p>
    <w:bookmarkStart w:id="11" w:name="Xc31807dcad307f3c3943c3cdad1913279dee57d"/>
    <w:p>
      <w:pPr>
        <w:pStyle w:val="Heading3"/>
      </w:pPr>
      <w:r>
        <w:t xml:space="preserve">2.1 Protein AI models encode overlapping but distinct mutational constraints</w:t>
      </w:r>
    </w:p>
    <w:p>
      <w:pPr>
        <w:pStyle w:val="FirstParagraph"/>
      </w:pPr>
      <w:r>
        <w:t xml:space="preserve">Across the 215 assays with sufficient variant coverage for pairwise correlation (2 of 217 assays contained fewer than 50 qualifying mutations and were excluded from this specific analysis only; all 217 assays enter the primary disagreement analyses), the median pairwise Spearman correlation between model predictions within the same family was 0.698 versus 0.587 between families. PCA of the variant-by-model matrix showed a dominant shared component (PC1 = 58.5%) concentrated in evolutionary models, plus a secondary axis (PC2 = 6.0%) separating structure-conditioned from sequence-based models (figure 1(c)); pairwise correlations (figure 1(d)) and hierarchical clustering (figure 1(e)) recapitulated the training modality families.</w:t>
      </w:r>
    </w:p>
    <w:p>
      <w:pPr>
        <w:pStyle w:val="BodyText"/>
      </w:pPr>
      <w:r>
        <w:t xml:space="preserve">Score orientation followed the released ProteinGym conventions and the official model metadata (config.json); post hoc correlations with DMS were used only as a sanity check and never to determine orientation (Methods 4.2).</w:t>
      </w:r>
    </w:p>
    <w:bookmarkEnd w:id="11"/>
    <w:bookmarkStart w:id="12" w:name="Xff253f37e7fc38790d92eaa86dc69e843ad161e"/>
    <w:p>
      <w:pPr>
        <w:pStyle w:val="Heading3"/>
      </w:pPr>
      <w:r>
        <w:t xml:space="preserve">2.2 AlphaFold structural confidence tracks disagreement (primary result)</w:t>
      </w:r>
    </w:p>
    <w:p>
      <w:pPr>
        <w:pStyle w:val="FirstParagraph"/>
      </w:pPr>
      <w:r>
        <w:t xml:space="preserve">The primary statistic is protein-wise residue-level correlation. Within each protein, mutations at the same residue were aggregated to the residue median of disagreement, and Spearman(pLDDT, disagreement) was computed directly over residues (154 proteins with &gt;= 50 mapped residues). The median within-protein Spearman between pLDDT and evolution-vs-structure disagreement was</w:t>
      </w:r>
      <w:r>
        <w:t xml:space="preserve"> </w:t>
      </w:r>
      <w:r>
        <w:rPr>
          <w:b/>
          <w:bCs/>
        </w:rPr>
        <w:t xml:space="preserve">-0.04</w:t>
      </w:r>
      <w:r>
        <w:t xml:space="preserve"> </w:t>
      </w:r>
      <w:r>
        <w:t xml:space="preserve">(protein-bootstrap 95% CI -0.06 to -0.03; 67.5% of proteins negative; one-sample Wilcoxon p &lt; 0.001), and -0.08 for total disagreement (71.4% negative; the distribution of within-protein residue-level correlations is shown in figure 2(a)). The effect is small in absolute terms but highly consistent across proteins.</w:t>
      </w:r>
    </w:p>
    <w:p>
      <w:pPr>
        <w:pStyle w:val="BodyText"/>
      </w:pPr>
      <w:r>
        <w:t xml:space="preserve">The effect is also interpretable in intuitive terms (figure 2(b); Table S1): within proteins, residues in the lowest pLDDT decile have higher evolution-vs-structure disagreement than residues in the highest decile (median difference +0.057, bootstrap 95% CI +0.013 to +0.084; Cohen’s d = 0.15, CI 0.04-0.23), and low-pLDDT-decile residues are substantially more likely to fall in the protein-internal top disagreement decile (median protein-level odds ratio 1.84, 95% CI 1.62-2.04; pooled OR 1.49, 95% CI 1.35-1.65). That is, residues in the least confident structural regions are roughly 1.5-1.8x more likely to be among the most disagreeable in the protein.</w:t>
      </w:r>
    </w:p>
    <w:p>
      <w:pPr>
        <w:pStyle w:val="BodyText"/>
      </w:pPr>
      <w:r>
        <w:t xml:space="preserve">The trend is robust to the total-disagreement definition (Methods 4.3): z-based SD (-0.078), percentile SD (-0.115), MAD (-0.076) and mean pairwise distance (-0.089) all give negative residue-level associations with confidence intervals excluding zero and 71-77% of proteins negative (figure 2(c); Table S1). A fifth candidate metric (variance of per-variant ranks) is mathematically redundant with the percentile SD and is not used (Methods 4.3).</w:t>
      </w:r>
    </w:p>
    <w:p>
      <w:pPr>
        <w:pStyle w:val="BodyText"/>
      </w:pPr>
      <w:r>
        <w:t xml:space="preserve">The effect is specific to family pairs: evolution-vs-structure disagreement shows the negative trend, whereas sequence-vs-structure disagreement does not (median residue-level rho 0.01, CI overlapping zero; Table S2). Disagreement therefore accumulates in low-confidence regions specifically as a conflict between evolutionary-model and structure-conditioned model predictions.</w:t>
      </w:r>
    </w:p>
    <w:p>
      <w:pPr>
        <w:pStyle w:val="BodyText"/>
      </w:pPr>
      <w:r>
        <w:t xml:space="preserve">Confound controls (shared AlphaFold input). The structure-conditioned models and the pLDDT metric derive from the same AlphaFold structures, so low pLDDT might simply degrade structure-model inputs. We report three partial controls (Table S2). (i) Asymmetry: if disagreement were a pure input-quality artifact, sequence-vs-structure disagreement should rise at low pLDDT exactly like evolution-vs-structure disagreement, since the same structure models are involved; it does not (median residue-level rho +0.01 vs -0.04; asymmetry -0.03, 65% of proteins in the evo-struct direction). (ii) Structure-model accuracy: structure-conditioned model scores do lose DMS-correlation at low pLDDT (e.g., ESM-IF1 median per-assay |rho| with DMS fitness rising from 0.04 at pLDDT&lt;50 to 0.47 at &gt;=90; structure scores are oriented to deleteriousness, so signed correlations are negative), confirming that their scores carry less information there – the input-quality pathway is real and is a documented limitation, not fully resolvable without experimental structures. (iii) Coverage: structure-model score availability is complete at all pLDDT levels (100%), ruling out missingness-driven artifacts. Beyond these internal controls we use two external datasets. (iv) Experimental-structure gain: for 64 assays that have ESM-IF1 scores computed on BOTH experimental PDB structures and AlphaFold2 structures [25], the assay-level gain (experimental minus AlphaFold2) is negative on average (-0.057) and significantly MORE negative for low-confidence assays (median gain -0.081 vs -0.023; difference -0.058, bootstrap 95% CI -0.099 to -0.013, Mann-Whitney p = 0.011; Spearman(mean pLDDT, gain) = +0.38, p = 0.002; figure S10): replacing AlphaFold inputs with experimental structures does not rescue low-confidence assays, contrary to what a pure input-quality explanation predicts. (v) Distinct-architecture replication: SSEmb – which jointly embeds MSA information and structure in one architecture (an MSA-Transformer language model combined with a structure-conditioned graph network) and was trained under a different pipeline [26] – shows the same residue-level trend for evolution-vs-SSEmb disagreement (median rho -0.067, 65.6% of 151 proteins negative; figure S11), matching the inverse-folding result (-0.042). A variant-level experimental-structure re-scoring of all models remains the decisive future control and is stated as a limitation.</w:t>
      </w:r>
    </w:p>
    <w:p>
      <w:pPr>
        <w:pStyle w:val="BodyText"/>
      </w:pPr>
      <w:r>
        <w:t xml:space="preserve">Panel-composition checks. (a) A strict one-representative-per-architecture panel (ESM-1v, GEMME, EVE, MSA-Transformer, ESM-IF1, ProteinMPNN, SaProt, Tranception) reproduces the residue-level trend (median rho -0.06; 68% of proteins negative). (b) 1,000 resamplings drawing three models from the evolutionary and sequence families reproduce the trend at residue level (median of per-iteration medians -0.05, 95% range [-0.08, -0.02]; 100% of iterations negative; figure 2(c), right). Because only three structure-family models were available in the released scores, the structure panel was fixed in these resamplings; composition robustness is therefore established for the evolutionary and sequence families. For the structure family we instead recompute the residue-level association for every non-empty subset of the three models (independent percentile-space recalculation; Table S11): all seven configurations are negative with bootstrap CIs excluding zero – single models ESM-IF1 -0.062, MIF -0.064, ProteinMPNN -0.050; pairs -0.048 to -0.060; full trio -0.048. The trend therefore does not depend on any single structure model, although three models remain the binding limitation.</w:t>
      </w:r>
    </w:p>
    <w:p>
      <w:pPr>
        <w:pStyle w:val="BodyText"/>
      </w:pPr>
      <w:r>
        <w:t xml:space="preserve">Independent disorder annotation. Curated UniProt disordered regions (transferred to DMS coordinates by sequence alignment; 92 proteins covered) confirm that total disagreement is higher in disordered than in ordered residues (median within-protein difference +0.040, 76.5% of proteins positive; figure 2(d)). However, the evolution-vs-structure conflict does not concentrate in curated IDR (median IDR-ordered difference -0.017, 38% positive). The primary signal is therefore located in the broader low-confidence continuum – regions consistent with flexibility, conformational heterogeneity, or weak structural constraint – rather than in canonical disorder alone. pLDDT&lt;50 and UniProt disorder overlap partially (P(low-confidence | disorder) = 0.56), consistent with the literature linking AlphaFold confidence to experimental disorder [27,28]; we retain the</w:t>
      </w:r>
      <w:r>
        <w:t xml:space="preserve"> </w:t>
      </w:r>
      <w:r>
        <w:t xml:space="preserve">“low structural confidence”</w:t>
      </w:r>
      <w:r>
        <w:t xml:space="preserve"> </w:t>
      </w:r>
      <w:r>
        <w:t xml:space="preserve">terminology for the metric itself.</w:t>
      </w:r>
    </w:p>
    <w:bookmarkEnd w:id="12"/>
    <w:bookmarkStart w:id="13" w:name="X7ec87b00992bef86645eab6095ed671710aff7f"/>
    <w:p>
      <w:pPr>
        <w:pStyle w:val="Heading3"/>
      </w:pPr>
      <w:r>
        <w:t xml:space="preserve">2.3 Residue mechanics: contact density and secondary structure</w:t>
      </w:r>
    </w:p>
    <w:p>
      <w:pPr>
        <w:pStyle w:val="FirstParagraph"/>
      </w:pPr>
      <w:r>
        <w:t xml:space="preserve">Using pydssp secondary-structure assignment and CA contact density from the same AlphaFold structures, we tested whether family relative advantage varies with residue mechanics. In the percentile space used throughout for accuracy comparisons, no mechanical context showed a consistent family advantage (all median advantages within +/-0.013; helix/sheet/core/surface/loop), and contact density showed no monotonic association with evolution-vs-structure disagreement (median within-protein rho 0.01). These analyses are reported as a null result: residue mechanics, as captured by secondary structure and contact density, does not shift relative family expertise beyond the confidence axis (figure S9). Disagreement likewise does not concentrate at UniProt domain boundaries (median disagreement is flat across distance-to-boundary bins: 0.63, 0.59, 0.58 and 0.63 for 0-5, 6-10, 11-20 and &gt;20 residues; figure S3). As a control, within-protein permutation enrichment of high-disagreement residues against UniProt functional features (active site, binding site, domain, transmembrane, modified residue, disulfide, region, motif) yields nothing that survives Benjamini-Hochberg control (all q &gt;= 0.60; Table S9) – the disagreement structure is positional-confidence-driven, not a proxy for functional-site annotation.</w:t>
      </w:r>
    </w:p>
    <w:bookmarkEnd w:id="13"/>
    <w:bookmarkStart w:id="14" w:name="X512b093b3476b995a4e9fc3a50418f23151a449"/>
    <w:p>
      <w:pPr>
        <w:pStyle w:val="Heading3"/>
      </w:pPr>
      <w:r>
        <w:t xml:space="preserve">2.4 Disagreement regimes: discrete summaries of a continuous geometry</w:t>
      </w:r>
    </w:p>
    <w:p>
      <w:pPr>
        <w:pStyle w:val="FirstParagraph"/>
      </w:pPr>
      <w:r>
        <w:t xml:space="preserve">Gaussian mixture modeling of the three mechanistic family predictions (BIC-optimal [29] K = 6, with the K = 2-8 BIC sweep in Table S9; figure 3(a)-(c)) assigns every variant to a regime (Table 1). We treat regimes as discrete summaries of an underlying continuous disagreement geometry, not as evidence of discrete natural categories.</w:t>
      </w:r>
    </w:p>
    <w:p>
      <w:pPr>
        <w:pStyle w:val="BodyText"/>
      </w:pPr>
      <w:r>
        <w:t xml:space="preserve">Consensus regimes align with the measured DMS phenotype: consensus-damaging variants have median experimental fitness rank 0.19 (damaged), consensus-tolerant 0.74 (tolerant). In the structure-dissenting regime, the measured DMS phenotype aligns more closely with sequence and evolutionary predictions than with structure-conditioned predictions (median experimental Y = 0.65). We state this as an alignment-of-evidence statement and do not claim that structure-conditioned models are</w:t>
      </w:r>
      <w:r>
        <w:t xml:space="preserve"> </w:t>
      </w:r>
      <w:r>
        <w:t xml:space="preserve">“wrong”</w:t>
      </w:r>
      <w:r>
        <w:t xml:space="preserve">: DMS phenotypes (activity, binding, abundance, fitness) are not direct measures of folding compatibility. (Regime names are descriptive labels assigned post hoc from the actual centroids; machine-readable labels are regime_0-regime_5.)</w:t>
      </w:r>
    </w:p>
    <w:p>
      <w:pPr>
        <w:pStyle w:val="BodyText"/>
      </w:pPr>
      <w:r>
        <w:t xml:space="preserve">Robustness of the regime structure. Consensus regimes and their experimental alignment are stable across the number of clusters (K = 4-7; Table S3). The structure-dissenting pattern emerges at K &gt;= 6; at K = 4-5 it is absorbed into broader regimes, so this specific pattern is a K-dependent characterization rather than a universal feature.</w:t>
      </w:r>
    </w:p>
    <w:p>
      <w:pPr>
        <w:pStyle w:val="BodyText"/>
      </w:pPr>
      <w:r>
        <w:t xml:space="preserve">Experimental replication of regime-phenotype relationships. Because regime labels derive from model predictions, agreement of assignments across independent assays of the same protein partly reflects deterministic model behaviour on the same sequence (a form of circularity). The scientifically meaningful replication is whether regime-phenotype relationships hold across assays: for 37 assay pairs sharing &gt;= 3 regimes with &gt;= 20 variants each, the median Spearman between regime-level experimental Y across assays was</w:t>
      </w:r>
      <w:r>
        <w:t xml:space="preserve"> </w:t>
      </w:r>
      <w:r>
        <w:rPr>
          <w:b/>
          <w:bCs/>
        </w:rPr>
        <w:t xml:space="preserve">0.94</w:t>
      </w:r>
      <w:r>
        <w:t xml:space="preserve">; consensus-damaging regimes were damaging (Y &gt; 0.5) in both assays of every pair (100%), consensus-tolerant regimes tolerated in every pair (100%), and the structure-dissenting regime was damaging in both assays in 92% of pairs where it was present (figure 4(a), inset). Separately, 34 of these 37 pairs additionally had &gt;= 20 shared residue positions, allowing position-level assignment agreement (0.763 vs 0.215 chance; 100% of pairs above chance). The two analyses use different inclusion criteria and different pair counts; it is the phenotype replication that establishes experimental reproducibility. Held-out protein generalization. With a stricter test - protein-level cross-validation with frozen GMM centroids (models fitted on four training folds, assignments made to completely unseen held-out proteins; 185 proteins) - the regime-level phenotype profile of held-out proteins reproduced the training profile with median Spearman 0.94 (interquartile 0.89-1.00; 100% of proteins positive), and the structure-dissenting regime was damaging on held-out data (median Y 0.61; damaging in 72% of proteins with sufficient held-out support; Table S8). Because the two consensus regimes are phenotypically the easiest, we also re-ran the held-out concordance after removing them: across the remaining four regimes the median protein-level Spearman is 0.80 (interquartile 0.80-1.00; 87% of proteins positive), and every regime’s held-out Y median reproduces its training profile within 0.03 (Table S12) – the regime-phenotype structure is not carried by the consensus corners alone. Regimes therefore generalize beyond the proteins used to define them. Adjusted Rand index between K = 6 and K = 5 is 0.58 (K = 4: 0.35, K = 7: 0.46). Illustrative per-protein disagreement maps are shown in figure 4(b)-(d).</w:t>
      </w:r>
    </w:p>
    <w:bookmarkEnd w:id="14"/>
    <w:bookmarkStart w:id="15" w:name="Xd4d54f0b3db8eee9c7cf9d9b967373a6f838061"/>
    <w:p>
      <w:pPr>
        <w:pStyle w:val="Heading3"/>
      </w:pPr>
      <w:r>
        <w:t xml:space="preserve">2.5 Relative family expertise: an IDR-specific effect, no confidence gradient</w:t>
      </w:r>
    </w:p>
    <w:p>
      <w:pPr>
        <w:pStyle w:val="FirstParagraph"/>
      </w:pPr>
      <w:r>
        <w:t xml:space="preserve">We asked whether family advantage (error of other families minus own error, all in percentile space) depends on biological context (figure 5(a)-(c); Table 2). Two results follow. First, relative expertise does NOT vary along the structural-confidence axis: family advantages are small and flat across pLDDT bins (single-sequence +0.008 to +0.022; evolution +0.002 to +0.005; structure -0.002 to -0.007). Second, curated disorder shows a specific effect: single-sequence models lose relative predictive advantage in intrinsically disordered regions (-0.043) versus ordered residues (+0.038; 88% of proteins positive in ordered), while structure-conditioned models gain relative advantage in IDR (+0.060 vs +0.005). Evolutionary models show no consistent effect. We conclude that the readable context-dependence of family expertise is confined to disorder annotation, not to the confidence continuum, and is modest in size.</w:t>
      </w:r>
    </w:p>
    <w:bookmarkEnd w:id="15"/>
    <w:bookmarkStart w:id="16" w:name="X9649293106a9c54906a40b82540d16c119c1a7a"/>
    <w:p>
      <w:pPr>
        <w:pStyle w:val="Heading3"/>
      </w:pPr>
      <w:r>
        <w:t xml:space="preserve">2.6 Disagreement is only weakly predictive (secondary, transparent)</w:t>
      </w:r>
    </w:p>
    <w:p>
      <w:pPr>
        <w:pStyle w:val="FirstParagraph"/>
      </w:pPr>
      <w:r>
        <w:t xml:space="preserve">The uncertainty read-out is weak and we keep it secondary: median assay-level Spearman(disagreement, ensemble error) = 0.032 (UniProt-cluster bootstrap 95% CI 0.023-0.047; 70.7% of assays positive; distribution in figure S1), with error defined in percentile space (|ensemble prediction - Y|, both on the 0-1 scale). The effect is monotonic across disagreement deciles (top-decile error 0.214 vs 0.201; figure S2), unchanged within pLDDT strata (0.027-0.040; not a confound), stable to leave-one-model-out (0.027-0.039; figure S6), and consistent across the D_MAD definition (0.026). The association is strongest in stability and binding assays (median rho 0.076 and 0.057; figure S8) and effectively absent in activity and organismal-fitness assays (0.003 and -0.004). The primary value of disagreement is explanatory rather than predictive.</w:t>
      </w:r>
    </w:p>
    <w:bookmarkEnd w:id="16"/>
    <w:bookmarkStart w:id="17" w:name="Xa9559cdd21d1fd7830e66c275fc56a5bf13be04"/>
    <w:p>
      <w:pPr>
        <w:pStyle w:val="Heading3"/>
      </w:pPr>
      <w:r>
        <w:t xml:space="preserve">2.7 Clinical data: cross-domain transfer of the gating function, not better prediction</w:t>
      </w:r>
    </w:p>
    <w:p>
      <w:pPr>
        <w:pStyle w:val="FirstParagraph"/>
      </w:pPr>
      <w:r>
        <w:t xml:space="preserve">The clinical benchmark contains 2,525 genes / ~63K variants; of these, 1,530 proteins had complete two-family gate inputs and a computable per-protein AUROC, and 789 remained after the strict non-overlap filter (below). Applying the DMS-trained BioGate (a separate two-expert gate – sequence + evolution, the only families available in the clinical score files – trained exclusively on DMS, frozen, and applied once to the clinical benchmark without clinical-label retraining) gave median protein-level AUROC 0.944 on the full clinical set (n = 1,530), versus 0.972 for the rank-averaged five-model uniform ensemble and 0.967 for the best single model (PoET) (figure 6(a)). BioGate is therefore a supporting experiment: it shows that the arbitration function can be applied across domains without retraining, not that gating outperforms simple averaging. All base models are pre-trained on large sequence databases and have seen sequence space broadly;</w:t>
      </w:r>
      <w:r>
        <w:t xml:space="preserve"> </w:t>
      </w:r>
      <w:r>
        <w:t xml:space="preserve">“transfer”</w:t>
      </w:r>
      <w:r>
        <w:t xml:space="preserve"> </w:t>
      </w:r>
      <w:r>
        <w:t xml:space="preserve">here strictly means that the DMS-trained gating function was applied without clinical-label retraining, and the two-expert gate is a distinct model from the three-expert DMS BioGate (Methods 4.4).</w:t>
      </w:r>
    </w:p>
    <w:p>
      <w:pPr>
        <w:pStyle w:val="BodyText"/>
      </w:pPr>
      <w:r>
        <w:t xml:space="preserve">Strict non-overlap control. Homology was assessed by standard protein search: every clinical target was queried against the DMS target sequences with HMMER3 phmmer [30] (E &lt;= 1e-3), and proteins whose best hit reached &gt;= 70% pairwise identity over aligned residues AND &gt;= 70% query coverage were excluded (35 proteins; same-protein overlaps are necessarily captured by this criterion). This left 60,384 variants across 2,490 scored proteins (median five-model rank-averaged uniform AUROC 0.977; Table S4). Restricting to the 789 proteins with complete two-family gate inputs, AUROC was 0.867 for the uniform average of the two family centroids (the gate-matched baseline), 0.932 for BioGate, and 0.974 for the best single model (reselected within the strict set) (Table 3). Gating therefore adds value over its MATCHED two-family baseline (paired median delta AUROC +0.045, 95% CI +0.038 to +0.053, 78% of proteins positive; Table S7) but not over the broader five-model average (paired delta -0.011, 95% CI -0.014 to -0.008, 11% positive), and it does not exceed the best base expert (paired delta +0.023 in favor of the best single, 68% positive, strict set). Standard-homology sensitivity (Table S4): tightening to 50% or 30% identity (coverage &gt;= 70%) excludes 46 and 82 proteins, with the uniform median unchanged (0.977). The gate was a separately trained two-family model (sequence + evolution) learned exclusively on DMS, frozen, and applied once - a gating STRATEGY transferred, not the three-expert DMS gate itself. The gate-complete subsets (1,530 full; 789 strict) are defined by input completeness and are not representative of the full 2,525-gene benchmark.</w:t>
      </w:r>
    </w:p>
    <w:p>
      <w:pPr>
        <w:pStyle w:val="BodyText"/>
      </w:pPr>
      <w:r>
        <w:t xml:space="preserve">Disagreement marks clinical difficulty with the opposite sign. Clinical disagreement is the SD of z-scaled per-protein percentile scores over the five zero-shot models released for the clinical benchmark (TranceptEVE_L, GEMME, EVE, ESM1b, PoET; Methods 4.4). Misclassified variants (ensemble error above 0.5) have lower disagreement than correctly classified ones (median 0.280 vs 0.332; only 24.7% of proteins show higher disagreement among misclassified; protein-level Spearman between disagreement and ensemble error -0.23, 95% CI -0.25 to -0.22; AUROC of low disagreement for misclassification 0.635, 95% CI 0.626 to 0.643; figure 6(b)), while pathogenic vs benign variants show no disagreement difference (0.338 vs 0.331). The reversal is not an artifact of the narrow clinical panel: applying the SAME five models, the SAME SD(z) disagreement and the SAME rank-averaged ensemble error to DMS yields no association at all (median per-assay rho -0.001, 95% CI -0.008 to +0.005; AUROC 0.499) – the weak positive signal of Section 2.6 is a property of the full 40-model, three-family landscape and vanishes in both domains once the panel is narrowed to the clinical five (Table S10). What is clinical-specific is the SIGN: there, high agreement marks confident error. Models that agree yet err are the clinical blind spot, and consensus does not imply correctness. The disagreement-error association is therefore domain-specific in both existence and direction: a weak positive signal in well-posed fitness landscapes that inverts under heterogeneous disease annotation, and the comparison survives matching the model configuration across domains.</w:t>
      </w:r>
    </w:p>
    <w:bookmarkEnd w:id="17"/>
    <w:bookmarkStart w:id="18" w:name="biogate-on-dms-a-transparent-negative"/>
    <w:p>
      <w:pPr>
        <w:pStyle w:val="Heading3"/>
      </w:pPr>
      <w:r>
        <w:t xml:space="preserve">2.8 BioGate on DMS: a transparent negative</w:t>
      </w:r>
    </w:p>
    <w:p>
      <w:pPr>
        <w:pStyle w:val="FirstParagraph"/>
      </w:pPr>
      <w:r>
        <w:t xml:space="preserve">A softmax-gated ensemble (</w:t>
      </w:r>
      <w:r>
        <w:t xml:space="preserve">“BioGate”</w:t>
      </w:r>
      <w:r>
        <w:t xml:space="preserve">; one 32-unit hidden layer) weighting the three percentile-space family centroids from context features (pLDDT, position, length, MSA depth, functional annotations), evaluated by 5-fold UniProt-grouped CV, did not beat uniform averaging: median protein-level rho 0.551 vs 0.542, while the median within-protein paired difference was 0.000 (bootstrap 95% CI -0.008 to +0.008); the two summaries differ because the median of a difference is not the difference of medians (Supplementary figure S4) (Table 4). XGBoost ablations show context does add signal (scores-only 0.509, with context 0.551 under the per-fold-median aggregation of Table S5; 0.573 under the pooled aggregation of Table 4; context-feature ablation in figure S5), but the constrained convex-mixture gate cannot exploit it. BioGate is a constraint result: with a per-variant uncertainty signal this weak, gating cannot improve point prediction (details in Supplementary figures S4-S6).</w:t>
      </w:r>
    </w:p>
    <w:bookmarkEnd w:id="18"/>
    <w:bookmarkStart w:id="19" w:name="X52ba3e37b0b2c27dc33dd0de9e9d5eaad6ba975"/>
    <w:p>
      <w:pPr>
        <w:pStyle w:val="Heading3"/>
      </w:pPr>
      <w:r>
        <w:t xml:space="preserve">2.9 The uncertainty read-out is scale-dependent (methodological note)</w:t>
      </w:r>
    </w:p>
    <w:p>
      <w:pPr>
        <w:pStyle w:val="FirstParagraph"/>
      </w:pPr>
      <w:r>
        <w:t xml:space="preserve">Disagreement-based uncertainty is not invariant to monotonic score transformation: holding the prediction error fixed (|ensemble prediction - Y| in percentile space), the disagreement-error association is ~4.5x stronger when disagreement is measured on the percentile (u) scale (median assay-level rho 0.145) than on the inverse-normal (z) scale (0.032), because the z-transform stretches the tails, where models typically agree on deleteriousness (figure S7). We fixed the z scale as primary in the versioned analysis configuration; the substantive conclusion of this paper – that disagreement is a weak, panel-level uncertainty signal in DMS and reverses in clinical annotation – holds on either scale, but the effect magnitude is scale-dependent. Any future use of disagreement as confidence should therefore pre-specify the scale, and our primary value claim for disagreement is explanatory rather than predictive.</w:t>
      </w:r>
    </w:p>
    <w:bookmarkEnd w:id="19"/>
    <w:bookmarkEnd w:id="20"/>
    <w:bookmarkStart w:id="25" w:name="discussion"/>
    <w:p>
      <w:pPr>
        <w:pStyle w:val="Heading2"/>
      </w:pPr>
      <w:r>
        <w:t xml:space="preserve">3. Discussion</w:t>
      </w:r>
    </w:p>
    <w:bookmarkStart w:id="21" w:name="related-work-and-positioning"/>
    <w:p>
      <w:pPr>
        <w:pStyle w:val="Heading3"/>
      </w:pPr>
      <w:r>
        <w:t xml:space="preserve">3.0 Related work and positioning</w:t>
      </w:r>
    </w:p>
    <w:p>
      <w:pPr>
        <w:numPr>
          <w:ilvl w:val="0"/>
          <w:numId w:val="1001"/>
        </w:numPr>
      </w:pPr>
      <w:r>
        <w:t xml:space="preserve">Meta-predictors and integrative scores (MetaSVM/MetaLR [31], ClinPred [32], BayesDel (distributed within the PERCH framework) [33], REVEL [34], CADD [35]) use globally trained mappings or integrative scoring functions that combine multiple annotations or component predictors for variant-level prediction; their goal is predictive integration, whereas ours is to characterize context-dependent inter-model divergence – they cannot answer where and why predictor trust should differ across the mutational landscape. Our contribution is the quantitative description of the biology of disagreement itself, and the demonstration that relative family expertise is context-dependent only in a limited sense: single-sequence models lose relative advantage in curated disorder, while no expertise gradient exists along the structural-confidence axis (Section 2.5).</w:t>
      </w:r>
    </w:p>
    <w:p>
      <w:pPr>
        <w:numPr>
          <w:ilvl w:val="0"/>
          <w:numId w:val="1001"/>
        </w:numPr>
      </w:pPr>
      <w:r>
        <w:t xml:space="preserve">Model disagreement as uncertainty in ML (deep ensembles [36], Bayesian approximations, active learning [37]; embedding-level uncertainty for single protein language models [24]). We confirm a weak uncertainty signal in DMS (Section 2.6) but show it is domain-specific (Section 2.7) and, more importantly, that disagreement carries a reproducible biological structure (Sections 2.2-2.5) that generic uncertainty theory neither predicts nor explains.</w:t>
      </w:r>
    </w:p>
    <w:p>
      <w:pPr>
        <w:numPr>
          <w:ilvl w:val="0"/>
          <w:numId w:val="1001"/>
        </w:numPr>
      </w:pPr>
      <w:r>
        <w:t xml:space="preserve">The ProteinGym benchmark [20] reports average per-model performance. Our analysis is not a benchmark: the 40-model panel is used as an instrument to derive landscape-level observables – assay-level correlations, residue-level associations, variant-level regimes and protein-level clinical transfer – with the primary structural-confidence analysis performed at residue level. We additionally surface a methodological caveat absent from benchmark practice: the disagreement scale (u vs z) changes the disagreement-error association ~4.5x, so future disagreement analyses must pre-specify their scale.</w:t>
      </w:r>
    </w:p>
    <w:p>
      <w:pPr>
        <w:numPr>
          <w:ilvl w:val="0"/>
          <w:numId w:val="1001"/>
        </w:numPr>
      </w:pPr>
      <w:r>
        <w:t xml:space="preserve">Predictor-versus-experiment discordance. Livesey and Marsh [23] dissect where and why individual variant effect predictors disagree with multiplexed assays of human proteins, showing that discordance is systematic rather than random – shaped by burial, bulky hydrophobic positions, disorder and assay mechanism. That question is predictor-versus-experiment; ours is disagreement internal to the computational model ecosystem itself (model family versus model family), asked across 217 assays and 40 predictors and tied to a structural-confidence axis the predictors share but do not report. The two framings are complementary and neither subsumes the other.</w:t>
      </w:r>
    </w:p>
    <w:bookmarkEnd w:id="21"/>
    <w:bookmarkStart w:id="22" w:name="Xc151c6417ae88dfc5f27dba2705feff3edce726"/>
    <w:p>
      <w:pPr>
        <w:pStyle w:val="Heading3"/>
      </w:pPr>
      <w:r>
        <w:t xml:space="preserve">3.1 Disagreement as a probe of prediction-space divergence</w:t>
      </w:r>
    </w:p>
    <w:p>
      <w:pPr>
        <w:pStyle w:val="FirstParagraph"/>
      </w:pPr>
      <w:r>
        <w:t xml:space="preserve">The central observation is that evolution-vs-structure disagreement accumulates where AlphaFold confidence is low. Mechanistically, this is what one would expect if the constraints encoded by confidently folded structures and the constraints encoded by evolutionary sequence statistics become partially decoupled in flexible, poorly constrained and conformationally heterogeneous regions [27,28,38]. We deliberately state this as a plausible biological interpretation rather than a demonstrated mechanism: pLDDT is a model confidence, not an experimental stability measurement, and structure-conditioned model scores reflect residue/sequence compatibility with a given backbone, not free energy of folding.</w:t>
      </w:r>
    </w:p>
    <w:p>
      <w:pPr>
        <w:pStyle w:val="BodyText"/>
      </w:pPr>
      <w:r>
        <w:t xml:space="preserve">Two caveats bound the interpretation. First, the structure-conditioned models and the confidence metric share AlphaFold structures as input. The external controls of Section 2.2 argue against a simple input-quality explanation - experimental structures do not rescue (they hurt) low-confidence assays for ESM-IF1, and a structure-conditioned model with a distinct joint sequence-structure architecture reproduces the trend - but these controls are assay-level or single-model, and a full variant-level experimental-structure re-scoring [39,25] remains the decisive test and the primary limitation. Throughout,</w:t>
      </w:r>
      <w:r>
        <w:t xml:space="preserve"> </w:t>
      </w:r>
      <w:r>
        <w:t xml:space="preserve">“structural constraints”</w:t>
      </w:r>
      <w:r>
        <w:t xml:space="preserve"> </w:t>
      </w:r>
      <w:r>
        <w:t xml:space="preserve">should be read as</w:t>
      </w:r>
      <w:r>
        <w:t xml:space="preserve"> </w:t>
      </w:r>
      <w:r>
        <w:t xml:space="preserve">“constraints encoded by the evaluated structure-conditioned models”</w:t>
      </w:r>
      <w:r>
        <w:t xml:space="preserve">.</w:t>
      </w:r>
    </w:p>
    <w:p>
      <w:pPr>
        <w:pStyle w:val="BodyText"/>
      </w:pPr>
      <w:r>
        <w:t xml:space="preserve">Second, the interpretation is supported by three complementary lines of evidence rather than by any single statistic: (i) the residue-level disagreement-pLDDT gradient, small but consistent, robust across four disagreement definitions and to multivariable adjustment; (ii) the IDR-specific loss of relative predictive advantage of single-sequence models, replicated against curated disorder; and (iii) the reproducible regime-phenotype structure, whose consensus components replicate experimentally across independent assays. Each line is individually modest; together they indicate that the divergence between evolutionarily informed and structure-conditioned model predictions tracks the AlphaFold confidence landscape of proteins.</w:t>
      </w:r>
    </w:p>
    <w:bookmarkEnd w:id="22"/>
    <w:bookmarkStart w:id="23" w:name="what-the-clinical-asymmetry-teaches"/>
    <w:p>
      <w:pPr>
        <w:pStyle w:val="Heading3"/>
      </w:pPr>
      <w:r>
        <w:t xml:space="preserve">3.2 What the clinical asymmetry teaches</w:t>
      </w:r>
    </w:p>
    <w:p>
      <w:pPr>
        <w:pStyle w:val="FirstParagraph"/>
      </w:pPr>
      <w:r>
        <w:t xml:space="preserve">The REVERSAL of the disagreement-error association in clinical data is as informative as the weak DMS association. DMS assays measure one well-defined phenotype under controlled conditions [22]; clinical labels aggregate heterogeneous phenotypes, cell types and genetic backgrounds curated across submitters [40]. The boundary condition we document – a weak disagreement-error association in full-panel fitness landscapes that vanishes under narrow panels and inverts in clinical annotation – prevents mechanical misapplication of disagreement-based confidence in clinical genomics: agreement of sequence and evolutionary models does not certify a variant call as reliable.</w:t>
      </w:r>
    </w:p>
    <w:bookmarkEnd w:id="23"/>
    <w:bookmarkStart w:id="24" w:name="limits-of-disagreement-based-arbitration"/>
    <w:p>
      <w:pPr>
        <w:pStyle w:val="Heading3"/>
      </w:pPr>
      <w:r>
        <w:t xml:space="preserve">3.3 Limits of disagreement-based arbitration</w:t>
      </w:r>
    </w:p>
    <w:p>
      <w:pPr>
        <w:pStyle w:val="FirstParagraph"/>
      </w:pPr>
      <w:r>
        <w:t xml:space="preserve">The reproducible structure of disagreement is statistically consistent but per-variant weak; the constrained convex-mixture gate cannot convert it into better DMS point predictions (Section 2.8). Clinical transfer is modest: the two-expert gate achieved 0.944 versus 0.972 for the five-model rank-averaged uniform on the full gate-complete set (no gain), and 0.932 versus 0.867 for its matched two-family-centroid baseline on the strict non-overlapping subset (a gain only over the matched baseline); the best single model remained superior (0.967 full; 0.974 strict). These results position the gated ensemble as a supporting, exploratory component rather than a predictive contribution.</w:t>
      </w:r>
    </w:p>
    <w:bookmarkEnd w:id="24"/>
    <w:bookmarkEnd w:id="25"/>
    <w:bookmarkStart w:id="32" w:name="methods"/>
    <w:p>
      <w:pPr>
        <w:pStyle w:val="Heading2"/>
      </w:pPr>
      <w:r>
        <w:t xml:space="preserve">4. Methods</w:t>
      </w:r>
    </w:p>
    <w:bookmarkStart w:id="26" w:name="data"/>
    <w:p>
      <w:pPr>
        <w:pStyle w:val="Heading3"/>
      </w:pPr>
      <w:r>
        <w:t xml:space="preserve">4.1 Data</w:t>
      </w:r>
    </w:p>
    <w:p>
      <w:pPr>
        <w:pStyle w:val="FirstParagraph"/>
      </w:pPr>
      <w:r>
        <w:t xml:space="preserve">ProteinGym v1.3 [20] (DOI 10.5281/zenodo.15293562): 217 DMS substitution assays (~2.7M variants), precomputed zero-shot scores for 95 released models, the clinical substitution benchmark (2,525 proteins, ~63K variants) with its zero-shot scores, and AlphaFold2 structures [41,42] for assay proteins (197 PDB files covering all 217 assays). Primary set: single amino-acid substitutions (regex</w:t>
      </w:r>
      <w:r>
        <w:t xml:space="preserve"> </w:t>
      </w:r>
      <w:r>
        <w:rPr>
          <w:rStyle w:val="VerbatimChar"/>
        </w:rPr>
        <w:t xml:space="preserve">^[A-Z][0-9]+[A-Z]$</w:t>
      </w:r>
      <w:r>
        <w:t xml:space="preserve">) whose wild-type residue matches the assay target sequence (0 mismatches): 696,311 variants across 186 proteins (multiple assays can share one protein). Two of the 217 assays contained fewer than 50 qualifying mutations and were excluded only from the pairwise model-correlation analysis (Section 2.1); all 217 assays enter the primary disagreement analyses.</w:t>
      </w:r>
    </w:p>
    <w:bookmarkEnd w:id="26"/>
    <w:bookmarkStart w:id="27" w:name="model-panels-and-score-orientation"/>
    <w:p>
      <w:pPr>
        <w:pStyle w:val="Heading3"/>
      </w:pPr>
      <w:r>
        <w:t xml:space="preserve">4.2 Model panels and score orientation</w:t>
      </w:r>
    </w:p>
    <w:p>
      <w:pPr>
        <w:pStyle w:val="FirstParagraph"/>
      </w:pPr>
      <w:r>
        <w:t xml:space="preserve">Official model metadata (family, directionality) from the ProteinGym config.json. Released score files carry directionality already applied (higher = higher fitness); the direction table is recorded with evidence labels. Post hoc DMS correlations (all 95 models positive; median 0.427) were used only as a sanity check and never to determine orientation.</w:t>
      </w:r>
    </w:p>
    <w:p>
      <w:pPr>
        <w:pStyle w:val="BodyText"/>
      </w:pPr>
      <w:r>
        <w:t xml:space="preserve">Two panels serve different purposes. (a) The 40-model core panel (one representative per architecture, including GEMME [1], EVE [2], DeepSequence [3], MSA-Transformer [43], Tranception and TranceptEVE [44], ESM-1v [5], ESM-2 [7], ESM-IF1 [12], ProteinMPNN [13], SaProt [14], MIF/MIF-ST [15]) quantifies total disagreement, PCA and pairwise model analysis; it spans four official families (evolution 12, single-seq 14, structure 3, hybrid 11). (b) The three-family mechanistic panel (evolution, single-sequence, structure) is used for all modality-attributable analyses (family centroids, regimes, advantage); hybrid models were included in (a) but excluded from (b) because their scores cannot be uniquely attributed to sequence-, evolutionary- or structure-derived constraints. All family-level conclusions were re-verified with a strict 8-model architecture panel and 1,000 resamplings of the evolutionary and sequence families (structure family fixed by availability; Section 2.2).</w:t>
      </w:r>
    </w:p>
    <w:p>
      <w:pPr>
        <w:pStyle w:val="BodyText"/>
      </w:pPr>
      <w:r>
        <w:t xml:space="preserve">Score coverage and missingness. All 696,311 retained variants had complete scores from all 40 core models and all three mechanistic families after the panel coverage filter; no imputation was required. Table S6 lists, for every core model, its architecture, input modalities (MSA/sequence/structure), whether its structure input is AlphaFold-derived, and mechanistic-panel membership. Held-out regime protocol: 5-fold GroupKFold by UniProt; GMMs fitted on training proteins only; held-out variants assigned to frozen centroids; phenotype-profile agreement scored per held-out protein (Table S8).</w:t>
      </w:r>
    </w:p>
    <w:bookmarkEnd w:id="27"/>
    <w:bookmarkStart w:id="28" w:name="Xc6b230d34b5d46ee474e0567e0e726ace89b0f2"/>
    <w:p>
      <w:pPr>
        <w:pStyle w:val="Heading3"/>
      </w:pPr>
      <w:r>
        <w:t xml:space="preserve">4.3 Normalization, disagreement scale and definitions</w:t>
      </w:r>
    </w:p>
    <w:p>
      <w:pPr>
        <w:pStyle w:val="FirstParagraph"/>
      </w:pPr>
      <w:r>
        <w:t xml:space="preserve">Per assay and per model: percentile rank -&gt; u (deleterosity orientation; u = 1 - rank since higher released score = fitness) -&gt; z = Phi^-1(clip(u, 0.001, 0.999)). Y = 1 - rank(DMS_score) within assay (higher Y = more damaged; Y on the 0-1 scale).</w:t>
      </w:r>
    </w:p>
    <w:p>
      <w:pPr>
        <w:pStyle w:val="BodyText"/>
      </w:pPr>
      <w:r>
        <w:t xml:space="preserve">Two family-centroid spaces are used for distinct purposes:</w:t>
      </w:r>
    </w:p>
    <w:p>
      <w:pPr>
        <w:pStyle w:val="BodyText"/>
      </w:pPr>
      <m:oMathPara>
        <m:oMathParaPr>
          <m:jc m:val="center"/>
        </m:oMathParaPr>
        <m:oMath>
          <m:sSub>
            <m:e>
              <m:r>
                <m:t>Z</m:t>
              </m:r>
            </m:e>
            <m:sub>
              <m:r>
                <m:rPr>
                  <m:sty m:val="p"/>
                </m:rPr>
                <m:t>f</m:t>
              </m:r>
              <m:r>
                <m:rPr>
                  <m:sty m:val="p"/>
                </m:rPr>
                <m:t>a</m:t>
              </m:r>
              <m:r>
                <m:rPr>
                  <m:sty m:val="p"/>
                </m:rPr>
                <m:t>m</m:t>
              </m:r>
              <m:r>
                <m:rPr>
                  <m:sty m:val="p"/>
                </m:rPr>
                <m:t>,</m:t>
              </m:r>
              <m:r>
                <m:t>i</m:t>
              </m:r>
            </m:sub>
          </m:sSub>
          <m:r>
            <m:rPr>
              <m:sty m:val="p"/>
            </m:rPr>
            <m:t>=</m:t>
          </m:r>
          <m:f>
            <m:fPr>
              <m:type m:val="bar"/>
            </m:fPr>
            <m:num>
              <m:r>
                <m:t>1</m:t>
              </m:r>
            </m:num>
            <m:den>
              <m:r>
                <m:rPr>
                  <m:sty m:val="p"/>
                </m:rPr>
                <m:t>|</m:t>
              </m:r>
              <m:r>
                <m:t>F</m:t>
              </m:r>
              <m:r>
                <m:rPr>
                  <m:sty m:val="p"/>
                </m:rPr>
                <m:t>|</m:t>
              </m:r>
            </m:den>
          </m:f>
          <m:nary>
            <m:naryPr>
              <m:chr m:val="∑"/>
              <m:limLoc m:val="undOvr"/>
              <m:subHide m:val="off"/>
              <m:supHide m:val="on"/>
            </m:naryPr>
            <m:sub>
              <m:r>
                <m:t>m</m:t>
              </m:r>
              <m:r>
                <m:rPr>
                  <m:sty m:val="p"/>
                </m:rPr>
                <m:t>∈</m:t>
              </m:r>
              <m:r>
                <m:t>F</m:t>
              </m:r>
            </m:sub>
            <m:sup>
              <m:r>
                <m:t>​</m:t>
              </m:r>
            </m:sup>
            <m:e>
              <m:sSub>
                <m:e>
                  <m:r>
                    <m:t>z</m:t>
                  </m:r>
                </m:e>
                <m:sub>
                  <m:r>
                    <m:t>i</m:t>
                  </m:r>
                  <m:r>
                    <m:t>m</m:t>
                  </m:r>
                </m:sub>
              </m:sSub>
            </m:e>
          </m:nary>
        </m:oMath>
      </m:oMathPara>
    </w:p>
    <w:p>
      <w:pPr>
        <w:pStyle w:val="FirstParagraph"/>
      </w:pPr>
      <m:oMathPara>
        <m:oMathParaPr>
          <m:jc m:val="center"/>
        </m:oMathParaPr>
        <m:oMath>
          <m:sSub>
            <m:e>
              <m:r>
                <m:t>U</m:t>
              </m:r>
            </m:e>
            <m:sub>
              <m:r>
                <m:rPr>
                  <m:sty m:val="p"/>
                </m:rPr>
                <m:t>f</m:t>
              </m:r>
              <m:r>
                <m:rPr>
                  <m:sty m:val="p"/>
                </m:rPr>
                <m:t>a</m:t>
              </m:r>
              <m:r>
                <m:rPr>
                  <m:sty m:val="p"/>
                </m:rPr>
                <m:t>m</m:t>
              </m:r>
              <m:r>
                <m:rPr>
                  <m:sty m:val="p"/>
                </m:rPr>
                <m:t>,</m:t>
              </m:r>
              <m:r>
                <m:t>i</m:t>
              </m:r>
            </m:sub>
          </m:sSub>
          <m:r>
            <m:rPr>
              <m:sty m:val="p"/>
            </m:rPr>
            <m:t>=</m:t>
          </m:r>
          <m:f>
            <m:fPr>
              <m:type m:val="bar"/>
            </m:fPr>
            <m:num>
              <m:r>
                <m:t>1</m:t>
              </m:r>
            </m:num>
            <m:den>
              <m:r>
                <m:rPr>
                  <m:sty m:val="p"/>
                </m:rPr>
                <m:t>|</m:t>
              </m:r>
              <m:r>
                <m:t>F</m:t>
              </m:r>
              <m:r>
                <m:rPr>
                  <m:sty m:val="p"/>
                </m:rPr>
                <m:t>|</m:t>
              </m:r>
            </m:den>
          </m:f>
          <m:nary>
            <m:naryPr>
              <m:chr m:val="∑"/>
              <m:limLoc m:val="undOvr"/>
              <m:subHide m:val="off"/>
              <m:supHide m:val="on"/>
            </m:naryPr>
            <m:sub>
              <m:r>
                <m:t>m</m:t>
              </m:r>
              <m:r>
                <m:rPr>
                  <m:sty m:val="p"/>
                </m:rPr>
                <m:t>∈</m:t>
              </m:r>
              <m:r>
                <m:t>F</m:t>
              </m:r>
            </m:sub>
            <m:sup>
              <m:r>
                <m:t>​</m:t>
              </m:r>
            </m:sup>
            <m:e>
              <m:sSub>
                <m:e>
                  <m:r>
                    <m:t>u</m:t>
                  </m:r>
                </m:e>
                <m:sub>
                  <m:r>
                    <m:t>i</m:t>
                  </m:r>
                  <m:r>
                    <m:t>m</m:t>
                  </m:r>
                </m:sub>
              </m:sSub>
            </m:e>
          </m:nary>
        </m:oMath>
      </m:oMathPara>
    </w:p>
    <w:p>
      <w:pPr>
        <w:pStyle w:val="FirstParagraph"/>
      </w:pPr>
      <w:r>
        <w:t xml:space="preserve">All accuracy comparisons and predictions (family ensembles, errors, gating)</w:t>
      </w:r>
      <w:r>
        <w:t xml:space="preserve"> </w:t>
      </w:r>
      <w:r>
        <w:t xml:space="preserve">are therefore computed in the percentile space, so that predictions and</w:t>
      </w:r>
      <w:r>
        <w:t xml:space="preserve"> </w:t>
      </w:r>
      <w:r>
        <w:t xml:space="preserve">outcomes share the same 0-1 scale.</w:t>
      </w:r>
    </w:p>
    <w:p>
      <w:pPr>
        <w:pStyle w:val="BodyText"/>
      </w:pPr>
      <w:r>
        <w:t xml:space="preserve">Primary quantities (explicit definitions):</w:t>
      </w:r>
    </w:p>
    <w:p>
      <w:pPr>
        <w:pStyle w:val="BodyText"/>
      </w:pPr>
      <m:oMathPara>
        <m:oMathParaPr>
          <m:jc m:val="center"/>
        </m:oMathParaPr>
        <m:oMath>
          <m:sSub>
            <m:e>
              <m:r>
                <m:t>D</m:t>
              </m:r>
            </m:e>
            <m:sub>
              <m:r>
                <m:rPr>
                  <m:sty m:val="p"/>
                </m:rPr>
                <m:t>s</m:t>
              </m:r>
              <m:r>
                <m:rPr>
                  <m:sty m:val="p"/>
                </m:rPr>
                <m:t>t</m:t>
              </m:r>
              <m:r>
                <m:rPr>
                  <m:sty m:val="p"/>
                </m:rPr>
                <m:t>d</m:t>
              </m:r>
              <m:r>
                <m:rPr>
                  <m:sty m:val="p"/>
                </m:rPr>
                <m:t>,</m:t>
              </m:r>
              <m:r>
                <m:t>i</m:t>
              </m:r>
            </m:sub>
          </m:sSub>
          <m:r>
            <m:rPr>
              <m:sty m:val="p"/>
            </m:rPr>
            <m:t>=</m:t>
          </m:r>
          <m:rad>
            <m:radPr>
              <m:degHide m:val="on"/>
            </m:radPr>
            <m:deg/>
            <m:e>
              <m:f>
                <m:fPr>
                  <m:type m:val="bar"/>
                </m:fPr>
                <m:num>
                  <m:r>
                    <m:t>1</m:t>
                  </m:r>
                </m:num>
                <m:den>
                  <m:r>
                    <m:t>M</m:t>
                  </m:r>
                </m:den>
              </m:f>
              <m:nary>
                <m:naryPr>
                  <m:chr m:val="∑"/>
                  <m:limLoc m:val="undOvr"/>
                  <m:subHide m:val="off"/>
                  <m:supHide m:val="on"/>
                </m:naryPr>
                <m:sub>
                  <m:r>
                    <m:t>m</m:t>
                  </m:r>
                </m:sub>
                <m:sup>
                  <m:r>
                    <m:t>​</m:t>
                  </m:r>
                </m:sup>
                <m:e>
                  <m:r>
                    <m:rPr>
                      <m:sty m:val="p"/>
                    </m:rPr>
                    <m:t>|</m:t>
                  </m:r>
                </m:e>
              </m:nary>
              <m:sSub>
                <m:e>
                  <m:r>
                    <m:t>z</m:t>
                  </m:r>
                </m:e>
                <m:sub>
                  <m:r>
                    <m:t>i</m:t>
                  </m:r>
                  <m:r>
                    <m:t>m</m:t>
                  </m:r>
                </m:sub>
              </m:sSub>
              <m:r>
                <m:rPr>
                  <m:sty m:val="p"/>
                </m:rPr>
                <m:t>−</m:t>
              </m:r>
              <m:sSub>
                <m:e>
                  <m:acc>
                    <m:accPr>
                      <m:chr m:val="‾"/>
                    </m:accPr>
                    <m:e>
                      <m:r>
                        <m:t>z</m:t>
                      </m:r>
                    </m:e>
                  </m:acc>
                </m:e>
                <m:sub>
                  <m:r>
                    <m:t>i</m:t>
                  </m:r>
                </m:sub>
              </m:sSub>
              <m:sSup>
                <m:e>
                  <m:r>
                    <m:rPr>
                      <m:sty m:val="p"/>
                    </m:rPr>
                    <m:t>|</m:t>
                  </m:r>
                </m:e>
                <m:sup>
                  <m:r>
                    <m:t>2</m:t>
                  </m:r>
                </m:sup>
              </m:sSup>
            </m:e>
          </m:rad>
        </m:oMath>
      </m:oMathPara>
    </w:p>
    <w:p>
      <w:pPr>
        <w:pStyle w:val="FirstParagraph"/>
      </w:pPr>
      <m:oMathPara>
        <m:oMathParaPr>
          <m:jc m:val="center"/>
        </m:oMathParaPr>
        <m:oMath>
          <m:sSub>
            <m:e>
              <m:r>
                <m:t>D</m:t>
              </m:r>
            </m:e>
            <m:sub>
              <m:r>
                <m:rPr>
                  <m:sty m:val="p"/>
                </m:rPr>
                <m:t>M</m:t>
              </m:r>
              <m:r>
                <m:rPr>
                  <m:sty m:val="p"/>
                </m:rPr>
                <m:t>A</m:t>
              </m:r>
              <m:r>
                <m:rPr>
                  <m:sty m:val="p"/>
                </m:rPr>
                <m:t>D</m:t>
              </m:r>
              <m:r>
                <m:rPr>
                  <m:sty m:val="p"/>
                </m:rPr>
                <m:t>,</m:t>
              </m:r>
              <m:r>
                <m:t>i</m:t>
              </m:r>
            </m:sub>
          </m:sSub>
          <m:r>
            <m:rPr>
              <m:sty m:val="p"/>
            </m:rPr>
            <m:t>=</m:t>
          </m:r>
          <m:sSub>
            <m:e>
              <m:r>
                <m:rPr>
                  <m:sty m:val="p"/>
                </m:rPr>
                <m:t>m</m:t>
              </m:r>
              <m:r>
                <m:rPr>
                  <m:sty m:val="p"/>
                </m:rPr>
                <m:t>e</m:t>
              </m:r>
              <m:r>
                <m:rPr>
                  <m:sty m:val="p"/>
                </m:rPr>
                <m:t>d</m:t>
              </m:r>
              <m:r>
                <m:rPr>
                  <m:sty m:val="p"/>
                </m:rPr>
                <m:t>i</m:t>
              </m:r>
              <m:r>
                <m:rPr>
                  <m:sty m:val="p"/>
                </m:rPr>
                <m:t>a</m:t>
              </m:r>
              <m:r>
                <m:rPr>
                  <m:sty m:val="p"/>
                </m:rPr>
                <m:t>n</m:t>
              </m:r>
            </m:e>
            <m:sub>
              <m:r>
                <m:t>m</m:t>
              </m:r>
            </m:sub>
          </m:sSub>
          <m:r>
            <m:t> </m:t>
          </m:r>
          <m:r>
            <m:rPr>
              <m:sty m:val="p"/>
            </m:rPr>
            <m:t>|</m:t>
          </m:r>
          <m:sSub>
            <m:e>
              <m:r>
                <m:t>z</m:t>
              </m:r>
            </m:e>
            <m:sub>
              <m:r>
                <m:t>i</m:t>
              </m:r>
              <m:r>
                <m:t>m</m:t>
              </m:r>
            </m:sub>
          </m:sSub>
          <m:r>
            <m:rPr>
              <m:sty m:val="p"/>
            </m:rPr>
            <m:t>−</m:t>
          </m:r>
          <m:sSub>
            <m:e>
              <m:r>
                <m:rPr>
                  <m:sty m:val="p"/>
                </m:rPr>
                <m:t>m</m:t>
              </m:r>
              <m:r>
                <m:rPr>
                  <m:sty m:val="p"/>
                </m:rPr>
                <m:t>e</m:t>
              </m:r>
              <m:r>
                <m:rPr>
                  <m:sty m:val="p"/>
                </m:rPr>
                <m:t>d</m:t>
              </m:r>
              <m:r>
                <m:rPr>
                  <m:sty m:val="p"/>
                </m:rPr>
                <m:t>i</m:t>
              </m:r>
              <m:r>
                <m:rPr>
                  <m:sty m:val="p"/>
                </m:rPr>
                <m:t>a</m:t>
              </m:r>
              <m:r>
                <m:rPr>
                  <m:sty m:val="p"/>
                </m:rPr>
                <m:t>n</m:t>
              </m:r>
            </m:e>
            <m:sub>
              <m:r>
                <m:t>m</m:t>
              </m:r>
            </m:sub>
          </m:sSub>
          <m:r>
            <m:t> </m:t>
          </m:r>
          <m:sSub>
            <m:e>
              <m:r>
                <m:t>z</m:t>
              </m:r>
            </m:e>
            <m:sub>
              <m:r>
                <m:t>i</m:t>
              </m:r>
              <m:r>
                <m:t>m</m:t>
              </m:r>
            </m:sub>
          </m:sSub>
          <m:r>
            <m:rPr>
              <m:sty m:val="p"/>
            </m:rPr>
            <m:t>|</m:t>
          </m:r>
        </m:oMath>
      </m:oMathPara>
    </w:p>
    <w:p>
      <w:pPr>
        <w:pStyle w:val="FirstParagraph"/>
      </w:pPr>
      <m:oMathPara>
        <m:oMathParaPr>
          <m:jc m:val="center"/>
        </m:oMathParaPr>
        <m:oMath>
          <m:sSub>
            <m:e>
              <m:r>
                <m:t>D</m:t>
              </m:r>
            </m:e>
            <m:sub>
              <m:r>
                <m:rPr>
                  <m:sty m:val="p"/>
                </m:rPr>
                <m:t>u</m:t>
              </m:r>
              <m:r>
                <m:rPr>
                  <m:sty m:val="p"/>
                </m:rPr>
                <m:t>,</m:t>
              </m:r>
              <m:r>
                <m:t>i</m:t>
              </m:r>
            </m:sub>
          </m:sSub>
          <m:r>
            <m:rPr>
              <m:sty m:val="p"/>
            </m:rPr>
            <m:t>=</m:t>
          </m:r>
          <m:sSub>
            <m:e>
              <m:r>
                <m:rPr>
                  <m:sty m:val="p"/>
                </m:rPr>
                <m:t>S</m:t>
              </m:r>
              <m:r>
                <m:rPr>
                  <m:sty m:val="p"/>
                </m:rPr>
                <m:t>D</m:t>
              </m:r>
            </m:e>
            <m:sub>
              <m:r>
                <m:t>m</m:t>
              </m:r>
            </m:sub>
          </m:sSub>
          <m:r>
            <m:t>​</m:t>
          </m:r>
          <m:d>
            <m:dPr>
              <m:begChr m:val="("/>
              <m:sepChr m:val=""/>
              <m:endChr m:val=")"/>
              <m:grow/>
            </m:dPr>
            <m:e>
              <m:sSub>
                <m:e>
                  <m:r>
                    <m:t>u</m:t>
                  </m:r>
                </m:e>
                <m:sub>
                  <m:r>
                    <m:t>i</m:t>
                  </m:r>
                  <m:r>
                    <m:t>m</m:t>
                  </m:r>
                </m:sub>
              </m:sSub>
            </m:e>
          </m:d>
        </m:oMath>
      </m:oMathPara>
    </w:p>
    <w:p>
      <w:pPr>
        <w:pStyle w:val="FirstParagraph"/>
      </w:pPr>
      <m:oMathPara>
        <m:oMathParaPr>
          <m:jc m:val="center"/>
        </m:oMathParaPr>
        <m:oMath>
          <m:sSub>
            <m:e>
              <m:r>
                <m:t>D</m:t>
              </m:r>
            </m:e>
            <m:sub>
              <m:r>
                <m:rPr>
                  <m:sty m:val="p"/>
                </m:rPr>
                <m:t>p</m:t>
              </m:r>
              <m:r>
                <m:rPr>
                  <m:sty m:val="p"/>
                </m:rPr>
                <m:t>a</m:t>
              </m:r>
              <m:r>
                <m:rPr>
                  <m:sty m:val="p"/>
                </m:rPr>
                <m:t>i</m:t>
              </m:r>
              <m:r>
                <m:rPr>
                  <m:sty m:val="p"/>
                </m:rPr>
                <m:t>r</m:t>
              </m:r>
              <m:r>
                <m:rPr>
                  <m:sty m:val="p"/>
                </m:rPr>
                <m:t>,</m:t>
              </m:r>
              <m:r>
                <m:t>i</m:t>
              </m:r>
            </m:sub>
          </m:sSub>
          <m:r>
            <m:rPr>
              <m:sty m:val="p"/>
            </m:rPr>
            <m:t>=</m:t>
          </m:r>
          <m:f>
            <m:fPr>
              <m:type m:val="bar"/>
            </m:fPr>
            <m:num>
              <m:r>
                <m:t>2</m:t>
              </m:r>
            </m:num>
            <m:den>
              <m:r>
                <m:t>M</m:t>
              </m:r>
              <m:r>
                <m:rPr>
                  <m:sty m:val="p"/>
                </m:rPr>
                <m:t>(</m:t>
              </m:r>
              <m:r>
                <m:t>M</m:t>
              </m:r>
              <m:r>
                <m:rPr>
                  <m:sty m:val="p"/>
                </m:rPr>
                <m:t>−</m:t>
              </m:r>
              <m:r>
                <m:t>1</m:t>
              </m:r>
              <m:r>
                <m:rPr>
                  <m:sty m:val="p"/>
                </m:rPr>
                <m:t>)</m:t>
              </m:r>
            </m:den>
          </m:f>
          <m:nary>
            <m:naryPr>
              <m:chr m:val="∑"/>
              <m:limLoc m:val="undOvr"/>
              <m:subHide m:val="off"/>
              <m:supHide m:val="on"/>
            </m:naryPr>
            <m:sub>
              <m:r>
                <m:t>m</m:t>
              </m:r>
              <m:r>
                <m:rPr>
                  <m:sty m:val="p"/>
                </m:rPr>
                <m:t>&lt;</m:t>
              </m:r>
              <m:r>
                <m:t>k</m:t>
              </m:r>
            </m:sub>
            <m:sup>
              <m:r>
                <m:t>​</m:t>
              </m:r>
            </m:sup>
            <m:e>
              <m:r>
                <m:rPr>
                  <m:sty m:val="p"/>
                </m:rPr>
                <m:t>|</m:t>
              </m:r>
            </m:e>
          </m:nary>
          <m:sSub>
            <m:e>
              <m:r>
                <m:t>z</m:t>
              </m:r>
            </m:e>
            <m:sub>
              <m:r>
                <m:t>i</m:t>
              </m:r>
              <m:r>
                <m:t>m</m:t>
              </m:r>
            </m:sub>
          </m:sSub>
          <m:r>
            <m:rPr>
              <m:sty m:val="p"/>
            </m:rPr>
            <m:t>−</m:t>
          </m:r>
          <m:sSub>
            <m:e>
              <m:r>
                <m:t>z</m:t>
              </m:r>
            </m:e>
            <m:sub>
              <m:r>
                <m:t>i</m:t>
              </m:r>
              <m:r>
                <m:t>k</m:t>
              </m:r>
            </m:sub>
          </m:sSub>
          <m:r>
            <m:rPr>
              <m:sty m:val="p"/>
            </m:rPr>
            <m:t>|</m:t>
          </m:r>
        </m:oMath>
      </m:oMathPara>
    </w:p>
    <w:p>
      <w:pPr>
        <w:pStyle w:val="FirstParagraph"/>
      </w:pPr>
      <m:oMathPara>
        <m:oMathParaPr>
          <m:jc m:val="center"/>
        </m:oMathParaPr>
        <m:oMath>
          <m:sSub>
            <m:e>
              <m:r>
                <m:t>D</m:t>
              </m:r>
            </m:e>
            <m:sub>
              <m:r>
                <m:rPr>
                  <m:sty m:val="p"/>
                </m:rPr>
                <m:t>e</m:t>
              </m:r>
              <m:r>
                <m:rPr>
                  <m:sty m:val="p"/>
                </m:rPr>
                <m:t>v</m:t>
              </m:r>
              <m:r>
                <m:rPr>
                  <m:sty m:val="p"/>
                </m:rPr>
                <m:t>o</m:t>
              </m:r>
              <m:r>
                <m:rPr>
                  <m:nor/>
                  <m:sty m:val="p"/>
                </m:rPr>
                <m:t>-</m:t>
              </m:r>
              <m:r>
                <m:rPr>
                  <m:sty m:val="p"/>
                </m:rPr>
                <m:t>s</m:t>
              </m:r>
              <m:r>
                <m:rPr>
                  <m:sty m:val="p"/>
                </m:rPr>
                <m:t>t</m:t>
              </m:r>
              <m:r>
                <m:rPr>
                  <m:sty m:val="p"/>
                </m:rPr>
                <m:t>r</m:t>
              </m:r>
              <m:r>
                <m:rPr>
                  <m:sty m:val="p"/>
                </m:rPr>
                <m:t>u</m:t>
              </m:r>
              <m:r>
                <m:rPr>
                  <m:sty m:val="p"/>
                </m:rPr>
                <m:t>c</m:t>
              </m:r>
              <m:r>
                <m:rPr>
                  <m:sty m:val="p"/>
                </m:rPr>
                <m:t>t</m:t>
              </m:r>
              <m:r>
                <m:rPr>
                  <m:sty m:val="p"/>
                </m:rPr>
                <m:t>,</m:t>
              </m:r>
              <m:r>
                <m:t>i</m:t>
              </m:r>
            </m:sub>
          </m:sSub>
          <m:r>
            <m:rPr>
              <m:sty m:val="p"/>
            </m:rPr>
            <m:t>=</m:t>
          </m:r>
          <m:r>
            <m:rPr>
              <m:sty m:val="p"/>
            </m:rPr>
            <m:t>|</m:t>
          </m:r>
          <m:sSub>
            <m:e>
              <m:r>
                <m:t>U</m:t>
              </m:r>
            </m:e>
            <m:sub>
              <m:r>
                <m:rPr>
                  <m:sty m:val="p"/>
                </m:rPr>
                <m:t>e</m:t>
              </m:r>
              <m:r>
                <m:rPr>
                  <m:sty m:val="p"/>
                </m:rPr>
                <m:t>v</m:t>
              </m:r>
              <m:r>
                <m:rPr>
                  <m:sty m:val="p"/>
                </m:rPr>
                <m:t>o</m:t>
              </m:r>
              <m:r>
                <m:rPr>
                  <m:sty m:val="p"/>
                </m:rPr>
                <m:t>l</m:t>
              </m:r>
              <m:r>
                <m:rPr>
                  <m:sty m:val="p"/>
                </m:rPr>
                <m:t>u</m:t>
              </m:r>
              <m:r>
                <m:rPr>
                  <m:sty m:val="p"/>
                </m:rPr>
                <m:t>t</m:t>
              </m:r>
              <m:r>
                <m:rPr>
                  <m:sty m:val="p"/>
                </m:rPr>
                <m:t>i</m:t>
              </m:r>
              <m:r>
                <m:rPr>
                  <m:sty m:val="p"/>
                </m:rPr>
                <m:t>o</m:t>
              </m:r>
              <m:r>
                <m:rPr>
                  <m:sty m:val="p"/>
                </m:rPr>
                <m:t>n</m:t>
              </m:r>
              <m:r>
                <m:rPr>
                  <m:sty m:val="p"/>
                </m:rPr>
                <m:t>,</m:t>
              </m:r>
              <m:r>
                <m:t>i</m:t>
              </m:r>
            </m:sub>
          </m:sSub>
          <m:r>
            <m:rPr>
              <m:sty m:val="p"/>
            </m:rPr>
            <m:t>−</m:t>
          </m:r>
          <m:sSub>
            <m:e>
              <m:r>
                <m:t>U</m:t>
              </m:r>
            </m:e>
            <m:sub>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r>
                <m:rPr>
                  <m:sty m:val="p"/>
                </m:rPr>
                <m:t>,</m:t>
              </m:r>
              <m:r>
                <m:t>i</m:t>
              </m:r>
            </m:sub>
          </m:sSub>
          <m:r>
            <m:rPr>
              <m:sty m:val="p"/>
            </m:rPr>
            <m:t>|</m:t>
          </m:r>
        </m:oMath>
      </m:oMathPara>
    </w:p>
    <w:p>
      <w:pPr>
        <w:pStyle w:val="FirstParagraph"/>
      </w:pPr>
      <m:oMathPara>
        <m:oMathParaPr>
          <m:jc m:val="center"/>
        </m:oMathParaPr>
        <m:oMath>
          <m:sSub>
            <m:e>
              <m:r>
                <m:t>S</m:t>
              </m:r>
            </m:e>
            <m:sub>
              <m:r>
                <m:rPr>
                  <m:sty m:val="p"/>
                </m:rPr>
                <m:t>e</m:t>
              </m:r>
              <m:r>
                <m:rPr>
                  <m:sty m:val="p"/>
                </m:rPr>
                <m:t>n</m:t>
              </m:r>
              <m:r>
                <m:rPr>
                  <m:sty m:val="p"/>
                </m:rPr>
                <m:t>s</m:t>
              </m:r>
              <m:r>
                <m:rPr>
                  <m:sty m:val="p"/>
                </m:rPr>
                <m:t>,</m:t>
              </m:r>
              <m:r>
                <m:t>i</m:t>
              </m:r>
            </m:sub>
          </m:sSub>
          <m:r>
            <m:rPr>
              <m:sty m:val="p"/>
            </m:rPr>
            <m:t>=</m:t>
          </m:r>
          <m:f>
            <m:fPr>
              <m:type m:val="bar"/>
            </m:fPr>
            <m:num>
              <m:r>
                <m:t>1</m:t>
              </m:r>
            </m:num>
            <m:den>
              <m:r>
                <m:t>3</m:t>
              </m:r>
            </m:den>
          </m:f>
          <m:nary>
            <m:naryPr>
              <m:chr m:val="∑"/>
              <m:limLoc m:val="undOvr"/>
              <m:subHide m:val="off"/>
              <m:supHide m:val="on"/>
            </m:naryPr>
            <m:sub>
              <m:r>
                <m:t>f</m:t>
              </m:r>
            </m:sub>
            <m:sup>
              <m:r>
                <m:t>​</m:t>
              </m:r>
            </m:sup>
            <m:e>
              <m:sSub>
                <m:e>
                  <m:r>
                    <m:t>U</m:t>
                  </m:r>
                </m:e>
                <m:sub>
                  <m:r>
                    <m:t>f</m:t>
                  </m:r>
                  <m:r>
                    <m:rPr>
                      <m:sty m:val="p"/>
                    </m:rPr>
                    <m:t>,</m:t>
                  </m:r>
                  <m:r>
                    <m:t>i</m:t>
                  </m:r>
                </m:sub>
              </m:sSub>
            </m:e>
          </m:nary>
          <m:r>
            <m:rPr>
              <m:sty m:val="p"/>
            </m:rPr>
            <m:t>,</m:t>
          </m:r>
          <m:r>
            <m:t>  </m:t>
          </m:r>
          <m:sSub>
            <m:e>
              <m:r>
                <m:rPr>
                  <m:sty m:val="p"/>
                </m:rPr>
                <m:t>e</m:t>
              </m:r>
              <m:r>
                <m:rPr>
                  <m:sty m:val="p"/>
                </m:rPr>
                <m:t>r</m:t>
              </m:r>
              <m:r>
                <m:rPr>
                  <m:sty m:val="p"/>
                </m:rPr>
                <m:t>r</m:t>
              </m:r>
              <m:r>
                <m:rPr>
                  <m:sty m:val="p"/>
                </m:rPr>
                <m:t>o</m:t>
              </m:r>
              <m:r>
                <m:rPr>
                  <m:sty m:val="p"/>
                </m:rPr>
                <m:t>r</m:t>
              </m:r>
            </m:e>
            <m:sub>
              <m:r>
                <m:t>i</m:t>
              </m:r>
            </m:sub>
          </m:sSub>
          <m:r>
            <m:rPr>
              <m:sty m:val="p"/>
            </m:rPr>
            <m:t>=</m:t>
          </m:r>
          <m:r>
            <m:rPr>
              <m:sty m:val="p"/>
            </m:rPr>
            <m:t>|</m:t>
          </m:r>
          <m:sSub>
            <m:e>
              <m:r>
                <m:t>S</m:t>
              </m:r>
            </m:e>
            <m:sub>
              <m:r>
                <m:rPr>
                  <m:sty m:val="p"/>
                </m:rPr>
                <m:t>e</m:t>
              </m:r>
              <m:r>
                <m:rPr>
                  <m:sty m:val="p"/>
                </m:rPr>
                <m:t>n</m:t>
              </m:r>
              <m:r>
                <m:rPr>
                  <m:sty m:val="p"/>
                </m:rPr>
                <m:t>s</m:t>
              </m:r>
              <m:r>
                <m:rPr>
                  <m:sty m:val="p"/>
                </m:rPr>
                <m:t>,</m:t>
              </m:r>
              <m:r>
                <m:t>i</m:t>
              </m:r>
            </m:sub>
          </m:sSub>
          <m:r>
            <m:rPr>
              <m:sty m:val="p"/>
            </m:rPr>
            <m:t>−</m:t>
          </m:r>
          <m:sSub>
            <m:e>
              <m:r>
                <m:t>Y</m:t>
              </m:r>
            </m:e>
            <m:sub>
              <m:r>
                <m:t>i</m:t>
              </m:r>
            </m:sub>
          </m:sSub>
          <m:r>
            <m:rPr>
              <m:sty m:val="p"/>
            </m:rPr>
            <m:t>|</m:t>
          </m:r>
        </m:oMath>
      </m:oMathPara>
    </w:p>
    <w:p>
      <w:pPr>
        <w:pStyle w:val="FirstParagraph"/>
      </w:pPr>
      <w:r>
        <w:t xml:space="preserve">Four disagreement definitions are used (D_std, D_u, D_MAD, D_pair); a fifth</w:t>
      </w:r>
      <w:r>
        <w:t xml:space="preserve"> </w:t>
      </w:r>
      <w:r>
        <w:t xml:space="preserve">candidate (variance of per-variant ranks) is mathematically redundant with</w:t>
      </w:r>
      <w:r>
        <w:t xml:space="preserve"> </w:t>
      </w:r>
      <w:r>
        <w:t xml:space="preserve">D_u (var(u) = SD(u)^2) and is not used. The pLDDT organization result holds</w:t>
      </w:r>
      <w:r>
        <w:t xml:space="preserve"> </w:t>
      </w:r>
      <w:r>
        <w:t xml:space="preserve">under all four (Section 2.2). Scale pre-specification for the uncertainty</w:t>
      </w:r>
      <w:r>
        <w:t xml:space="preserve"> </w:t>
      </w:r>
      <w:r>
        <w:t xml:space="preserve">analysis: holding error fixed in percentile space, u-basis disagreement</w:t>
      </w:r>
      <w:r>
        <w:t xml:space="preserve"> </w:t>
      </w:r>
      <w:r>
        <w:t xml:space="preserve">correlates with error ~4.5x more strongly than z-basis (0.145 vs 0.032)</w:t>
      </w:r>
      <w:r>
        <w:t xml:space="preserve"> </w:t>
      </w:r>
      <w:r>
        <w:t xml:space="preserve">because z stretches tails where models agree; the z scale is primary and u</w:t>
      </w:r>
      <w:r>
        <w:t xml:space="preserve"> </w:t>
      </w:r>
      <w:r>
        <w:t xml:space="preserve">reported as sensitivity (Section 2.9).</w:t>
      </w:r>
    </w:p>
    <w:bookmarkEnd w:id="28"/>
    <w:bookmarkStart w:id="29" w:name="statistics"/>
    <w:p>
      <w:pPr>
        <w:pStyle w:val="Heading3"/>
      </w:pPr>
      <w:r>
        <w:t xml:space="preserve">4.4 Statistics</w:t>
      </w:r>
    </w:p>
    <w:p>
      <w:pPr>
        <w:pStyle w:val="FirstParagraph"/>
      </w:pPr>
      <w:r>
        <w:t xml:space="preserve">Primary pLDDT analysis: residue-level Spearman per protein, aggregated by median; protein-level bootstrap (2,000) confidence intervals; one-sample Wilcoxon test; four disagreement definitions; protein-fixed-effects regression (within-protein demeaning, protein-clustered standard errors) adjusting for disorder, contact density, secondary structure, position and MSA depth (Table S2). Cross-assay summaries aggregate per-protein effects; UniProt-level cluster bootstrap (10,000) [45]. GO/NO-GO thresholds were fixed in the versioned project configuration (config.yaml) before the reported runs; the specification is versioned in the public repository rather than a registry. Within-protein permutation enrichment with Benjamini-Hochberg FDR control [46]. Regime clustering: Gaussian mixtures K = 2-8 by BIC [29]; K-robustness reported (K = 4-7, adjusted Rand index); experimental replication evaluated as regime-level Y correlation across independent assays of the same protein. BioGate: torch [47] CPU MLP gating, 5-fold GroupKFold by UniProt; baselines best family expert (the train-selected mechanistic-family centroid, here the evolution centroid), uniform ensemble, Ridge stacking, XGBoost [48] (scores-only / context-only / scores+context ablations); paired protein-level bootstrap (2,000) [45]. Clinical transfer: a separate two-expert gate (sequence + evolution, the only families in the clinical score files) was trained exclusively on DMS, frozen, and applied once to the clinical benchmark; no clinical labels were used to train, tune or select the transfer gate – the best-single baseline is a post hoc descriptive oracle comparator, re-selected within each evaluation set, that never enters the gating procedure; per-protein AUROC; strict non-overlap set defined by standard homology search (HMMER3 phmmer [30], E &lt;= 1e-3; exclusion at &gt;= 70% best-hit pairwise identity over aligned residues AND &gt;= 70% query coverage; Table S4). Clinical statistics: released scores are converted to within-protein percentile ranks (u) and z = Phi-inverse of u clipped to [0.001, 0.999]; model orientation follows the official clinical-benchmark metadata, under which the released PoET column is deleteriousness-oriented and is sign-corrected – no clinical label was used to orient any score; disagreement D = standard deviation of z across the five released zero-shot models; ensemble = rank-average of the same five; error = |ensemble - label|; misclassification = error &gt; 0.5 (equivalently, the 0.5-threshold rule on the probability-scale ensemble). All associations are computed within each protein (DMS: within assay) and summarized as medians with 10,000-resample protein/assay bootstrap CIs; AUROC positive class = misclassified, with low disagreement as the risk direction (score = -D). Software: Python ecosystem (numpy [49], scipy [50], pandas [51], scikit-learn [52], statsmodels [53], matplotlib [54]), Biopython [55], PyTorch [47], pydssp [56] (DSSP [57]); transformer architectures follow Vaswani et al. [58].</w:t>
      </w:r>
    </w:p>
    <w:bookmarkEnd w:id="29"/>
    <w:bookmarkStart w:id="30" w:name="X2ab3ba9f6da456bba9c8127980fe8d2dbe2ee31"/>
    <w:p>
      <w:pPr>
        <w:pStyle w:val="Heading3"/>
      </w:pPr>
      <w:r>
        <w:t xml:space="preserve">4.5 Structural, mechanical and disorder annotation</w:t>
      </w:r>
    </w:p>
    <w:p>
      <w:pPr>
        <w:pStyle w:val="FirstParagraph"/>
      </w:pPr>
      <w:r>
        <w:t xml:space="preserve">pLDDT from ProteinGym AlphaFold2 PDBs (B-factor, best chain; 99.0% of variants mapped; two proteins with &lt; 50% alignment flagged and excluded from pLDDT analyses). AlphaFold2 structures and confidence scores are those of Jumper et al. [41]. pydssp secondary structure (H/E/C; DSSP algorithm [57]) and CA contact density (8/10 A) from the same PDBs; burial tertiles within protein. UniProt features (active site, binding site, domain, transmembrane, modified residue, disulfide, region, motif) and curated disordered regions fetched via the UniProt REST API [59] and transferred to DMS coordinates by sequence alignment (Needleman-Wunsch global alignment, Biopython PairwiseAligner; mean per-protein coverage 0.999 and identity 0.993; 179 proteins mapped; 65,420 positions agree with the original heuristic matcher at 99.92%, and IDR mapping quality is reported per protein in mapping_quality.csv; 44,708 annotations transferred; 4,569 disordered positions across 92 proteins). The clinical benchmark labels derive from ClinVar curation [40]. Case-study proteins (TP53, BRCA1, PTEN; figure 4(b)-(d)) were selected a priori as clinically prominent proteins with dense DMS coverage (&gt;1,000 mutations each), high-quality structures, and broad pLDDT coverage; they are illustrative rather than exhaustive.</w:t>
      </w:r>
    </w:p>
    <w:bookmarkEnd w:id="30"/>
    <w:bookmarkStart w:id="31" w:name="reproducibility"/>
    <w:p>
      <w:pPr>
        <w:pStyle w:val="Heading3"/>
      </w:pPr>
      <w:r>
        <w:t xml:space="preserve">4.6 Reproducibility</w:t>
      </w:r>
    </w:p>
    <w:p>
      <w:pPr>
        <w:pStyle w:val="FirstParagraph"/>
      </w:pPr>
      <w:r>
        <w:t xml:space="preserve">Seed 2026; every figure has a machine-readable source table; all scripts log inputs/outputs/counts/runtime;</w:t>
      </w:r>
      <w:r>
        <w:t xml:space="preserve"> </w:t>
      </w:r>
      <w:r>
        <w:rPr>
          <w:rStyle w:val="VerbatimChar"/>
        </w:rPr>
        <w:t xml:space="preserve">python src/16_make_figures.py</w:t>
      </w:r>
      <w:r>
        <w:t xml:space="preserve"> </w:t>
      </w:r>
      <w:r>
        <w:t xml:space="preserve">recreates all main figures from results/.</w:t>
      </w:r>
    </w:p>
    <w:bookmarkEnd w:id="31"/>
    <w:bookmarkEnd w:id="32"/>
    <w:bookmarkStart w:id="33" w:name="conclusions"/>
    <w:p>
      <w:pPr>
        <w:pStyle w:val="Heading2"/>
      </w:pPr>
      <w:r>
        <w:t xml:space="preserve">5. Conclusions</w:t>
      </w:r>
    </w:p>
    <w:p>
      <w:pPr>
        <w:pStyle w:val="FirstParagraph"/>
      </w:pPr>
      <w:r>
        <w:t xml:space="preserve">Protein AI disagreement is not merely model noise: it contains reproducible biological structure. It tracks the protein’s structural-confidence landscape: evolution-vs-structure disagreement accumulates where AlphaFold confidence is low, total disagreement is elevated in intrinsically disordered regions, and the disagreement geometry decomposes into regimes whose phenotypes replicate across independent assays and generalize to held-out proteins. Relative model-family expertise shows limited context dependence: single-sequence models lose relative predictive advantage in curated disordered regions, whereas no consistent expertise gradient is observed across AlphaFold confidence – disagreement and relative accuracy are distinct quantities. Disagreement is a weak positive uncertainty signal in DMS that vanishes under narrow model panels and reverses in clinical annotation, where high agreement can accompany error – a boundary condition that cautions against reading model consensus as confidence across domains. Its primary value is explanatory: disagreement among protein AI models is an AI-generated map of where evolutionarily informed and structure-conditioned model predictions diverge across protein space.</w:t>
      </w:r>
    </w:p>
    <w:bookmarkEnd w:id="33"/>
    <w:bookmarkStart w:id="34" w:name="data-availability"/>
    <w:p>
      <w:pPr>
        <w:pStyle w:val="Heading2"/>
      </w:pPr>
      <w:r>
        <w:t xml:space="preserve">Data availability</w:t>
      </w:r>
    </w:p>
    <w:p>
      <w:pPr>
        <w:pStyle w:val="FirstParagraph"/>
      </w:pPr>
      <w:r>
        <w:t xml:space="preserve">All data are public (ProteinGym v1.3, DOI 10.5281/zenodo.15293562; UniProt). All analysis code (scripts 01-45), machine-readable source tables for every figure, and figure files are openly available at https://github.com/hmjpan/protein-ai-disagreement (versioned, timestamped); a frozen archival snapshot with a citable Zenodo DOI accompanies the submission.</w:t>
      </w:r>
    </w:p>
    <w:bookmarkEnd w:id="34"/>
    <w:bookmarkStart w:id="35" w:name="references"/>
    <w:p>
      <w:pPr>
        <w:pStyle w:val="Heading2"/>
      </w:pPr>
      <w:r>
        <w:t xml:space="preserve">References</w:t>
      </w:r>
    </w:p>
    <w:p>
      <w:pPr>
        <w:pStyle w:val="FirstParagraph"/>
      </w:pPr>
      <w:r>
        <w:t xml:space="preserve">[1] Laine E, Karami Y and Carbone A 2019 GEMME: a simple and fast global epistatic model predicting mutational effects Mol. Biol. Evol. 36 2604-19</w:t>
      </w:r>
    </w:p>
    <w:p>
      <w:pPr>
        <w:pStyle w:val="BodyText"/>
      </w:pPr>
      <w:r>
        <w:t xml:space="preserve">[2] Frazer J, Notin P, Dias M, Gomez A, Min J K, Brock K, Gal Y and Marks D S 2021 Disease variant prediction with deep generative models of evolutionary data Nature 599 91-5</w:t>
      </w:r>
    </w:p>
    <w:p>
      <w:pPr>
        <w:pStyle w:val="BodyText"/>
      </w:pPr>
      <w:r>
        <w:t xml:space="preserve">[3] Riesselman A J, Ingraham J B and Marks D S 2018 Deep generative models of genetic variation capture the effects of mutations Nat. Methods 15 816-22</w:t>
      </w:r>
    </w:p>
    <w:p>
      <w:pPr>
        <w:pStyle w:val="BodyText"/>
      </w:pPr>
      <w:r>
        <w:t xml:space="preserve">[4] Hopf T A et al 2017 Mutation effects predicted from sequence co-variation Nat. Biotechnol. 35 128-35</w:t>
      </w:r>
    </w:p>
    <w:p>
      <w:pPr>
        <w:pStyle w:val="BodyText"/>
      </w:pPr>
      <w:r>
        <w:t xml:space="preserve">[5] Meier J, Rao R, Verkuil R, Liu J, Sercu T and Rives A 2021 Language models enable zero-shot prediction of the effects of mutations on protein function Adv. Neural Inf. Process. Syst. 34</w:t>
      </w:r>
    </w:p>
    <w:p>
      <w:pPr>
        <w:pStyle w:val="BodyText"/>
      </w:pPr>
      <w:r>
        <w:t xml:space="preserve">[6] Rives A et al 2021 Biological structure and function emerge from scaling unsupervised learning to 250 million protein sequences Proc. Natl Acad. Sci. USA 118 e2016239118</w:t>
      </w:r>
    </w:p>
    <w:p>
      <w:pPr>
        <w:pStyle w:val="BodyText"/>
      </w:pPr>
      <w:r>
        <w:t xml:space="preserve">[7] Lin Z et al 2023 Evolutionary-scale prediction of atomic-level protein structure with a language model Science 379 1123-30</w:t>
      </w:r>
    </w:p>
    <w:p>
      <w:pPr>
        <w:pStyle w:val="BodyText"/>
      </w:pPr>
      <w:r>
        <w:t xml:space="preserve">[8] Elnaggar A et al 2022 ProtTrans: toward understanding the language of life through self-supervised learning IEEE Trans. Pattern Anal. Mach. Intell. 44 7112-27</w:t>
      </w:r>
    </w:p>
    <w:p>
      <w:pPr>
        <w:pStyle w:val="BodyText"/>
      </w:pPr>
      <w:r>
        <w:t xml:space="preserve">[9] Madani A et al 2023 Large language models generate functional protein sequences across diverse families Nat. Biotechnol. 41 1099-106</w:t>
      </w:r>
    </w:p>
    <w:p>
      <w:pPr>
        <w:pStyle w:val="BodyText"/>
      </w:pPr>
      <w:r>
        <w:t xml:space="preserve">[10] Nijkamp E, Ruffolo J A, Weinstein E N, Naik N and Madani A 2023 ProGen2: exploring the boundaries of protein language models Cell Systems 14 968-978.e3</w:t>
      </w:r>
    </w:p>
    <w:p>
      <w:pPr>
        <w:pStyle w:val="BodyText"/>
      </w:pPr>
      <w:r>
        <w:t xml:space="preserve">[11] Marquet C, Heinzinger M, Olenyi T, Dallago C, Erckert K, Bernhofer M, Nechaev D and Rost B 2022 Embeddings from protein language models predict conservation and variant effects Hum. Genet. 141 1629-47</w:t>
      </w:r>
    </w:p>
    <w:p>
      <w:pPr>
        <w:pStyle w:val="BodyText"/>
      </w:pPr>
      <w:r>
        <w:t xml:space="preserve">[12] Hsu C, Verkuil R, Liu J, Lin Z, Hie B, Sercu T, Lerer A and Rives A 2022 Learning inverse folding from millions of predicted structures Proc. 39th Int. Conf. on Machine Learning (ICML)</w:t>
      </w:r>
    </w:p>
    <w:p>
      <w:pPr>
        <w:pStyle w:val="BodyText"/>
      </w:pPr>
      <w:r>
        <w:t xml:space="preserve">[13] Dauparas J et al 2022 Robust deep learning-based protein sequence design using ProteinMPNN Science 378 49-56</w:t>
      </w:r>
    </w:p>
    <w:p>
      <w:pPr>
        <w:pStyle w:val="BodyText"/>
      </w:pPr>
      <w:r>
        <w:t xml:space="preserve">[14] Su J, Han C, Zhou Y, Shan J, Zhou X and Yuan F 2024 SaProt: protein language modeling with structure-aware vocabulary Int. Conf. on Learning Representations (ICLR)</w:t>
      </w:r>
    </w:p>
    <w:p>
      <w:pPr>
        <w:pStyle w:val="BodyText"/>
      </w:pPr>
      <w:r>
        <w:t xml:space="preserve">[15] Yang K K, Zanichelli N and Yeh H 2023 Masked inverse folding with sequence transfer for protein representation learning Protein Eng. Des. Sel. 36 gzad015</w:t>
      </w:r>
    </w:p>
    <w:p>
      <w:pPr>
        <w:pStyle w:val="BodyText"/>
      </w:pPr>
      <w:r>
        <w:t xml:space="preserve">[16] Hayes T et al 2025 Simulating 500 million years of evolution with a language model Science 387 850-8</w:t>
      </w:r>
    </w:p>
    <w:p>
      <w:pPr>
        <w:pStyle w:val="BodyText"/>
      </w:pPr>
      <w:r>
        <w:t xml:space="preserve">[17] Bhatnagar A, Jain S, Beazer J et al 2025 Scaling unlocks broader generation and deeper functional understanding of proteins Proc. Adv. Neural Inf. Process. Syst. (NeurIPS 2025) Main Conference</w:t>
      </w:r>
    </w:p>
    <w:p>
      <w:pPr>
        <w:pStyle w:val="BodyText"/>
      </w:pPr>
      <w:r>
        <w:t xml:space="preserve">[18] Chen B et al 2023 xTrimoPGLM: unified 100B-scale pre-trained transformer for deciphering the language of proteins bioRxiv 2023.07.05.547496</w:t>
      </w:r>
    </w:p>
    <w:p>
      <w:pPr>
        <w:pStyle w:val="BodyText"/>
      </w:pPr>
      <w:r>
        <w:t xml:space="preserve">[19] Cheng J et al 2023 Accurate proteome-wide missense variant effect prediction with AlphaMissense Science 381 eadg7492</w:t>
      </w:r>
    </w:p>
    <w:p>
      <w:pPr>
        <w:pStyle w:val="BodyText"/>
      </w:pPr>
      <w:r>
        <w:t xml:space="preserve">[20] Notin P, Kollasch A, Ritter D, van Niekerk L, Paul S, Spinner H, Rollins N, Shaw A, Orenbuch R, Weitzman R, Frazer J, Dias M, Franceschi D, Gal Y and Marks D S 2023 ProteinGym: large-scale benchmarks for protein fitness prediction and design Proc. NeurIPS 2023 Datasets and Benchmarks Track</w:t>
      </w:r>
    </w:p>
    <w:p>
      <w:pPr>
        <w:pStyle w:val="BodyText"/>
      </w:pPr>
      <w:r>
        <w:t xml:space="preserve">[21] Tsuboyama K et al 2023 Mega-scale experimental analysis of protein folding stability in biology and design Nature 620 434-44</w:t>
      </w:r>
    </w:p>
    <w:p>
      <w:pPr>
        <w:pStyle w:val="BodyText"/>
      </w:pPr>
      <w:r>
        <w:t xml:space="preserve">[22] Fowler D M and Fields S 2014 Deep mutational scanning: a new style of protein science Nat. Methods 11 801-7</w:t>
      </w:r>
    </w:p>
    <w:p>
      <w:pPr>
        <w:pStyle w:val="BodyText"/>
      </w:pPr>
      <w:r>
        <w:t xml:space="preserve">[23] Livesey B J and Marsh J A 2026 Why variant effect predictors and multiplexed assays agree and disagree Nat. Commun. 17 77211</w:t>
      </w:r>
    </w:p>
    <w:p>
      <w:pPr>
        <w:pStyle w:val="BodyText"/>
      </w:pPr>
      <w:r>
        <w:t xml:space="preserve">[24] Prabakaran R and Bromberg Y 2026 Quantifying uncertainty in protein representations across models and tasks Nat. Methods 23 796-804</w:t>
      </w:r>
    </w:p>
    <w:p>
      <w:pPr>
        <w:pStyle w:val="BodyText"/>
      </w:pPr>
      <w:r>
        <w:t xml:space="preserve">[25] Sharma A and Gitter A 2025 Exploring zero-shot structure-based protein fitness prediction Proc. ICLR Workshop on Generative and Experimental Perspectives for Biomolecular Design; experimental-structure scores at Zenodo 10.5281/zenodo.13819824</w:t>
      </w:r>
    </w:p>
    <w:p>
      <w:pPr>
        <w:pStyle w:val="BodyText"/>
      </w:pPr>
      <w:r>
        <w:t xml:space="preserve">[26] Blaabjerg L M, Jonsson N, Boomsma W, Stein A and Lindorff-Larsen K 2024 SSEmb: a joint embedding of protein sequence and structure enables robust variant effect predictions Nat. Commun. 15 9646</w:t>
      </w:r>
    </w:p>
    <w:p>
      <w:pPr>
        <w:pStyle w:val="BodyText"/>
      </w:pPr>
      <w:r>
        <w:t xml:space="preserve">[27] Piovesan D, Monzon A M and Tosatto S C E 2022 Intrinsic protein disorder and conditional folding in AlphaFoldDB Protein Sci. 31 e4466</w:t>
      </w:r>
    </w:p>
    <w:p>
      <w:pPr>
        <w:pStyle w:val="BodyText"/>
      </w:pPr>
      <w:r>
        <w:t xml:space="preserve">[28] Ruff K M and Pappu R V 2021 AlphaFold and implications for intrinsically disordered proteins J. Mol. Biol. 433 167208</w:t>
      </w:r>
    </w:p>
    <w:p>
      <w:pPr>
        <w:pStyle w:val="BodyText"/>
      </w:pPr>
      <w:r>
        <w:t xml:space="preserve">[29] Schwarz G 1978 Estimating the dimension of a model Ann. Stat. 6 461-4</w:t>
      </w:r>
    </w:p>
    <w:p>
      <w:pPr>
        <w:pStyle w:val="BodyText"/>
      </w:pPr>
      <w:r>
        <w:t xml:space="preserve">[30] Eddy S R 2011 Accelerated profile HMM searches PLoS Comput. Biol. 7 e1002196</w:t>
      </w:r>
    </w:p>
    <w:p>
      <w:pPr>
        <w:pStyle w:val="BodyText"/>
      </w:pPr>
      <w:r>
        <w:t xml:space="preserve">[31] Dong C, Wei P, Jian X, Gibbs R, Boerwinkle E, Wang K and Liu X 2015 Comparison and integration of deleteriousness prediction methods for nonsynonymous SNVs in whole exome sequencing studies PLoS ONE 10 e0134848</w:t>
      </w:r>
    </w:p>
    <w:p>
      <w:pPr>
        <w:pStyle w:val="BodyText"/>
      </w:pPr>
      <w:r>
        <w:t xml:space="preserve">[32] Alirezaie N, Kernohan K D, Hartley T, Majewski J and Richer T D 2018 ClinPred: prediction tool to identify disease-relevant nonsynonymous single-nucleotide variants Am. J. Hum. Genet. 103 474-83</w:t>
      </w:r>
    </w:p>
    <w:p>
      <w:pPr>
        <w:pStyle w:val="BodyText"/>
      </w:pPr>
      <w:r>
        <w:t xml:space="preserve">[33] Feng B-J 2017 PERCH: a unified framework for disease gene prioritization Hum. Mutat. 38 243-51</w:t>
      </w:r>
    </w:p>
    <w:p>
      <w:pPr>
        <w:pStyle w:val="BodyText"/>
      </w:pPr>
      <w:r>
        <w:t xml:space="preserve">[34] Ioannidis N M et al 2016 REVEL: an ensemble method for predicting the pathogenicity of rare missense variants Am. J. Hum. Genet. 99 877-85</w:t>
      </w:r>
    </w:p>
    <w:p>
      <w:pPr>
        <w:pStyle w:val="BodyText"/>
      </w:pPr>
      <w:r>
        <w:t xml:space="preserve">[35] Rentzsch P, Witten D, Cooper G M, Shendure J and Kircher M 2019 CADD: predicting the deleteriousness of variants throughout the human genome Nucleic Acids Res. 47 D886-94</w:t>
      </w:r>
    </w:p>
    <w:p>
      <w:pPr>
        <w:pStyle w:val="BodyText"/>
      </w:pPr>
      <w:r>
        <w:t xml:space="preserve">[36] Lakshminarayanan B, Pritzel A and Blundell C 2017 Simple and scalable predictive uncertainty estimation using deep ensembles Adv. Neural Inf. Process. Syst. 30</w:t>
      </w:r>
    </w:p>
    <w:p>
      <w:pPr>
        <w:pStyle w:val="BodyText"/>
      </w:pPr>
      <w:r>
        <w:t xml:space="preserve">[37] Beluch W H, Genewein T, Nurnberger A and Kohler J M 2018 The power of ensembles for active learning in image classification Proc. IEEE/CVF Conf. on Computer Vision and Pattern Recognition (CVPR)</w:t>
      </w:r>
    </w:p>
    <w:p>
      <w:pPr>
        <w:pStyle w:val="BodyText"/>
      </w:pPr>
      <w:r>
        <w:t xml:space="preserve">[38] Necci M, Piovesan D, CAID Predictors, DisProt Curators and Tosatto S C E 2021 Critical assessment of protein intrinsic disorder prediction Nat. Methods 18 472-81</w:t>
      </w:r>
    </w:p>
    <w:p>
      <w:pPr>
        <w:pStyle w:val="BodyText"/>
      </w:pPr>
      <w:r>
        <w:t xml:space="preserve">[39] Gitter laboratory benchmarking structure-based models on ProteinGym https://github.com/gitter-lab/benchmarking-structure-based-models (accessed 2026)</w:t>
      </w:r>
    </w:p>
    <w:p>
      <w:pPr>
        <w:pStyle w:val="BodyText"/>
      </w:pPr>
      <w:r>
        <w:t xml:space="preserve">[40] Landrum M J et al 2018 ClinVar: improving access to variant interpretations and supporting evidence Nucleic Acids Res. 46 D1062-7</w:t>
      </w:r>
    </w:p>
    <w:p>
      <w:pPr>
        <w:pStyle w:val="BodyText"/>
      </w:pPr>
      <w:r>
        <w:t xml:space="preserve">[41] Jumper J et al 2021 Highly accurate protein structure prediction with AlphaFold Nature 596 583-9</w:t>
      </w:r>
    </w:p>
    <w:p>
      <w:pPr>
        <w:pStyle w:val="BodyText"/>
      </w:pPr>
      <w:r>
        <w:t xml:space="preserve">[42] Varadi M et al 2022 AlphaFold Protein Structure Database: massively expanding the structural coverage of protein-sequence space with high-accuracy models Nucleic Acids Res. 50 D439-44</w:t>
      </w:r>
    </w:p>
    <w:p>
      <w:pPr>
        <w:pStyle w:val="BodyText"/>
      </w:pPr>
      <w:r>
        <w:t xml:space="preserve">[43] Rao R, Liu J, Verkuil R, Meier J, Canny J, Abbeel P, Sercu T and Rives A 2021 MSA Transformer Proc. 38th Int. Conf. on Machine Learning (ICML)</w:t>
      </w:r>
    </w:p>
    <w:p>
      <w:pPr>
        <w:pStyle w:val="BodyText"/>
      </w:pPr>
      <w:r>
        <w:t xml:space="preserve">[44] Notin P, Dias M, Frazer J, Marchena-Hurtado J, Gomez A N, Marks D S and Gal Y 2022 Tranception: protein fitness prediction with autoregressive transformers and inference-time retrieval Proc. 39th Int. Conf. on Machine Learning (ICML)</w:t>
      </w:r>
    </w:p>
    <w:p>
      <w:pPr>
        <w:pStyle w:val="BodyText"/>
      </w:pPr>
      <w:r>
        <w:t xml:space="preserve">[45] Efron B and Tibshirani R J 1993 An Introduction to the Bootstrap (New York: Chapman and Hall)</w:t>
      </w:r>
    </w:p>
    <w:p>
      <w:pPr>
        <w:pStyle w:val="BodyText"/>
      </w:pPr>
      <w:r>
        <w:t xml:space="preserve">[46] Benjamini Y and Hochberg Y 1995 Controlling the false discovery rate: a practical and powerful approach to multiple testing J. R. Stat. Soc. B 57 289-300</w:t>
      </w:r>
    </w:p>
    <w:p>
      <w:pPr>
        <w:pStyle w:val="BodyText"/>
      </w:pPr>
      <w:r>
        <w:t xml:space="preserve">[47] Paszke A et al 2019 PyTorch: an imperative style, high-performance deep learning library Adv. Neural Inf. Process. Syst. 32</w:t>
      </w:r>
    </w:p>
    <w:p>
      <w:pPr>
        <w:pStyle w:val="BodyText"/>
      </w:pPr>
      <w:r>
        <w:t xml:space="preserve">[48] Chen T and Guestrin C 2016 XGBoost: a scalable tree boosting system Proc. 22nd ACM SIGKDD Int. Conf. on Knowledge Discovery and Data Mining</w:t>
      </w:r>
    </w:p>
    <w:p>
      <w:pPr>
        <w:pStyle w:val="BodyText"/>
      </w:pPr>
      <w:r>
        <w:t xml:space="preserve">[49] Harris C R et al 2020 Array programming with NumPy Nature 585 357-62</w:t>
      </w:r>
    </w:p>
    <w:p>
      <w:pPr>
        <w:pStyle w:val="BodyText"/>
      </w:pPr>
      <w:r>
        <w:t xml:space="preserve">[50] Virtanen P et al 2020 SciPy 1.0: fundamental algorithms for scientific computing in Python Nat. Methods 17 261-72</w:t>
      </w:r>
    </w:p>
    <w:p>
      <w:pPr>
        <w:pStyle w:val="BodyText"/>
      </w:pPr>
      <w:r>
        <w:t xml:space="preserve">[51] McKinney W 2010 Data structures for statistical computing in Python Proc. 9th Python in Science Conf.</w:t>
      </w:r>
    </w:p>
    <w:p>
      <w:pPr>
        <w:pStyle w:val="BodyText"/>
      </w:pPr>
      <w:r>
        <w:t xml:space="preserve">[52] Pedregosa F et al 2011 Scikit-learn: machine learning in Python J. Mach. Learn. Res. 12 2825-30</w:t>
      </w:r>
    </w:p>
    <w:p>
      <w:pPr>
        <w:pStyle w:val="BodyText"/>
      </w:pPr>
      <w:r>
        <w:t xml:space="preserve">[53] Seabold S and Perktold J 2010 statsmodels: econometric and statistical modeling with python Proc. 9th Python in Science Conf.</w:t>
      </w:r>
    </w:p>
    <w:p>
      <w:pPr>
        <w:pStyle w:val="BodyText"/>
      </w:pPr>
      <w:r>
        <w:t xml:space="preserve">[54] Hunter J D 2007 Matplotlib: a 2D graphics environment Comput. Sci. Eng. 9 90-5</w:t>
      </w:r>
    </w:p>
    <w:p>
      <w:pPr>
        <w:pStyle w:val="BodyText"/>
      </w:pPr>
      <w:r>
        <w:t xml:space="preserve">[55] Cock P J A et al 2009 Biopython: freely available Python tools for computational molecular biology and bioinformatics Bioinformatics 25 1422-3</w:t>
      </w:r>
    </w:p>
    <w:p>
      <w:pPr>
        <w:pStyle w:val="BodyText"/>
      </w:pPr>
      <w:r>
        <w:t xml:space="preserve">[56] Minami S 2024 PyDSSP: a simplified implementation of the DSSP algorithm for PyTorch and NumPy https://github.com/ShintaroMinami/PyDSSP (accessed 2026)</w:t>
      </w:r>
    </w:p>
    <w:p>
      <w:pPr>
        <w:pStyle w:val="BodyText"/>
      </w:pPr>
      <w:r>
        <w:t xml:space="preserve">[57] Kabsch W and Sander C 1983 Dictionary of protein secondary structure: pattern recognition of hydrogen-bonded and geometrical features Biopolymers 22 2577-637</w:t>
      </w:r>
    </w:p>
    <w:p>
      <w:pPr>
        <w:pStyle w:val="BodyText"/>
      </w:pPr>
      <w:r>
        <w:t xml:space="preserve">[58] Vaswani A et al 2017 Attention is all you need Adv. Neural Inf. Process. Syst. 30</w:t>
      </w:r>
    </w:p>
    <w:p>
      <w:pPr>
        <w:pStyle w:val="BodyText"/>
      </w:pPr>
      <w:r>
        <w:t xml:space="preserve">[59] UniProt Consortium 2023 UniProt: the universal protein knowledgebase in 2023 Nucleic Acids Res. 51 D523-31</w:t>
      </w:r>
    </w:p>
    <w:bookmarkEnd w:id="35"/>
    <w:bookmarkStart w:id="60" w:name="figures-embedded"/>
    <w:p>
      <w:pPr>
        <w:pStyle w:val="Heading2"/>
      </w:pPr>
      <w:r>
        <w:t xml:space="preserve">Figures (embedded)</w:t>
      </w:r>
    </w:p>
    <w:p>
      <w:r>
        <w:br w:type="page"/>
      </w:r>
    </w:p>
    <w:bookmarkStart w:id="39" w:name="figure-1"/>
    <w:p>
      <w:pPr>
        <w:pStyle w:val="Heading3"/>
      </w:pPr>
      <w:r>
        <w:t xml:space="preserve">Figure 1</w:t>
      </w:r>
    </w:p>
    <w:p>
      <w:pPr>
        <w:pStyle w:val="FirstParagraph"/>
      </w:pPr>
      <w:r>
        <w:drawing>
          <wp:inline>
            <wp:extent cx="5334000" cy="7497748"/>
            <wp:effectExtent b="0" l="0" r="0" t="0"/>
            <wp:docPr descr="" title="" id="37" name="Picture"/>
            <a:graphic>
              <a:graphicData uri="http://schemas.openxmlformats.org/drawingml/2006/picture">
                <pic:pic>
                  <pic:nvPicPr>
                    <pic:cNvPr descr="H:/aifor_work/protein_ai_disagreement/figures/composed/Fig1_full.png" id="38" name="Picture"/>
                    <pic:cNvPicPr>
                      <a:picLocks noChangeArrowheads="1" noChangeAspect="1"/>
                    </pic:cNvPicPr>
                  </pic:nvPicPr>
                  <pic:blipFill>
                    <a:blip r:embed="rId36"/>
                    <a:stretch>
                      <a:fillRect/>
                    </a:stretch>
                  </pic:blipFill>
                  <pic:spPr bwMode="auto">
                    <a:xfrm>
                      <a:off x="0" y="0"/>
                      <a:ext cx="5334000" cy="7497748"/>
                    </a:xfrm>
                    <a:prstGeom prst="rect">
                      <a:avLst/>
                    </a:prstGeom>
                    <a:noFill/>
                    <a:ln w="9525">
                      <a:noFill/>
                      <a:headEnd/>
                      <a:tailEnd/>
                    </a:ln>
                  </pic:spPr>
                </pic:pic>
              </a:graphicData>
            </a:graphic>
          </wp:inline>
        </w:drawing>
      </w:r>
    </w:p>
    <w:p>
      <w:r>
        <w:br w:type="page"/>
      </w:r>
    </w:p>
    <w:bookmarkEnd w:id="39"/>
    <w:bookmarkStart w:id="43" w:name="figure-2"/>
    <w:p>
      <w:pPr>
        <w:pStyle w:val="Heading3"/>
      </w:pPr>
      <w:r>
        <w:t xml:space="preserve">Figure 2</w:t>
      </w:r>
    </w:p>
    <w:p>
      <w:pPr>
        <w:pStyle w:val="FirstParagraph"/>
      </w:pPr>
      <w:r>
        <w:drawing>
          <wp:inline>
            <wp:extent cx="5334000" cy="3191123"/>
            <wp:effectExtent b="0" l="0" r="0" t="0"/>
            <wp:docPr descr="" title="" id="41" name="Picture"/>
            <a:graphic>
              <a:graphicData uri="http://schemas.openxmlformats.org/drawingml/2006/picture">
                <pic:pic>
                  <pic:nvPicPr>
                    <pic:cNvPr descr="H:/aifor_work/protein_ai_disagreement/figures/composed/Fig2_full.png" id="42" name="Picture"/>
                    <pic:cNvPicPr>
                      <a:picLocks noChangeArrowheads="1" noChangeAspect="1"/>
                    </pic:cNvPicPr>
                  </pic:nvPicPr>
                  <pic:blipFill>
                    <a:blip r:embed="rId40"/>
                    <a:stretch>
                      <a:fillRect/>
                    </a:stretch>
                  </pic:blipFill>
                  <pic:spPr bwMode="auto">
                    <a:xfrm>
                      <a:off x="0" y="0"/>
                      <a:ext cx="5334000" cy="3191123"/>
                    </a:xfrm>
                    <a:prstGeom prst="rect">
                      <a:avLst/>
                    </a:prstGeom>
                    <a:noFill/>
                    <a:ln w="9525">
                      <a:noFill/>
                      <a:headEnd/>
                      <a:tailEnd/>
                    </a:ln>
                  </pic:spPr>
                </pic:pic>
              </a:graphicData>
            </a:graphic>
          </wp:inline>
        </w:drawing>
      </w:r>
    </w:p>
    <w:p>
      <w:r>
        <w:br w:type="page"/>
      </w:r>
    </w:p>
    <w:bookmarkEnd w:id="43"/>
    <w:bookmarkStart w:id="47" w:name="figure-3"/>
    <w:p>
      <w:pPr>
        <w:pStyle w:val="Heading3"/>
      </w:pPr>
      <w:r>
        <w:t xml:space="preserve">Figure 3</w:t>
      </w:r>
    </w:p>
    <w:p>
      <w:pPr>
        <w:pStyle w:val="FirstParagraph"/>
      </w:pPr>
      <w:r>
        <w:drawing>
          <wp:inline>
            <wp:extent cx="4334256" cy="7775278"/>
            <wp:effectExtent b="0" l="0" r="0" t="0"/>
            <wp:docPr descr="" title="" id="45" name="Picture"/>
            <a:graphic>
              <a:graphicData uri="http://schemas.openxmlformats.org/drawingml/2006/picture">
                <pic:pic>
                  <pic:nvPicPr>
                    <pic:cNvPr descr="H:/aifor_work/protein_ai_disagreement/figures/composed/Fig3_full.png" id="46" name="Picture"/>
                    <pic:cNvPicPr>
                      <a:picLocks noChangeArrowheads="1" noChangeAspect="1"/>
                    </pic:cNvPicPr>
                  </pic:nvPicPr>
                  <pic:blipFill>
                    <a:blip r:embed="rId44"/>
                    <a:stretch>
                      <a:fillRect/>
                    </a:stretch>
                  </pic:blipFill>
                  <pic:spPr bwMode="auto">
                    <a:xfrm>
                      <a:off x="0" y="0"/>
                      <a:ext cx="4334256" cy="7775278"/>
                    </a:xfrm>
                    <a:prstGeom prst="rect">
                      <a:avLst/>
                    </a:prstGeom>
                    <a:noFill/>
                    <a:ln w="9525">
                      <a:noFill/>
                      <a:headEnd/>
                      <a:tailEnd/>
                    </a:ln>
                  </pic:spPr>
                </pic:pic>
              </a:graphicData>
            </a:graphic>
          </wp:inline>
        </w:drawing>
      </w:r>
    </w:p>
    <w:p>
      <w:r>
        <w:br w:type="page"/>
      </w:r>
    </w:p>
    <w:bookmarkEnd w:id="47"/>
    <w:bookmarkStart w:id="51" w:name="figure-4"/>
    <w:p>
      <w:pPr>
        <w:pStyle w:val="Heading3"/>
      </w:pPr>
      <w:r>
        <w:t xml:space="preserve">Figure 4</w:t>
      </w:r>
    </w:p>
    <w:p>
      <w:pPr>
        <w:pStyle w:val="FirstParagraph"/>
      </w:pPr>
      <w:r>
        <w:drawing>
          <wp:inline>
            <wp:extent cx="4572000" cy="7774387"/>
            <wp:effectExtent b="0" l="0" r="0" t="0"/>
            <wp:docPr descr="" title="" id="49" name="Picture"/>
            <a:graphic>
              <a:graphicData uri="http://schemas.openxmlformats.org/drawingml/2006/picture">
                <pic:pic>
                  <pic:nvPicPr>
                    <pic:cNvPr descr="H:/aifor_work/protein_ai_disagreement/figures/composed/Fig4_full.png" id="50" name="Picture"/>
                    <pic:cNvPicPr>
                      <a:picLocks noChangeArrowheads="1" noChangeAspect="1"/>
                    </pic:cNvPicPr>
                  </pic:nvPicPr>
                  <pic:blipFill>
                    <a:blip r:embed="rId48"/>
                    <a:stretch>
                      <a:fillRect/>
                    </a:stretch>
                  </pic:blipFill>
                  <pic:spPr bwMode="auto">
                    <a:xfrm>
                      <a:off x="0" y="0"/>
                      <a:ext cx="4572000" cy="7774387"/>
                    </a:xfrm>
                    <a:prstGeom prst="rect">
                      <a:avLst/>
                    </a:prstGeom>
                    <a:noFill/>
                    <a:ln w="9525">
                      <a:noFill/>
                      <a:headEnd/>
                      <a:tailEnd/>
                    </a:ln>
                  </pic:spPr>
                </pic:pic>
              </a:graphicData>
            </a:graphic>
          </wp:inline>
        </w:drawing>
      </w:r>
    </w:p>
    <w:p>
      <w:r>
        <w:br w:type="page"/>
      </w:r>
    </w:p>
    <w:bookmarkEnd w:id="51"/>
    <w:bookmarkStart w:id="55" w:name="figure-5"/>
    <w:p>
      <w:pPr>
        <w:pStyle w:val="Heading3"/>
      </w:pPr>
      <w:r>
        <w:t xml:space="preserve">Figure 5</w:t>
      </w:r>
    </w:p>
    <w:p>
      <w:pPr>
        <w:pStyle w:val="FirstParagraph"/>
      </w:pPr>
      <w:r>
        <w:drawing>
          <wp:inline>
            <wp:extent cx="4389120" cy="7770650"/>
            <wp:effectExtent b="0" l="0" r="0" t="0"/>
            <wp:docPr descr="" title="" id="53" name="Picture"/>
            <a:graphic>
              <a:graphicData uri="http://schemas.openxmlformats.org/drawingml/2006/picture">
                <pic:pic>
                  <pic:nvPicPr>
                    <pic:cNvPr descr="H:/aifor_work/protein_ai_disagreement/figures/composed/Fig5_full.png" id="54" name="Picture"/>
                    <pic:cNvPicPr>
                      <a:picLocks noChangeArrowheads="1" noChangeAspect="1"/>
                    </pic:cNvPicPr>
                  </pic:nvPicPr>
                  <pic:blipFill>
                    <a:blip r:embed="rId52"/>
                    <a:stretch>
                      <a:fillRect/>
                    </a:stretch>
                  </pic:blipFill>
                  <pic:spPr bwMode="auto">
                    <a:xfrm>
                      <a:off x="0" y="0"/>
                      <a:ext cx="4389120" cy="7770650"/>
                    </a:xfrm>
                    <a:prstGeom prst="rect">
                      <a:avLst/>
                    </a:prstGeom>
                    <a:noFill/>
                    <a:ln w="9525">
                      <a:noFill/>
                      <a:headEnd/>
                      <a:tailEnd/>
                    </a:ln>
                  </pic:spPr>
                </pic:pic>
              </a:graphicData>
            </a:graphic>
          </wp:inline>
        </w:drawing>
      </w:r>
    </w:p>
    <w:p>
      <w:r>
        <w:br w:type="page"/>
      </w:r>
    </w:p>
    <w:bookmarkEnd w:id="55"/>
    <w:bookmarkStart w:id="59" w:name="figure-6"/>
    <w:p>
      <w:pPr>
        <w:pStyle w:val="Heading3"/>
      </w:pPr>
      <w:r>
        <w:t xml:space="preserve">Figure 6</w:t>
      </w:r>
    </w:p>
    <w:p>
      <w:pPr>
        <w:pStyle w:val="FirstParagraph"/>
      </w:pPr>
      <w:r>
        <w:drawing>
          <wp:inline>
            <wp:extent cx="5334000" cy="7694874"/>
            <wp:effectExtent b="0" l="0" r="0" t="0"/>
            <wp:docPr descr="" title="" id="57" name="Picture"/>
            <a:graphic>
              <a:graphicData uri="http://schemas.openxmlformats.org/drawingml/2006/picture">
                <pic:pic>
                  <pic:nvPicPr>
                    <pic:cNvPr descr="H:/aifor_work/protein_ai_disagreement/figures/composed/Fig6_full.png" id="58" name="Picture"/>
                    <pic:cNvPicPr>
                      <a:picLocks noChangeArrowheads="1" noChangeAspect="1"/>
                    </pic:cNvPicPr>
                  </pic:nvPicPr>
                  <pic:blipFill>
                    <a:blip r:embed="rId56"/>
                    <a:stretch>
                      <a:fillRect/>
                    </a:stretch>
                  </pic:blipFill>
                  <pic:spPr bwMode="auto">
                    <a:xfrm>
                      <a:off x="0" y="0"/>
                      <a:ext cx="5334000" cy="7694874"/>
                    </a:xfrm>
                    <a:prstGeom prst="rect">
                      <a:avLst/>
                    </a:prstGeom>
                    <a:noFill/>
                    <a:ln w="9525">
                      <a:noFill/>
                      <a:headEnd/>
                      <a:tailEnd/>
                    </a:ln>
                  </pic:spPr>
                </pic:pic>
              </a:graphicData>
            </a:graphic>
          </wp:inline>
        </w:drawing>
      </w:r>
    </w:p>
    <w:bookmarkEnd w:id="59"/>
    <w:bookmarkEnd w:id="60"/>
    <w:bookmarkStart w:id="61" w:name="figure-captions"/>
    <w:p>
      <w:pPr>
        <w:pStyle w:val="Heading2"/>
      </w:pPr>
      <w:r>
        <w:t xml:space="preserve">Figure captions</w:t>
      </w:r>
    </w:p>
    <w:p>
      <w:pPr>
        <w:pStyle w:val="FirstParagraph"/>
      </w:pPr>
      <w:r>
        <w:t xml:space="preserve">Figure 1. Protein AI model prediction landscape. (a) workflow and (b) dataset composition; (c) PCA of the variant-by-model prediction matrix; (d) median assay-level Spearman correlation heatmap; (e) hierarchical clustering of models by prediction correlation.</w:t>
      </w:r>
    </w:p>
    <w:p>
      <w:pPr>
        <w:pStyle w:val="BodyText"/>
      </w:pPr>
      <w:r>
        <w:t xml:space="preserve">Figure 2. Structural-confidence gradient in disagreement (all primary statistics residue-level). (a) distribution of within-protein residue-level Spearman between pLDDT and evolution-vs-structure disagreement (median -0.04, red dashed; 67.5% negative); (b) effect sizes: lowest-vs-highest pLDDT decile difference and enrichment odds ratio; (c) four disagreement definitions (left) and 1,000 balanced family resamplings (right; red line = median -0.05); (d) disagreement in curated disordered vs ordered residues.</w:t>
      </w:r>
    </w:p>
    <w:p>
      <w:pPr>
        <w:pStyle w:val="BodyText"/>
      </w:pPr>
      <w:r>
        <w:t xml:space="preserve">Figure 3. Disagreement regimes (K = 6). (a) family-prediction scatter colored by regime; (b) pLDDT composition per regime; (c) regime centroids vs experimental Y.</w:t>
      </w:r>
    </w:p>
    <w:p>
      <w:pPr>
        <w:pStyle w:val="BodyText"/>
      </w:pPr>
      <w:r>
        <w:t xml:space="preserve">Figure 4. Reproducibility and case studies. (a) position-level regime agreement vs chance across independent assay pairs, with inset: regime-level experimental Y correlation; (b) TP53, (c) BRCA1, (d) PTEN AlphaFold structures colored by median residue disagreement.</w:t>
      </w:r>
    </w:p>
    <w:p>
      <w:pPr>
        <w:pStyle w:val="BodyText"/>
      </w:pPr>
      <w:r>
        <w:t xml:space="preserve">Figure 5. Relative family expertise (percentile space). (a) family advantage across pLDDT bins (flat); (b) family advantage by residue mechanics (flat); (c) family advantage in disordered vs ordered residues (IDR-specific).</w:t>
      </w:r>
    </w:p>
    <w:p>
      <w:pPr>
        <w:pStyle w:val="BodyText"/>
      </w:pPr>
      <w:r>
        <w:t xml:space="preserve">Figure 6. Clinical validation. (a) transfer AUROC (uniform, BioGate, best single model) on the full clinical set and the strict non-overlap set; (b) disagreement vs classification outcome.</w:t>
      </w:r>
    </w:p>
    <w:p>
      <w:pPr>
        <w:pStyle w:val="BodyText"/>
      </w:pPr>
      <w:r>
        <w:t xml:space="preserve">Supplementary figures: S1 disagreement-error distribution; S2 disagreement deciles; S3 domain-boundary analysis; S4 BioGate CV performance; S5 BioGate ablations; S6 leave-one-model-out sensitivity; S7 u- vs z-scale comparison; S8 disagreement-error association by assay selection type; S9 residue mechanics (null result); S10 experimental-structure gain by assay pLDDT; S11 SSEmb distinct-architecture replication.</w:t>
      </w:r>
    </w:p>
    <w:bookmarkEnd w:id="61"/>
    <w:bookmarkStart w:id="62" w:name="table-captions"/>
    <w:p>
      <w:pPr>
        <w:pStyle w:val="Heading2"/>
      </w:pPr>
      <w:r>
        <w:t xml:space="preserve">Table captions</w:t>
      </w:r>
    </w:p>
    <w:p>
      <w:pPr>
        <w:pStyle w:val="FirstParagraph"/>
      </w:pPr>
      <w:r>
        <w:t xml:space="preserve">Tables 1-4 are main-text tables; Tables S1-S12 are supplementary.</w:t>
      </w:r>
    </w:p>
    <w:p>
      <w:pPr>
        <w:pStyle w:val="BodyText"/>
      </w:pPr>
      <w:r>
        <w:rPr>
          <w:b/>
          <w:bCs/>
        </w:rPr>
        <w:t xml:space="preserve">Table 1. Disagreement regimes (GMM, K = 6).</w:t>
      </w:r>
      <w:r>
        <w:t xml:space="preserve"> </w:t>
      </w:r>
      <w:r>
        <w:t xml:space="preserve">Family centroids are z-scale</w:t>
      </w:r>
      <w:r>
        <w:t xml:space="preserve"> </w:t>
      </w:r>
      <w:r>
        <w:t xml:space="preserve">means; Y = experimental deleteriousness (1 - DMS rank; 0 = tolerated,</w:t>
      </w:r>
      <w:r>
        <w:t xml:space="preserve"> </w:t>
      </w:r>
      <w:r>
        <w:t xml:space="preserve">1 = damaged); regime names are descriptive labels from the actual centroids</w:t>
      </w:r>
      <w:r>
        <w:t xml:space="preserve"> </w:t>
      </w:r>
      <w:r>
        <w:t xml:space="preserve">(machine labels regime_0-regime_5).</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regime</w:t>
            </w:r>
          </w:p>
        </w:tc>
        <w:tc>
          <w:tcPr/>
          <w:p>
            <w:pPr>
              <w:pStyle w:val="Compact"/>
            </w:pPr>
            <w:r>
              <w:t xml:space="preserve">n</w:t>
            </w:r>
          </w:p>
        </w:tc>
        <w:tc>
          <w:tcPr/>
          <w:p>
            <w:pPr>
              <w:pStyle w:val="Compact"/>
            </w:pPr>
            <w:r>
              <w:t xml:space="preserve">S_seq</w:t>
            </w:r>
          </w:p>
        </w:tc>
        <w:tc>
          <w:tcPr/>
          <w:p>
            <w:pPr>
              <w:pStyle w:val="Compact"/>
            </w:pPr>
            <w:r>
              <w:t xml:space="preserve">S_evo</w:t>
            </w:r>
          </w:p>
        </w:tc>
        <w:tc>
          <w:tcPr/>
          <w:p>
            <w:pPr>
              <w:pStyle w:val="Compact"/>
            </w:pPr>
            <w:r>
              <w:t xml:space="preserve">S_struct</w:t>
            </w:r>
          </w:p>
        </w:tc>
        <w:tc>
          <w:tcPr/>
          <w:p>
            <w:pPr>
              <w:pStyle w:val="Compact"/>
            </w:pPr>
            <w:r>
              <w:t xml:space="preserve">median Y</w:t>
            </w:r>
          </w:p>
        </w:tc>
        <w:tc>
          <w:tcPr/>
          <w:p>
            <w:pPr>
              <w:pStyle w:val="Compact"/>
            </w:pPr>
            <w:r>
              <w:t xml:space="preserve">median pLDDT</w:t>
            </w:r>
          </w:p>
        </w:tc>
      </w:tr>
      <w:tr>
        <w:tc>
          <w:tcPr/>
          <w:p>
            <w:pPr>
              <w:pStyle w:val="Compact"/>
            </w:pPr>
            <w:r>
              <w:t xml:space="preserve">consensus_damaging</w:t>
            </w:r>
          </w:p>
        </w:tc>
        <w:tc>
          <w:tcPr/>
          <w:p>
            <w:pPr>
              <w:pStyle w:val="Compact"/>
            </w:pPr>
            <w:r>
              <w:t xml:space="preserve">104,108</w:t>
            </w:r>
          </w:p>
        </w:tc>
        <w:tc>
          <w:tcPr/>
          <w:p>
            <w:pPr>
              <w:pStyle w:val="Compact"/>
            </w:pPr>
            <w:r>
              <w:t xml:space="preserve">0.97</w:t>
            </w:r>
          </w:p>
        </w:tc>
        <w:tc>
          <w:tcPr/>
          <w:p>
            <w:pPr>
              <w:pStyle w:val="Compact"/>
            </w:pPr>
            <w:r>
              <w:t xml:space="preserve">1.05</w:t>
            </w:r>
          </w:p>
        </w:tc>
        <w:tc>
          <w:tcPr/>
          <w:p>
            <w:pPr>
              <w:pStyle w:val="Compact"/>
            </w:pPr>
            <w:r>
              <w:t xml:space="preserve">0.94</w:t>
            </w:r>
          </w:p>
        </w:tc>
        <w:tc>
          <w:tcPr/>
          <w:p>
            <w:pPr>
              <w:pStyle w:val="Compact"/>
            </w:pPr>
            <w:r>
              <w:t xml:space="preserve">0.81</w:t>
            </w:r>
          </w:p>
        </w:tc>
        <w:tc>
          <w:tcPr/>
          <w:p>
            <w:pPr>
              <w:pStyle w:val="Compact"/>
            </w:pPr>
            <w:r>
              <w:t xml:space="preserve">95.9</w:t>
            </w:r>
          </w:p>
        </w:tc>
      </w:tr>
      <w:tr>
        <w:tc>
          <w:tcPr/>
          <w:p>
            <w:pPr>
              <w:pStyle w:val="Compact"/>
            </w:pPr>
            <w:r>
              <w:t xml:space="preserve">consensus_tolerant</w:t>
            </w:r>
          </w:p>
        </w:tc>
        <w:tc>
          <w:tcPr/>
          <w:p>
            <w:pPr>
              <w:pStyle w:val="Compact"/>
            </w:pPr>
            <w:r>
              <w:t xml:space="preserve">97,584</w:t>
            </w:r>
          </w:p>
        </w:tc>
        <w:tc>
          <w:tcPr/>
          <w:p>
            <w:pPr>
              <w:pStyle w:val="Compact"/>
            </w:pPr>
            <w:r>
              <w:t xml:space="preserve">-0.96</w:t>
            </w:r>
          </w:p>
        </w:tc>
        <w:tc>
          <w:tcPr/>
          <w:p>
            <w:pPr>
              <w:pStyle w:val="Compact"/>
            </w:pPr>
            <w:r>
              <w:t xml:space="preserve">-1.13</w:t>
            </w:r>
          </w:p>
        </w:tc>
        <w:tc>
          <w:tcPr/>
          <w:p>
            <w:pPr>
              <w:pStyle w:val="Compact"/>
            </w:pPr>
            <w:r>
              <w:t xml:space="preserve">-0.79</w:t>
            </w:r>
          </w:p>
        </w:tc>
        <w:tc>
          <w:tcPr/>
          <w:p>
            <w:pPr>
              <w:pStyle w:val="Compact"/>
            </w:pPr>
            <w:r>
              <w:t xml:space="preserve">0.26</w:t>
            </w:r>
          </w:p>
        </w:tc>
        <w:tc>
          <w:tcPr/>
          <w:p>
            <w:pPr>
              <w:pStyle w:val="Compact"/>
            </w:pPr>
            <w:r>
              <w:t xml:space="preserve">90.7</w:t>
            </w:r>
          </w:p>
        </w:tc>
      </w:tr>
      <w:tr>
        <w:tc>
          <w:tcPr/>
          <w:p>
            <w:pPr>
              <w:pStyle w:val="Compact"/>
            </w:pPr>
            <w:r>
              <w:t xml:space="preserve">structure-dissenting</w:t>
            </w:r>
          </w:p>
        </w:tc>
        <w:tc>
          <w:tcPr/>
          <w:p>
            <w:pPr>
              <w:pStyle w:val="Compact"/>
            </w:pPr>
            <w:r>
              <w:t xml:space="preserve">83,694</w:t>
            </w:r>
          </w:p>
        </w:tc>
        <w:tc>
          <w:tcPr/>
          <w:p>
            <w:pPr>
              <w:pStyle w:val="Compact"/>
            </w:pPr>
            <w:r>
              <w:t xml:space="preserve">0.61</w:t>
            </w:r>
          </w:p>
        </w:tc>
        <w:tc>
          <w:tcPr/>
          <w:p>
            <w:pPr>
              <w:pStyle w:val="Compact"/>
            </w:pPr>
            <w:r>
              <w:t xml:space="preserve">0.65</w:t>
            </w:r>
          </w:p>
        </w:tc>
        <w:tc>
          <w:tcPr/>
          <w:p>
            <w:pPr>
              <w:pStyle w:val="Compact"/>
            </w:pPr>
            <w:r>
              <w:t xml:space="preserve">0.04</w:t>
            </w:r>
          </w:p>
        </w:tc>
        <w:tc>
          <w:tcPr/>
          <w:p>
            <w:pPr>
              <w:pStyle w:val="Compact"/>
            </w:pPr>
            <w:r>
              <w:t xml:space="preserve">0.65</w:t>
            </w:r>
          </w:p>
        </w:tc>
        <w:tc>
          <w:tcPr/>
          <w:p>
            <w:pPr>
              <w:pStyle w:val="Compact"/>
            </w:pPr>
            <w:r>
              <w:t xml:space="preserve">93.4</w:t>
            </w:r>
          </w:p>
        </w:tc>
      </w:tr>
      <w:tr>
        <w:tc>
          <w:tcPr/>
          <w:p>
            <w:pPr>
              <w:pStyle w:val="Compact"/>
            </w:pPr>
            <w:r>
              <w:t xml:space="preserve">mild-tolerant</w:t>
            </w:r>
          </w:p>
        </w:tc>
        <w:tc>
          <w:tcPr/>
          <w:p>
            <w:pPr>
              <w:pStyle w:val="Compact"/>
            </w:pPr>
            <w:r>
              <w:t xml:space="preserve">186,482</w:t>
            </w:r>
          </w:p>
        </w:tc>
        <w:tc>
          <w:tcPr/>
          <w:p>
            <w:pPr>
              <w:pStyle w:val="Compact"/>
            </w:pPr>
            <w:r>
              <w:t xml:space="preserve">-0.44</w:t>
            </w:r>
          </w:p>
        </w:tc>
        <w:tc>
          <w:tcPr/>
          <w:p>
            <w:pPr>
              <w:pStyle w:val="Compact"/>
            </w:pPr>
            <w:r>
              <w:t xml:space="preserve">-0.49</w:t>
            </w:r>
          </w:p>
        </w:tc>
        <w:tc>
          <w:tcPr/>
          <w:p>
            <w:pPr>
              <w:pStyle w:val="Compact"/>
            </w:pPr>
            <w:r>
              <w:t xml:space="preserve">-0.24</w:t>
            </w:r>
          </w:p>
        </w:tc>
        <w:tc>
          <w:tcPr/>
          <w:p>
            <w:pPr>
              <w:pStyle w:val="Compact"/>
            </w:pPr>
            <w:r>
              <w:t xml:space="preserve">0.37</w:t>
            </w:r>
          </w:p>
        </w:tc>
        <w:tc>
          <w:tcPr/>
          <w:p>
            <w:pPr>
              <w:pStyle w:val="Compact"/>
            </w:pPr>
            <w:r>
              <w:t xml:space="preserve">92.8</w:t>
            </w:r>
          </w:p>
        </w:tc>
      </w:tr>
      <w:tr>
        <w:tc>
          <w:tcPr/>
          <w:p>
            <w:pPr>
              <w:pStyle w:val="Compact"/>
            </w:pPr>
            <w:r>
              <w:t xml:space="preserve">high-disagreement</w:t>
            </w:r>
          </w:p>
        </w:tc>
        <w:tc>
          <w:tcPr/>
          <w:p>
            <w:pPr>
              <w:pStyle w:val="Compact"/>
            </w:pPr>
            <w:r>
              <w:t xml:space="preserve">67,355</w:t>
            </w:r>
          </w:p>
        </w:tc>
        <w:tc>
          <w:tcPr/>
          <w:p>
            <w:pPr>
              <w:pStyle w:val="Compact"/>
            </w:pPr>
            <w:r>
              <w:t xml:space="preserve">-0.17</w:t>
            </w:r>
          </w:p>
        </w:tc>
        <w:tc>
          <w:tcPr/>
          <w:p>
            <w:pPr>
              <w:pStyle w:val="Compact"/>
            </w:pPr>
            <w:r>
              <w:t xml:space="preserve">-0.06</w:t>
            </w:r>
          </w:p>
        </w:tc>
        <w:tc>
          <w:tcPr/>
          <w:p>
            <w:pPr>
              <w:pStyle w:val="Compact"/>
            </w:pPr>
            <w:r>
              <w:t xml:space="preserve">-0.32</w:t>
            </w:r>
          </w:p>
        </w:tc>
        <w:tc>
          <w:tcPr/>
          <w:p>
            <w:pPr>
              <w:pStyle w:val="Compact"/>
            </w:pPr>
            <w:r>
              <w:t xml:space="preserve">0.45</w:t>
            </w:r>
          </w:p>
        </w:tc>
        <w:tc>
          <w:tcPr/>
          <w:p>
            <w:pPr>
              <w:pStyle w:val="Compact"/>
            </w:pPr>
            <w:r>
              <w:t xml:space="preserve">90.3</w:t>
            </w:r>
          </w:p>
        </w:tc>
      </w:tr>
      <w:tr>
        <w:tc>
          <w:tcPr/>
          <w:p>
            <w:pPr>
              <w:pStyle w:val="Compact"/>
            </w:pPr>
            <w:r>
              <w:t xml:space="preserve">mild-damaging</w:t>
            </w:r>
          </w:p>
        </w:tc>
        <w:tc>
          <w:tcPr/>
          <w:p>
            <w:pPr>
              <w:pStyle w:val="Compact"/>
            </w:pPr>
            <w:r>
              <w:t xml:space="preserve">157,088</w:t>
            </w:r>
          </w:p>
        </w:tc>
        <w:tc>
          <w:tcPr/>
          <w:p>
            <w:pPr>
              <w:pStyle w:val="Compact"/>
            </w:pPr>
            <w:r>
              <w:t xml:space="preserve">0.19</w:t>
            </w:r>
          </w:p>
        </w:tc>
        <w:tc>
          <w:tcPr/>
          <w:p>
            <w:pPr>
              <w:pStyle w:val="Compact"/>
            </w:pPr>
            <w:r>
              <w:t xml:space="preserve">0.21</w:t>
            </w:r>
          </w:p>
        </w:tc>
        <w:tc>
          <w:tcPr/>
          <w:p>
            <w:pPr>
              <w:pStyle w:val="Compact"/>
            </w:pPr>
            <w:r>
              <w:t xml:space="preserve">0.40</w:t>
            </w:r>
          </w:p>
        </w:tc>
        <w:tc>
          <w:tcPr/>
          <w:p>
            <w:pPr>
              <w:pStyle w:val="Compact"/>
            </w:pPr>
            <w:r>
              <w:t xml:space="preserve">0.58</w:t>
            </w:r>
          </w:p>
        </w:tc>
        <w:tc>
          <w:tcPr/>
          <w:p>
            <w:pPr>
              <w:pStyle w:val="Compact"/>
            </w:pPr>
            <w:r>
              <w:t xml:space="preserve">94.4</w:t>
            </w:r>
          </w:p>
        </w:tc>
      </w:tr>
    </w:tbl>
    <w:p>
      <w:pPr>
        <w:pStyle w:val="BodyText"/>
      </w:pPr>
      <w:r>
        <w:rPr>
          <w:b/>
          <w:bCs/>
        </w:rPr>
        <w:t xml:space="preserve">Table 2. Relative family advantage by biological context (percentile</w:t>
      </w:r>
      <w:r>
        <w:rPr>
          <w:b/>
          <w:bCs/>
        </w:rPr>
        <w:t xml:space="preserve"> </w:t>
      </w:r>
      <w:r>
        <w:rPr>
          <w:b/>
          <w:bCs/>
        </w:rPr>
        <w:t xml:space="preserve">space).</w:t>
      </w:r>
      <w:r>
        <w:t xml:space="preserve"> </w:t>
      </w:r>
      <w:r>
        <w:t xml:space="preserve">Advantage = median error of the other two families minus the</w:t>
      </w:r>
      <w:r>
        <w:t xml:space="preserve"> </w:t>
      </w:r>
      <w:r>
        <w:t xml:space="preserve">family’s own error; positive = family more accurate; protein-level</w:t>
      </w:r>
      <w:r>
        <w:t xml:space="preserve"> </w:t>
      </w:r>
      <w:r>
        <w:t xml:space="preserve">aggregation. No context shows a consistent advantage except IDR: seq</w:t>
      </w:r>
      <w:r>
        <w:t xml:space="preserve"> </w:t>
      </w:r>
      <w:r>
        <w:t xml:space="preserve">-0.043 (IDR) vs +0.038 (ordered); struct +0.060 vs +0.005; evo +0.016 vs</w:t>
      </w:r>
      <w:r>
        <w:t xml:space="preserve"> </w:t>
      </w:r>
      <w:r>
        <w:t xml:space="preserve">-0.011. pLDDT bins are flat (seq +0.008 to +0.022; evo +0.002 to +0.005;</w:t>
      </w:r>
      <w:r>
        <w:t xml:space="preserve"> </w:t>
      </w:r>
      <w:r>
        <w:t xml:space="preserve">struct -0.002 to -0.007). Mechanics (core/surface/helix/sheet/loop): all</w:t>
      </w:r>
      <w:r>
        <w:t xml:space="preserve"> </w:t>
      </w:r>
      <w:r>
        <w:t xml:space="preserve">within +/-0.013.</w:t>
      </w:r>
    </w:p>
    <w:p>
      <w:pPr>
        <w:pStyle w:val="BodyText"/>
      </w:pPr>
      <w:r>
        <w:rPr>
          <w:b/>
          <w:bCs/>
        </w:rPr>
        <w:t xml:space="preserve">Table 2 (data).</w:t>
      </w:r>
      <w:r>
        <w:t xml:space="preserve"> </w:t>
      </w:r>
      <w:r>
        <w:t xml:space="preserve">Median percentile-space family advantage by context: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w:t>
            </w:r>
          </w:p>
        </w:tc>
        <w:tc>
          <w:tcPr/>
          <w:p>
            <w:pPr>
              <w:pStyle w:val="Compact"/>
            </w:pPr>
            <w:r>
              <w:t xml:space="preserve">seq</w:t>
            </w:r>
          </w:p>
        </w:tc>
        <w:tc>
          <w:tcPr/>
          <w:p>
            <w:pPr>
              <w:pStyle w:val="Compact"/>
            </w:pPr>
            <w:r>
              <w:t xml:space="preserve">evolution</w:t>
            </w:r>
          </w:p>
        </w:tc>
        <w:tc>
          <w:tcPr/>
          <w:p>
            <w:pPr>
              <w:pStyle w:val="Compact"/>
            </w:pPr>
            <w:r>
              <w:t xml:space="preserve">structure</w:t>
            </w:r>
          </w:p>
        </w:tc>
      </w:tr>
      <w:tr>
        <w:tc>
          <w:tcPr/>
          <w:p>
            <w:pPr>
              <w:pStyle w:val="Compact"/>
            </w:pPr>
            <w:r>
              <w:t xml:space="preserve">pLDDT&lt;50</w:t>
            </w:r>
          </w:p>
        </w:tc>
        <w:tc>
          <w:tcPr/>
          <w:p>
            <w:pPr>
              <w:pStyle w:val="Compact"/>
            </w:pPr>
            <w:r>
              <w:t xml:space="preserve">0.019</w:t>
            </w:r>
          </w:p>
        </w:tc>
        <w:tc>
          <w:tcPr/>
          <w:p>
            <w:pPr>
              <w:pStyle w:val="Compact"/>
            </w:pPr>
            <w:r>
              <w:t xml:space="preserve">0.002</w:t>
            </w:r>
          </w:p>
        </w:tc>
        <w:tc>
          <w:tcPr/>
          <w:p>
            <w:pPr>
              <w:pStyle w:val="Compact"/>
            </w:pPr>
            <w:r>
              <w:t xml:space="preserve">-0.006</w:t>
            </w:r>
          </w:p>
        </w:tc>
      </w:tr>
      <w:tr>
        <w:tc>
          <w:tcPr/>
          <w:p>
            <w:pPr>
              <w:pStyle w:val="Compact"/>
            </w:pPr>
            <w:r>
              <w:t xml:space="preserve">50-70</w:t>
            </w:r>
          </w:p>
        </w:tc>
        <w:tc>
          <w:tcPr/>
          <w:p>
            <w:pPr>
              <w:pStyle w:val="Compact"/>
            </w:pPr>
            <w:r>
              <w:t xml:space="preserve">0.022</w:t>
            </w:r>
          </w:p>
        </w:tc>
        <w:tc>
          <w:tcPr/>
          <w:p>
            <w:pPr>
              <w:pStyle w:val="Compact"/>
            </w:pPr>
            <w:r>
              <w:t xml:space="preserve">0.003</w:t>
            </w:r>
          </w:p>
        </w:tc>
        <w:tc>
          <w:tcPr/>
          <w:p>
            <w:pPr>
              <w:pStyle w:val="Compact"/>
            </w:pPr>
            <w:r>
              <w:t xml:space="preserve">-0.007</w:t>
            </w:r>
          </w:p>
        </w:tc>
      </w:tr>
      <w:tr>
        <w:tc>
          <w:tcPr/>
          <w:p>
            <w:pPr>
              <w:pStyle w:val="Compact"/>
            </w:pPr>
            <w:r>
              <w:t xml:space="preserve">70-90</w:t>
            </w:r>
          </w:p>
        </w:tc>
        <w:tc>
          <w:tcPr/>
          <w:p>
            <w:pPr>
              <w:pStyle w:val="Compact"/>
            </w:pPr>
            <w:r>
              <w:t xml:space="preserve">0.011</w:t>
            </w:r>
          </w:p>
        </w:tc>
        <w:tc>
          <w:tcPr/>
          <w:p>
            <w:pPr>
              <w:pStyle w:val="Compact"/>
            </w:pPr>
            <w:r>
              <w:t xml:space="preserve">0.003</w:t>
            </w:r>
          </w:p>
        </w:tc>
        <w:tc>
          <w:tcPr/>
          <w:p>
            <w:pPr>
              <w:pStyle w:val="Compact"/>
            </w:pPr>
            <w:r>
              <w:t xml:space="preserve">-0.003</w:t>
            </w:r>
          </w:p>
        </w:tc>
      </w:tr>
      <w:tr>
        <w:tc>
          <w:tcPr/>
          <w:p>
            <w:pPr>
              <w:pStyle w:val="Compact"/>
            </w:pPr>
            <w:r>
              <w:t xml:space="preserve">&gt;=90</w:t>
            </w:r>
          </w:p>
        </w:tc>
        <w:tc>
          <w:tcPr/>
          <w:p>
            <w:pPr>
              <w:pStyle w:val="Compact"/>
            </w:pPr>
            <w:r>
              <w:t xml:space="preserve">0.008</w:t>
            </w:r>
          </w:p>
        </w:tc>
        <w:tc>
          <w:tcPr/>
          <w:p>
            <w:pPr>
              <w:pStyle w:val="Compact"/>
            </w:pPr>
            <w:r>
              <w:t xml:space="preserve">0.005</w:t>
            </w:r>
          </w:p>
        </w:tc>
        <w:tc>
          <w:tcPr/>
          <w:p>
            <w:pPr>
              <w:pStyle w:val="Compact"/>
            </w:pPr>
            <w:r>
              <w:t xml:space="preserve">-0.002</w:t>
            </w:r>
          </w:p>
        </w:tc>
      </w:tr>
      <w:tr>
        <w:tc>
          <w:tcPr/>
          <w:p>
            <w:pPr>
              <w:pStyle w:val="Compact"/>
            </w:pPr>
            <w:r>
              <w:t xml:space="preserve">IDR</w:t>
            </w:r>
          </w:p>
        </w:tc>
        <w:tc>
          <w:tcPr/>
          <w:p>
            <w:pPr>
              <w:pStyle w:val="Compact"/>
            </w:pPr>
            <w:r>
              <w:t xml:space="preserve">-0.043</w:t>
            </w:r>
          </w:p>
        </w:tc>
        <w:tc>
          <w:tcPr/>
          <w:p>
            <w:pPr>
              <w:pStyle w:val="Compact"/>
            </w:pPr>
            <w:r>
              <w:t xml:space="preserve">0.016</w:t>
            </w:r>
          </w:p>
        </w:tc>
        <w:tc>
          <w:tcPr/>
          <w:p>
            <w:pPr>
              <w:pStyle w:val="Compact"/>
            </w:pPr>
            <w:r>
              <w:t xml:space="preserve">0.060</w:t>
            </w:r>
          </w:p>
        </w:tc>
      </w:tr>
      <w:tr>
        <w:tc>
          <w:tcPr/>
          <w:p>
            <w:pPr>
              <w:pStyle w:val="Compact"/>
            </w:pPr>
            <w:r>
              <w:t xml:space="preserve">ordered</w:t>
            </w:r>
          </w:p>
        </w:tc>
        <w:tc>
          <w:tcPr/>
          <w:p>
            <w:pPr>
              <w:pStyle w:val="Compact"/>
            </w:pPr>
            <w:r>
              <w:t xml:space="preserve">0.038</w:t>
            </w:r>
          </w:p>
        </w:tc>
        <w:tc>
          <w:tcPr/>
          <w:p>
            <w:pPr>
              <w:pStyle w:val="Compact"/>
            </w:pPr>
            <w:r>
              <w:t xml:space="preserve">-0.011</w:t>
            </w:r>
          </w:p>
        </w:tc>
        <w:tc>
          <w:tcPr/>
          <w:p>
            <w:pPr>
              <w:pStyle w:val="Compact"/>
            </w:pPr>
            <w:r>
              <w:t xml:space="preserve">0.005</w:t>
            </w:r>
          </w:p>
        </w:tc>
      </w:tr>
      <w:tr>
        <w:tc>
          <w:tcPr/>
          <w:p>
            <w:pPr>
              <w:pStyle w:val="Compact"/>
            </w:pPr>
            <w:r>
              <w:t xml:space="preserve">core</w:t>
            </w:r>
          </w:p>
        </w:tc>
        <w:tc>
          <w:tcPr/>
          <w:p>
            <w:pPr>
              <w:pStyle w:val="Compact"/>
            </w:pPr>
            <w:r>
              <w:t xml:space="preserve">0.007</w:t>
            </w:r>
          </w:p>
        </w:tc>
        <w:tc>
          <w:tcPr/>
          <w:p>
            <w:pPr>
              <w:pStyle w:val="Compact"/>
            </w:pPr>
            <w:r>
              <w:t xml:space="preserve">0.006</w:t>
            </w:r>
          </w:p>
        </w:tc>
        <w:tc>
          <w:tcPr/>
          <w:p>
            <w:pPr>
              <w:pStyle w:val="Compact"/>
            </w:pPr>
            <w:r>
              <w:t xml:space="preserve">-0.003</w:t>
            </w:r>
          </w:p>
        </w:tc>
      </w:tr>
      <w:tr>
        <w:tc>
          <w:tcPr/>
          <w:p>
            <w:pPr>
              <w:pStyle w:val="Compact"/>
            </w:pPr>
            <w:r>
              <w:t xml:space="preserve">surface</w:t>
            </w:r>
          </w:p>
        </w:tc>
        <w:tc>
          <w:tcPr/>
          <w:p>
            <w:pPr>
              <w:pStyle w:val="Compact"/>
            </w:pPr>
            <w:r>
              <w:t xml:space="preserve">0.010</w:t>
            </w:r>
          </w:p>
        </w:tc>
        <w:tc>
          <w:tcPr/>
          <w:p>
            <w:pPr>
              <w:pStyle w:val="Compact"/>
            </w:pPr>
            <w:r>
              <w:t xml:space="preserve">-0.004</w:t>
            </w:r>
          </w:p>
        </w:tc>
        <w:tc>
          <w:tcPr/>
          <w:p>
            <w:pPr>
              <w:pStyle w:val="Compact"/>
            </w:pPr>
            <w:r>
              <w:t xml:space="preserve">0.003</w:t>
            </w:r>
          </w:p>
        </w:tc>
      </w:tr>
      <w:tr>
        <w:tc>
          <w:tcPr/>
          <w:p>
            <w:pPr>
              <w:pStyle w:val="Compact"/>
            </w:pPr>
            <w:r>
              <w:t xml:space="preserve">helix</w:t>
            </w:r>
          </w:p>
        </w:tc>
        <w:tc>
          <w:tcPr/>
          <w:p>
            <w:pPr>
              <w:pStyle w:val="Compact"/>
            </w:pPr>
            <w:r>
              <w:t xml:space="preserve">0.008</w:t>
            </w:r>
          </w:p>
        </w:tc>
        <w:tc>
          <w:tcPr/>
          <w:p>
            <w:pPr>
              <w:pStyle w:val="Compact"/>
            </w:pPr>
            <w:r>
              <w:t xml:space="preserve">0.003</w:t>
            </w:r>
          </w:p>
        </w:tc>
        <w:tc>
          <w:tcPr/>
          <w:p>
            <w:pPr>
              <w:pStyle w:val="Compact"/>
            </w:pPr>
            <w:r>
              <w:t xml:space="preserve">-0.002</w:t>
            </w:r>
          </w:p>
        </w:tc>
      </w:tr>
      <w:tr>
        <w:tc>
          <w:tcPr/>
          <w:p>
            <w:pPr>
              <w:pStyle w:val="Compact"/>
            </w:pPr>
            <w:r>
              <w:t xml:space="preserve">sheet</w:t>
            </w:r>
          </w:p>
        </w:tc>
        <w:tc>
          <w:tcPr/>
          <w:p>
            <w:pPr>
              <w:pStyle w:val="Compact"/>
            </w:pPr>
            <w:r>
              <w:t xml:space="preserve">0.008</w:t>
            </w:r>
          </w:p>
        </w:tc>
        <w:tc>
          <w:tcPr/>
          <w:p>
            <w:pPr>
              <w:pStyle w:val="Compact"/>
            </w:pPr>
            <w:r>
              <w:t xml:space="preserve">0.008</w:t>
            </w:r>
          </w:p>
        </w:tc>
        <w:tc>
          <w:tcPr/>
          <w:p>
            <w:pPr>
              <w:pStyle w:val="Compact"/>
            </w:pPr>
            <w:r>
              <w:t xml:space="preserve">-0.007</w:t>
            </w:r>
          </w:p>
        </w:tc>
      </w:tr>
      <w:tr>
        <w:tc>
          <w:tcPr/>
          <w:p>
            <w:pPr>
              <w:pStyle w:val="Compact"/>
            </w:pPr>
            <w:r>
              <w:t xml:space="preserve">loop</w:t>
            </w:r>
          </w:p>
        </w:tc>
        <w:tc>
          <w:tcPr/>
          <w:p>
            <w:pPr>
              <w:pStyle w:val="Compact"/>
            </w:pPr>
            <w:r>
              <w:t xml:space="preserve">0.013</w:t>
            </w:r>
          </w:p>
        </w:tc>
        <w:tc>
          <w:tcPr/>
          <w:p>
            <w:pPr>
              <w:pStyle w:val="Compact"/>
            </w:pPr>
            <w:r>
              <w:t xml:space="preserve">0.002</w:t>
            </w:r>
          </w:p>
        </w:tc>
        <w:tc>
          <w:tcPr/>
          <w:p>
            <w:pPr>
              <w:pStyle w:val="Compact"/>
            </w:pPr>
            <w:r>
              <w:t xml:space="preserve">-0.003</w:t>
            </w:r>
          </w:p>
        </w:tc>
      </w:tr>
    </w:tbl>
    <w:p>
      <w:pPr>
        <w:pStyle w:val="BodyText"/>
      </w:pPr>
      <w:r>
        <w:rPr>
          <w:i/>
          <w:iCs/>
        </w:rPr>
        <w:t xml:space="preserve">Positive = family more accurate than the other two (median of protein-level advantages). Contexts not captured by a CSV are omitted.</w:t>
      </w:r>
    </w:p>
    <w:p>
      <w:pPr>
        <w:pStyle w:val="BodyText"/>
      </w:pPr>
      <w:r>
        <w:rPr>
          <w:b/>
          <w:bCs/>
        </w:rPr>
        <w:t xml:space="preserve">Table 3. Clinical transfer AUROC (median per protein).</w:t>
      </w:r>
      <w:r>
        <w:t xml:space="preserve"> </w:t>
      </w:r>
      <w:r>
        <w:t xml:space="preserve">Full set</w:t>
      </w:r>
      <w:r>
        <w:t xml:space="preserve"> </w:t>
      </w:r>
      <w:r>
        <w:t xml:space="preserve">(n = 1,530; uniform = rank-averaged five-model ensemble): uniform 0.972,</w:t>
      </w:r>
      <w:r>
        <w:t xml:space="preserve"> </w:t>
      </w:r>
      <w:r>
        <w:t xml:space="preserve">BioGate 0.944, best single model (PoET) 0.967. Strict non-overlap set,</w:t>
      </w:r>
      <w:r>
        <w:t xml:space="preserve"> </w:t>
      </w:r>
      <w:r>
        <w:t xml:space="preserve">gate-complete subset (n = 789; uniform = the gate-matched two-family</w:t>
      </w:r>
      <w:r>
        <w:t xml:space="preserve"> </w:t>
      </w:r>
      <w:r>
        <w:t xml:space="preserve">centroid average): 0.867, BioGate 0.932, best single 0.974 (reselected</w:t>
      </w:r>
      <w:r>
        <w:t xml:space="preserve"> </w:t>
      </w:r>
      <w:r>
        <w:t xml:space="preserve">within the strict set). Five-model uniform over all 2,490 strict-set</w:t>
      </w:r>
      <w:r>
        <w:t xml:space="preserve"> </w:t>
      </w:r>
      <w:r>
        <w:t xml:space="preserve">proteins: 0.977; standard-homology sensitivity in Table S4.</w:t>
      </w:r>
    </w:p>
    <w:p>
      <w:pPr>
        <w:pStyle w:val="BodyText"/>
      </w:pPr>
      <w:r>
        <w:rPr>
          <w:b/>
          <w:bCs/>
        </w:rPr>
        <w:t xml:space="preserve">Table 3 (data).</w:t>
      </w:r>
      <w:r>
        <w:t xml:space="preserve"> </w:t>
      </w:r>
      <w:r>
        <w:t xml:space="preserve">Median per-protein clinical-transfer AUROC: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w:t>
            </w:r>
          </w:p>
        </w:tc>
        <w:tc>
          <w:tcPr/>
          <w:p>
            <w:pPr>
              <w:pStyle w:val="Compact"/>
            </w:pPr>
            <w:r>
              <w:t xml:space="preserve">n proteins</w:t>
            </w:r>
          </w:p>
        </w:tc>
        <w:tc>
          <w:tcPr/>
          <w:p>
            <w:pPr>
              <w:pStyle w:val="Compact"/>
            </w:pPr>
            <w:r>
              <w:t xml:space="preserve">uniform</w:t>
            </w:r>
          </w:p>
        </w:tc>
        <w:tc>
          <w:tcPr/>
          <w:p>
            <w:pPr>
              <w:pStyle w:val="Compact"/>
            </w:pPr>
            <w:r>
              <w:t xml:space="preserve">BioGate</w:t>
            </w:r>
          </w:p>
        </w:tc>
        <w:tc>
          <w:tcPr/>
          <w:p>
            <w:pPr>
              <w:pStyle w:val="Compact"/>
            </w:pPr>
            <w:r>
              <w:t xml:space="preserve">best single model</w:t>
            </w:r>
          </w:p>
        </w:tc>
      </w:tr>
      <w:tr>
        <w:tc>
          <w:tcPr/>
          <w:p>
            <w:pPr>
              <w:pStyle w:val="Compact"/>
            </w:pPr>
            <w:r>
              <w:t xml:space="preserve">Full clinical benchmark, gate-complete (uniform = five-model)</w:t>
            </w:r>
          </w:p>
        </w:tc>
        <w:tc>
          <w:tcPr/>
          <w:p>
            <w:pPr>
              <w:pStyle w:val="Compact"/>
            </w:pPr>
            <w:r>
              <w:t xml:space="preserve">1530</w:t>
            </w:r>
          </w:p>
        </w:tc>
        <w:tc>
          <w:tcPr/>
          <w:p>
            <w:pPr>
              <w:pStyle w:val="Compact"/>
            </w:pPr>
            <w:r>
              <w:t xml:space="preserve">0.972</w:t>
            </w:r>
          </w:p>
        </w:tc>
        <w:tc>
          <w:tcPr/>
          <w:p>
            <w:pPr>
              <w:pStyle w:val="Compact"/>
            </w:pPr>
            <w:r>
              <w:t xml:space="preserve">0.944</w:t>
            </w:r>
          </w:p>
        </w:tc>
        <w:tc>
          <w:tcPr/>
          <w:p>
            <w:pPr>
              <w:pStyle w:val="Compact"/>
            </w:pPr>
            <w:r>
              <w:t xml:space="preserve">0.967</w:t>
            </w:r>
          </w:p>
        </w:tc>
      </w:tr>
      <w:tr>
        <w:tc>
          <w:tcPr/>
          <w:p>
            <w:pPr>
              <w:pStyle w:val="Compact"/>
            </w:pPr>
            <w:r>
              <w:t xml:space="preserve">Strict non-overlap, gate-complete (uniform = two-family centroids)</w:t>
            </w:r>
          </w:p>
        </w:tc>
        <w:tc>
          <w:tcPr/>
          <w:p>
            <w:pPr>
              <w:pStyle w:val="Compact"/>
            </w:pPr>
            <w:r>
              <w:t xml:space="preserve">789</w:t>
            </w:r>
          </w:p>
        </w:tc>
        <w:tc>
          <w:tcPr/>
          <w:p>
            <w:pPr>
              <w:pStyle w:val="Compact"/>
            </w:pPr>
            <w:r>
              <w:t xml:space="preserve">0.867</w:t>
            </w:r>
          </w:p>
        </w:tc>
        <w:tc>
          <w:tcPr/>
          <w:p>
            <w:pPr>
              <w:pStyle w:val="Compact"/>
            </w:pPr>
            <w:r>
              <w:t xml:space="preserve">0.932</w:t>
            </w:r>
          </w:p>
        </w:tc>
        <w:tc>
          <w:tcPr/>
          <w:p>
            <w:pPr>
              <w:pStyle w:val="Compact"/>
            </w:pPr>
            <w:r>
              <w:t xml:space="preserve">0.974</w:t>
            </w:r>
          </w:p>
        </w:tc>
      </w:tr>
      <w:tr>
        <w:tc>
          <w:tcPr/>
          <w:p>
            <w:pPr>
              <w:pStyle w:val="Compact"/>
            </w:pPr>
            <w:r>
              <w:t xml:space="preserve">Strict non-overlap, all proteins (five-model uniform)</w:t>
            </w:r>
          </w:p>
        </w:tc>
        <w:tc>
          <w:tcPr/>
          <w:p>
            <w:pPr>
              <w:pStyle w:val="Compact"/>
            </w:pPr>
            <w:r>
              <w:t xml:space="preserve">2,490</w:t>
            </w:r>
          </w:p>
        </w:tc>
        <w:tc>
          <w:tcPr/>
          <w:p>
            <w:pPr>
              <w:pStyle w:val="Compact"/>
            </w:pPr>
            <w:r>
              <w:t xml:space="preserve">0.977</w:t>
            </w:r>
          </w:p>
        </w:tc>
        <w:tc>
          <w:tcPr/>
          <w:p>
            <w:pPr>
              <w:pStyle w:val="Compact"/>
            </w:pPr>
            <w:r>
              <w:t xml:space="preserve">-</w:t>
            </w:r>
          </w:p>
        </w:tc>
        <w:tc>
          <w:tcPr/>
          <w:p>
            <w:pPr>
              <w:pStyle w:val="Compact"/>
            </w:pPr>
            <w:r>
              <w:t xml:space="preserve">-</w:t>
            </w:r>
          </w:p>
        </w:tc>
      </w:tr>
    </w:tbl>
    <w:p>
      <w:pPr>
        <w:pStyle w:val="BodyText"/>
      </w:pPr>
      <w:r>
        <w:rPr>
          <w:b/>
          <w:bCs/>
        </w:rPr>
        <w:t xml:space="preserve">Table 4. BioGate 5-fold UniProt-grouped cross-validation (median</w:t>
      </w:r>
      <w:r>
        <w:rPr>
          <w:b/>
          <w:bCs/>
        </w:rPr>
        <w:t xml:space="preserve"> </w:t>
      </w:r>
      <w:r>
        <w:rPr>
          <w:b/>
          <w:bCs/>
        </w:rPr>
        <w:t xml:space="preserve">protein-level Spearman, percentile space).</w:t>
      </w:r>
      <w:r>
        <w:t xml:space="preserve"> </w:t>
      </w:r>
      <w:r>
        <w:t xml:space="preserve">best family expert</w:t>
      </w:r>
      <w:r>
        <w:t xml:space="preserve"> </w:t>
      </w:r>
      <w:r>
        <w:t xml:space="preserve">(evolution centroid) 0.473; linear</w:t>
      </w:r>
      <w:r>
        <w:t xml:space="preserve"> </w:t>
      </w:r>
      <w:r>
        <w:t xml:space="preserve">stacking 0.528; uniform ensemble 0.542; BioGate 0.551; XGBoost</w:t>
      </w:r>
      <w:r>
        <w:t xml:space="preserve"> </w:t>
      </w:r>
      <w:r>
        <w:t xml:space="preserve">(scores + context) 0.573 (pooled out-of-fold protein median, the</w:t>
      </w:r>
      <w:r>
        <w:t xml:space="preserve"> </w:t>
      </w:r>
      <w:r>
        <w:t xml:space="preserve">aggregation used in this table; the per-fold-median aggregation of</w:t>
      </w:r>
      <w:r>
        <w:t xml:space="preserve"> </w:t>
      </w:r>
      <w:r>
        <w:t xml:space="preserve">Table S5 yields 0.551 for the same configuration). The median</w:t>
      </w:r>
      <w:r>
        <w:t xml:space="preserve"> </w:t>
      </w:r>
      <w:r>
        <w:t xml:space="preserve">within-protein paired difference</w:t>
      </w:r>
      <w:r>
        <w:t xml:space="preserve"> </w:t>
      </w:r>
      <w:r>
        <w:t xml:space="preserve">(BioGate - uniform) was 0.000 (bootstrap 95% CI -0.008 to +0.008).</w:t>
      </w:r>
      <w:r>
        <w:t xml:space="preserve"> </w:t>
      </w:r>
      <w:r>
        <w:t xml:space="preserve">XGBoost ablations (Table S5): scores only 0.509, context only 0.167,</w:t>
      </w:r>
      <w:r>
        <w:t xml:space="preserve"> </w:t>
      </w:r>
      <w:r>
        <w:t xml:space="preserve">scores + context 0.551.</w:t>
      </w:r>
    </w:p>
    <w:p>
      <w:pPr>
        <w:pStyle w:val="BodyText"/>
      </w:pPr>
      <w:r>
        <w:rPr>
          <w:b/>
          <w:bCs/>
        </w:rPr>
        <w:t xml:space="preserve">Table 4 (data).</w:t>
      </w:r>
      <w:r>
        <w:t xml:space="preserve"> </w:t>
      </w:r>
      <w:r>
        <w:t xml:space="preserve">BioGate 5-fold UniProt-grouped cross-validation (protein-level, percentile space):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proteins</w:t>
            </w:r>
          </w:p>
        </w:tc>
        <w:tc>
          <w:tcPr/>
          <w:p>
            <w:pPr>
              <w:pStyle w:val="Compact"/>
            </w:pPr>
            <w:r>
              <w:t xml:space="preserve">median Spearman</w:t>
            </w:r>
          </w:p>
        </w:tc>
        <w:tc>
          <w:tcPr/>
          <w:p>
            <w:pPr>
              <w:pStyle w:val="Compact"/>
            </w:pPr>
            <w:r>
              <w:t xml:space="preserve">mean Spearman</w:t>
            </w:r>
          </w:p>
        </w:tc>
        <w:tc>
          <w:tcPr/>
          <w:p>
            <w:pPr>
              <w:pStyle w:val="Compact"/>
            </w:pPr>
            <w:r>
              <w:t xml:space="preserve">mean AUROC</w:t>
            </w:r>
          </w:p>
        </w:tc>
      </w:tr>
      <w:tr>
        <w:tc>
          <w:tcPr/>
          <w:p>
            <w:pPr>
              <w:pStyle w:val="Compact"/>
            </w:pPr>
            <w:r>
              <w:t xml:space="preserve">best_single(U_evolution)</w:t>
            </w:r>
          </w:p>
        </w:tc>
        <w:tc>
          <w:tcPr/>
          <w:p>
            <w:pPr>
              <w:pStyle w:val="Compact"/>
            </w:pPr>
            <w:r>
              <w:t xml:space="preserve">186</w:t>
            </w:r>
          </w:p>
        </w:tc>
        <w:tc>
          <w:tcPr/>
          <w:p>
            <w:pPr>
              <w:pStyle w:val="Compact"/>
            </w:pPr>
            <w:r>
              <w:t xml:space="preserve">0.473</w:t>
            </w:r>
          </w:p>
        </w:tc>
        <w:tc>
          <w:tcPr/>
          <w:p>
            <w:pPr>
              <w:pStyle w:val="Compact"/>
            </w:pPr>
            <w:r>
              <w:t xml:space="preserve">0.467</w:t>
            </w:r>
          </w:p>
        </w:tc>
        <w:tc>
          <w:tcPr/>
          <w:p>
            <w:pPr>
              <w:pStyle w:val="Compact"/>
            </w:pPr>
            <w:r>
              <w:t xml:space="preserve">0.748</w:t>
            </w:r>
          </w:p>
        </w:tc>
      </w:tr>
      <w:tr>
        <w:tc>
          <w:tcPr/>
          <w:p>
            <w:pPr>
              <w:pStyle w:val="Compact"/>
            </w:pPr>
            <w:r>
              <w:t xml:space="preserve">biogate</w:t>
            </w:r>
          </w:p>
        </w:tc>
        <w:tc>
          <w:tcPr/>
          <w:p>
            <w:pPr>
              <w:pStyle w:val="Compact"/>
            </w:pPr>
            <w:r>
              <w:t xml:space="preserve">186</w:t>
            </w:r>
          </w:p>
        </w:tc>
        <w:tc>
          <w:tcPr/>
          <w:p>
            <w:pPr>
              <w:pStyle w:val="Compact"/>
            </w:pPr>
            <w:r>
              <w:t xml:space="preserve">0.551</w:t>
            </w:r>
          </w:p>
        </w:tc>
        <w:tc>
          <w:tcPr/>
          <w:p>
            <w:pPr>
              <w:pStyle w:val="Compact"/>
            </w:pPr>
            <w:r>
              <w:t xml:space="preserve">0.526</w:t>
            </w:r>
          </w:p>
        </w:tc>
        <w:tc>
          <w:tcPr/>
          <w:p>
            <w:pPr>
              <w:pStyle w:val="Compact"/>
            </w:pPr>
            <w:r>
              <w:t xml:space="preserve">0.747</w:t>
            </w:r>
          </w:p>
        </w:tc>
      </w:tr>
      <w:tr>
        <w:tc>
          <w:tcPr/>
          <w:p>
            <w:pPr>
              <w:pStyle w:val="Compact"/>
            </w:pPr>
            <w:r>
              <w:t xml:space="preserve">linear_stacking</w:t>
            </w:r>
          </w:p>
        </w:tc>
        <w:tc>
          <w:tcPr/>
          <w:p>
            <w:pPr>
              <w:pStyle w:val="Compact"/>
            </w:pPr>
            <w:r>
              <w:t xml:space="preserve">186</w:t>
            </w:r>
          </w:p>
        </w:tc>
        <w:tc>
          <w:tcPr/>
          <w:p>
            <w:pPr>
              <w:pStyle w:val="Compact"/>
            </w:pPr>
            <w:r>
              <w:t xml:space="preserve">0.528</w:t>
            </w:r>
          </w:p>
        </w:tc>
        <w:tc>
          <w:tcPr/>
          <w:p>
            <w:pPr>
              <w:pStyle w:val="Compact"/>
            </w:pPr>
            <w:r>
              <w:t xml:space="preserve">0.521</w:t>
            </w:r>
          </w:p>
        </w:tc>
        <w:tc>
          <w:tcPr/>
          <w:p>
            <w:pPr>
              <w:pStyle w:val="Compact"/>
            </w:pPr>
            <w:r>
              <w:t xml:space="preserve">0.758</w:t>
            </w:r>
          </w:p>
        </w:tc>
      </w:tr>
      <w:tr>
        <w:tc>
          <w:tcPr/>
          <w:p>
            <w:pPr>
              <w:pStyle w:val="Compact"/>
            </w:pPr>
            <w:r>
              <w:t xml:space="preserve">uniform_ensemble</w:t>
            </w:r>
          </w:p>
        </w:tc>
        <w:tc>
          <w:tcPr/>
          <w:p>
            <w:pPr>
              <w:pStyle w:val="Compact"/>
            </w:pPr>
            <w:r>
              <w:t xml:space="preserve">186</w:t>
            </w:r>
          </w:p>
        </w:tc>
        <w:tc>
          <w:tcPr/>
          <w:p>
            <w:pPr>
              <w:pStyle w:val="Compact"/>
            </w:pPr>
            <w:r>
              <w:t xml:space="preserve">0.542</w:t>
            </w:r>
          </w:p>
        </w:tc>
        <w:tc>
          <w:tcPr/>
          <w:p>
            <w:pPr>
              <w:pStyle w:val="Compact"/>
            </w:pPr>
            <w:r>
              <w:t xml:space="preserve">0.526</w:t>
            </w:r>
          </w:p>
        </w:tc>
        <w:tc>
          <w:tcPr/>
          <w:p>
            <w:pPr>
              <w:pStyle w:val="Compact"/>
            </w:pPr>
            <w:r>
              <w:t xml:space="preserve">0.757</w:t>
            </w:r>
          </w:p>
        </w:tc>
      </w:tr>
      <w:tr>
        <w:tc>
          <w:tcPr/>
          <w:p>
            <w:pPr>
              <w:pStyle w:val="Compact"/>
            </w:pPr>
            <w:r>
              <w:t xml:space="preserve">xgboost</w:t>
            </w:r>
          </w:p>
        </w:tc>
        <w:tc>
          <w:tcPr/>
          <w:p>
            <w:pPr>
              <w:pStyle w:val="Compact"/>
            </w:pPr>
            <w:r>
              <w:t xml:space="preserve">186</w:t>
            </w:r>
          </w:p>
        </w:tc>
        <w:tc>
          <w:tcPr/>
          <w:p>
            <w:pPr>
              <w:pStyle w:val="Compact"/>
            </w:pPr>
            <w:r>
              <w:t xml:space="preserve">0.573</w:t>
            </w:r>
          </w:p>
        </w:tc>
        <w:tc>
          <w:tcPr/>
          <w:p>
            <w:pPr>
              <w:pStyle w:val="Compact"/>
            </w:pPr>
            <w:r>
              <w:t xml:space="preserve">0.546</w:t>
            </w:r>
          </w:p>
        </w:tc>
        <w:tc>
          <w:tcPr/>
          <w:p>
            <w:pPr>
              <w:pStyle w:val="Compact"/>
            </w:pPr>
            <w:r>
              <w:t xml:space="preserve">0.758</w:t>
            </w:r>
          </w:p>
        </w:tc>
      </w:tr>
    </w:tbl>
    <w:p>
      <w:pPr>
        <w:pStyle w:val="BodyText"/>
      </w:pPr>
      <w:r>
        <w:rPr>
          <w:b/>
          <w:bCs/>
        </w:rPr>
        <w:t xml:space="preserve">Table S1. Residue-level pLDDT association across disagreement</w:t>
      </w:r>
      <w:r>
        <w:rPr>
          <w:b/>
          <w:bCs/>
        </w:rPr>
        <w:t xml:space="preserve"> </w:t>
      </w:r>
      <w:r>
        <w:rPr>
          <w:b/>
          <w:bCs/>
        </w:rPr>
        <w:t xml:space="preserve">definitions.</w:t>
      </w:r>
      <w:r>
        <w:t xml:space="preserve"> </w:t>
      </w:r>
      <w:r>
        <w:t xml:space="preserve">D_std -0.078, D_MAD -0.076, D_pair -0.089, D_u -0.115</w:t>
      </w:r>
      <w:r>
        <w:t xml:space="preserve"> </w:t>
      </w:r>
      <w:r>
        <w:t xml:space="preserve">(median rho; all CIs exclude zero; 71-77% of proteins negative; four</w:t>
      </w:r>
      <w:r>
        <w:t xml:space="preserve"> </w:t>
      </w:r>
      <w:r>
        <w:t xml:space="preserve">complementary definitions). Effect sizes (D_evo_struct): lowest-vs-highest</w:t>
      </w:r>
      <w:r>
        <w:t xml:space="preserve"> </w:t>
      </w:r>
      <w:r>
        <w:t xml:space="preserve">pLDDT decile difference +0.057 (CI +0.013 to +0.084); Cohen’s d 0.15</w:t>
      </w:r>
      <w:r>
        <w:t xml:space="preserve"> </w:t>
      </w:r>
      <w:r>
        <w:t xml:space="preserve">(CI 0.04-0.23); enrichment OR (low-pLDDT decile vs top-disagreement decile)</w:t>
      </w:r>
      <w:r>
        <w:t xml:space="preserve"> </w:t>
      </w:r>
      <w:r>
        <w:t xml:space="preserve">median 1.84 (CI 1.62-2.04), pooled 1.49 (CI 1.35-1.65).</w:t>
      </w:r>
    </w:p>
    <w:p>
      <w:pPr>
        <w:pStyle w:val="BodyText"/>
      </w:pPr>
      <w:r>
        <w:rPr>
          <w:b/>
          <w:bCs/>
        </w:rPr>
        <w:t xml:space="preserve">Table S2. Confound controls for the shared AlphaFold input.</w:t>
      </w:r>
      <w:r>
        <w:t xml:space="preserve"> </w:t>
      </w:r>
      <w:r>
        <w:t xml:space="preserve">(i)</w:t>
      </w:r>
      <w:r>
        <w:t xml:space="preserve"> </w:t>
      </w:r>
      <w:r>
        <w:t xml:space="preserve">Asymmetry: residue-level rho(seq-vs-struct, pLDDT) = +0.01 vs</w:t>
      </w:r>
      <w:r>
        <w:t xml:space="preserve"> </w:t>
      </w:r>
      <w:r>
        <w:t xml:space="preserve">rho(evo-vs-struct, pLDDT) = -0.04 (65% of proteins in the evo-struct</w:t>
      </w:r>
      <w:r>
        <w:t xml:space="preserve"> </w:t>
      </w:r>
      <w:r>
        <w:t xml:space="preserve">direction); (ii) structure-model DMS association as median |Spearman rho| with the</w:t>
      </w:r>
      <w:r>
        <w:t xml:space="preserve"> </w:t>
      </w:r>
      <w:r>
        <w:t xml:space="preserve">DMS fitness score (released structure scores are oriented toward</w:t>
      </w:r>
      <w:r>
        <w:t xml:space="preserve"> </w:t>
      </w:r>
      <w:r>
        <w:t xml:space="preserve">deleteriousness, so signed correlations are negative; absolute values</w:t>
      </w:r>
      <w:r>
        <w:t xml:space="preserve"> </w:t>
      </w:r>
      <w:r>
        <w:t xml:space="preserve">are used here and in panel (ii) of Table S2): ESM-IF1 0.04 at &lt;50 vs</w:t>
      </w:r>
      <w:r>
        <w:t xml:space="preserve"> </w:t>
      </w:r>
      <w:r>
        <w:t xml:space="preserve">0.47 at &gt;=90; MIF 0.03 vs 0.43; ProteinMPNN 0.01 vs 0.22;</w:t>
      </w:r>
      <w:r>
        <w:t xml:space="preserve"> </w:t>
      </w:r>
      <w:r>
        <w:t xml:space="preserve">(iii) structure-model score coverage = 100% at all pLDDT levels;</w:t>
      </w:r>
      <w:r>
        <w:t xml:space="preserve"> </w:t>
      </w:r>
      <w:r>
        <w:t xml:space="preserve">(iv) protein-fixed-effects regression of residue-level</w:t>
      </w:r>
      <w:r>
        <w:t xml:space="preserve"> </w:t>
      </w:r>
      <w:r>
        <w:t xml:space="preserve">evo-vs-structure disagreement on pLDDT, adjusted for disorder, contact</w:t>
      </w:r>
      <w:r>
        <w:t xml:space="preserve"> </w:t>
      </w:r>
      <w:r>
        <w:t xml:space="preserve">density, secondary structure, normalized position, MSA depth and</w:t>
      </w:r>
      <w:r>
        <w:t xml:space="preserve"> </w:t>
      </w:r>
      <w:r>
        <w:t xml:space="preserve">structure coverage, with protein-clustered standard errors.</w:t>
      </w:r>
    </w:p>
    <w:p>
      <w:pPr>
        <w:pStyle w:val="BodyText"/>
      </w:pPr>
      <w:r>
        <w:rPr>
          <w:b/>
          <w:bCs/>
        </w:rPr>
        <w:t xml:space="preserve">Table S3. Regime robustness across K = 4-7.</w:t>
      </w:r>
      <w:r>
        <w:t xml:space="preserve"> </w:t>
      </w:r>
      <w:r>
        <w:t xml:space="preserve">Consensus regimes track</w:t>
      </w:r>
      <w:r>
        <w:t xml:space="preserve"> </w:t>
      </w:r>
      <w:r>
        <w:t xml:space="preserve">experimental Y at every K (Y_tolerant 0.26-0.30; Y_damaging 0.73-0.79);</w:t>
      </w:r>
      <w:r>
        <w:t xml:space="preserve"> </w:t>
      </w:r>
      <w:r>
        <w:t xml:space="preserve">cross-assay position-level agreement 0.75-0.84 at every K (pair</w:t>
      </w:r>
      <w:r>
        <w:t xml:space="preserve"> </w:t>
      </w:r>
      <w:r>
        <w:t xml:space="preserve">count 30 at every K, using assay pairs with &gt;= 20 shared positions; the</w:t>
      </w:r>
      <w:r>
        <w:t xml:space="preserve"> </w:t>
      </w:r>
      <w:r>
        <w:t xml:space="preserve">phenotype-replication criterion of Section 2.4 – &gt;= 3 regimes with</w:t>
      </w:r>
      <w:r>
        <w:t xml:space="preserve"> </w:t>
      </w:r>
      <w:r>
        <w:t xml:space="preserve">&gt;= 20 variants – yields 37 pairs); the structure-dissenting pattern emerges at K &gt;= 6; ARI vs K = 6: 0.35 (K = 4),</w:t>
      </w:r>
      <w:r>
        <w:t xml:space="preserve"> </w:t>
      </w:r>
      <w:r>
        <w:t xml:space="preserve">0.58 (K = 5), 0.46 (K = 7).</w:t>
      </w:r>
    </w:p>
    <w:p>
      <w:pPr>
        <w:pStyle w:val="BodyText"/>
      </w:pPr>
      <w:r>
        <w:rPr>
          <w:b/>
          <w:bCs/>
        </w:rPr>
        <w:t xml:space="preserve">Table S4. Standard-homology sensitivity.</w:t>
      </w:r>
      <w:r>
        <w:t xml:space="preserve"> </w:t>
      </w:r>
      <w:r>
        <w:t xml:space="preserve">Clinical-versus-DMS best hits</w:t>
      </w:r>
      <w:r>
        <w:t xml:space="preserve"> </w:t>
      </w:r>
      <w:r>
        <w:t xml:space="preserve">by HMMER3 phmmer (E &lt;= 1e-3), excluding proteins with &gt;= 70% pairwise</w:t>
      </w:r>
      <w:r>
        <w:t xml:space="preserve"> </w:t>
      </w:r>
      <w:r>
        <w:t xml:space="preserve">identity over aligned residues AND &gt;= 70% query coverage (primary set:</w:t>
      </w:r>
      <w:r>
        <w:t xml:space="preserve"> </w:t>
      </w:r>
      <w:r>
        <w:t xml:space="preserve">35 excluded, 2,490 proteins retained, median rank-averaged uniform-ensemble</w:t>
      </w:r>
      <w:r>
        <w:t xml:space="preserve"> </w:t>
      </w:r>
      <w:r>
        <w:t xml:space="preserve">AUROC 0.977); 50% and 30% identity thresholds exclude 46 and 82 proteins</w:t>
      </w:r>
      <w:r>
        <w:t xml:space="preserve"> </w:t>
      </w:r>
      <w:r>
        <w:t xml:space="preserve">with medians 0.977 and 0.977. The 8-mer heuristic used in the previous</w:t>
      </w:r>
      <w:r>
        <w:t xml:space="preserve"> </w:t>
      </w:r>
      <w:r>
        <w:t xml:space="preserve">draft shares 34 of the 35 exclusions at the 70% level.</w:t>
      </w:r>
    </w:p>
    <w:p>
      <w:pPr>
        <w:pStyle w:val="BodyText"/>
      </w:pPr>
      <w:r>
        <w:rPr>
          <w:b/>
          <w:bCs/>
        </w:rPr>
        <w:t xml:space="preserve">Table S5. XGBoost ablations (5-fold UniProt-grouped CV, percentile</w:t>
      </w:r>
      <w:r>
        <w:rPr>
          <w:b/>
          <w:bCs/>
        </w:rPr>
        <w:t xml:space="preserve"> </w:t>
      </w:r>
      <w:r>
        <w:rPr>
          <w:b/>
          <w:bCs/>
        </w:rPr>
        <w:t xml:space="preserve">space; median of per-fold medians).</w:t>
      </w:r>
      <w:r>
        <w:t xml:space="preserve"> </w:t>
      </w:r>
      <w:r>
        <w:t xml:space="preserve">scores only 0.509; context only 0.167; scores + context 0.551;</w:t>
      </w:r>
      <w:r>
        <w:t xml:space="preserve"> </w:t>
      </w:r>
      <w:r>
        <w:t xml:space="preserve">uniform ensemble 0.542.</w:t>
      </w:r>
    </w:p>
    <w:p>
      <w:pPr>
        <w:pStyle w:val="BodyText"/>
      </w:pPr>
      <w:r>
        <w:rPr>
          <w:b/>
          <w:bCs/>
        </w:rPr>
        <w:t xml:space="preserve">Table S6. Model panel composition.</w:t>
      </w:r>
      <w:r>
        <w:t xml:space="preserve"> </w:t>
      </w:r>
      <w:r>
        <w:t xml:space="preserve">Per core model: architecture, input</w:t>
      </w:r>
      <w:r>
        <w:t xml:space="preserve"> </w:t>
      </w:r>
      <w:r>
        <w:t xml:space="preserve">modalities, AlphaFold-structure input, mechanistic-panel membership</w:t>
      </w:r>
      <w:r>
        <w:t xml:space="preserve"> </w:t>
      </w:r>
      <w:r>
        <w:t xml:space="preserve">(model_panel_table.csv).</w:t>
      </w:r>
    </w:p>
    <w:p>
      <w:pPr>
        <w:pStyle w:val="BodyText"/>
      </w:pPr>
      <w:r>
        <w:rPr>
          <w:b/>
          <w:bCs/>
        </w:rPr>
        <w:t xml:space="preserve">Table S7. Clinical paired deltas (10,000 protein bootstrap).</w:t>
      </w:r>
      <w:r>
        <w:t xml:space="preserve"> </w:t>
      </w:r>
      <w:r>
        <w:t xml:space="preserve">Full set</w:t>
      </w:r>
      <w:r>
        <w:t xml:space="preserve"> </w:t>
      </w:r>
      <w:r>
        <w:t xml:space="preserve">(baseline: five-model rank-averaged uniform): BioGate - uniform -0.011</w:t>
      </w:r>
      <w:r>
        <w:t xml:space="preserve"> </w:t>
      </w:r>
      <w:r>
        <w:t xml:space="preserve">[-0.014, -0.008]; best single - uniform 0.000 [0.000, 0.000]. Strict set</w:t>
      </w:r>
      <w:r>
        <w:t xml:space="preserve"> </w:t>
      </w:r>
      <w:r>
        <w:t xml:space="preserve">(baseline: gate-matched two-family centroid uniform): BioGate - uniform</w:t>
      </w:r>
      <w:r>
        <w:t xml:space="preserve"> </w:t>
      </w:r>
      <w:r>
        <w:t xml:space="preserve">+0.045 [+0.038, +0.053]; best single - uniform +0.085 [+0.077, +0.091];</w:t>
      </w:r>
      <w:r>
        <w:t xml:space="preserve"> </w:t>
      </w:r>
      <w:r>
        <w:t xml:space="preserve">best single - BioGate +0.023 [+0.019, +0.028].</w:t>
      </w:r>
    </w:p>
    <w:p>
      <w:pPr>
        <w:pStyle w:val="BodyText"/>
      </w:pPr>
      <w:r>
        <w:rPr>
          <w:b/>
          <w:bCs/>
        </w:rPr>
        <w:t xml:space="preserve">Table S8. Held-out protein regime generalization.</w:t>
      </w:r>
      <w:r>
        <w:t xml:space="preserve"> </w:t>
      </w:r>
      <w:r>
        <w:t xml:space="preserve">Median regime-profile</w:t>
      </w:r>
      <w:r>
        <w:t xml:space="preserve"> </w:t>
      </w:r>
      <w:r>
        <w:t xml:space="preserve">Spearman 0.94 (IQR 0.89-1.00, 100% positive, 185 proteins); dissenting</w:t>
      </w:r>
      <w:r>
        <w:t xml:space="preserve"> </w:t>
      </w:r>
      <w:r>
        <w:t xml:space="preserve">regime held-out Y median 0.61, damaging in 72% of supported proteins;</w:t>
      </w:r>
      <w:r>
        <w:t xml:space="preserve"> </w:t>
      </w:r>
      <w:r>
        <w:t xml:space="preserve">cross-assay replication on held-out proteins median 0.94 (28 pairs,</w:t>
      </w:r>
      <w:r>
        <w:t xml:space="preserve"> </w:t>
      </w:r>
      <w:r>
        <w:t xml:space="preserve">100% above chance).</w:t>
      </w:r>
    </w:p>
    <w:p>
      <w:pPr>
        <w:pStyle w:val="BodyText"/>
      </w:pPr>
      <w:r>
        <w:rPr>
          <w:b/>
          <w:bCs/>
        </w:rPr>
        <w:t xml:space="preserve">Table S9. Regime-selection audit and functional-feature controls.</w:t>
      </w:r>
      <w:r>
        <w:t xml:space="preserve"> </w:t>
      </w:r>
      <w:r>
        <w:t xml:space="preserve">(a) Gaussian-mixture BIC sweep over K = 2-8 (family-centroid input,</w:t>
      </w:r>
      <w:r>
        <w:t xml:space="preserve"> </w:t>
      </w:r>
      <w:r>
        <w:t xml:space="preserve">covariance_type = full, n_init = 3, identical settings to the regime fit);</w:t>
      </w:r>
      <w:r>
        <w:t xml:space="preserve"> </w:t>
      </w:r>
      <w:r>
        <w:t xml:space="preserve">K = 6 minimizes BIC. (b) Within-protein permutation enrichment of</w:t>
      </w:r>
      <w:r>
        <w:t xml:space="preserve"> </w:t>
      </w:r>
      <w:r>
        <w:t xml:space="preserve">high-disagreement residues for UniProt functional features with</w:t>
      </w:r>
      <w:r>
        <w:t xml:space="preserve"> </w:t>
      </w:r>
      <w:r>
        <w:t xml:space="preserve">Benjamini-Hochberg FDR control across features; no feature survives</w:t>
      </w:r>
      <w:r>
        <w:t xml:space="preserve"> </w:t>
      </w:r>
      <w:r>
        <w:t xml:space="preserve">(minimum q = 0.60).</w:t>
      </w:r>
    </w:p>
    <w:p>
      <w:pPr>
        <w:pStyle w:val="BodyText"/>
      </w:pPr>
      <w:r>
        <w:rPr>
          <w:b/>
          <w:bCs/>
        </w:rPr>
        <w:t xml:space="preserve">Table S10. Matched five-model control and averaging-convention</w:t>
      </w:r>
      <w:r>
        <w:rPr>
          <w:b/>
          <w:bCs/>
        </w:rPr>
        <w:t xml:space="preserve"> </w:t>
      </w:r>
      <w:r>
        <w:rPr>
          <w:b/>
          <w:bCs/>
        </w:rPr>
        <w:t xml:space="preserve">sensitivity.</w:t>
      </w:r>
      <w:r>
        <w:t xml:space="preserve"> </w:t>
      </w:r>
      <w:r>
        <w:t xml:space="preserve">(a) Identical SD(z) disagreement and rank-averaged ensemble</w:t>
      </w:r>
      <w:r>
        <w:t xml:space="preserve"> </w:t>
      </w:r>
      <w:r>
        <w:t xml:space="preserve">error in both datasets: median per-assay (DMS) or per-protein (clinical)</w:t>
      </w:r>
      <w:r>
        <w:t xml:space="preserve"> </w:t>
      </w:r>
      <w:r>
        <w:t xml:space="preserve">Spearman with 10,000-resample bootstrap CIs, plus the scale-matched AUROC</w:t>
      </w:r>
      <w:r>
        <w:t xml:space="preserve"> </w:t>
      </w:r>
      <w:r>
        <w:t xml:space="preserve">comparison (above-median error in DMS; misclassification at the 0.5 rule</w:t>
      </w:r>
      <w:r>
        <w:t xml:space="preserve"> </w:t>
      </w:r>
      <w:r>
        <w:t xml:space="preserve">in clinical). (b) Five-model uniform AUROC by averaging convention (naive</w:t>
      </w:r>
      <w:r>
        <w:t xml:space="preserve"> </w:t>
      </w:r>
      <w:r>
        <w:t xml:space="preserve">raw-score mean versus rank mean), all scored proteins and the gate-complete</w:t>
      </w:r>
      <w:r>
        <w:t xml:space="preserve"> </w:t>
      </w:r>
      <w:r>
        <w:t xml:space="preserve">strict subset. (c) Paired BioGate minus rank-averaged five-model uniform,</w:t>
      </w:r>
      <w:r>
        <w:t xml:space="preserve"> </w:t>
      </w:r>
      <w:r>
        <w:t xml:space="preserve">strict set.</w:t>
      </w:r>
    </w:p>
    <w:p>
      <w:pPr>
        <w:pStyle w:val="BodyText"/>
      </w:pPr>
      <w:r>
        <w:rPr>
          <w:b/>
          <w:bCs/>
        </w:rPr>
        <w:t xml:space="preserve">Table S11. Structure-subset sensitivity of the residue-level pLDDT</w:t>
      </w:r>
      <w:r>
        <w:rPr>
          <w:b/>
          <w:bCs/>
        </w:rPr>
        <w:t xml:space="preserve"> </w:t>
      </w:r>
      <w:r>
        <w:rPr>
          <w:b/>
          <w:bCs/>
        </w:rPr>
        <w:t xml:space="preserve">association.</w:t>
      </w:r>
      <w:r>
        <w:t xml:space="preserve"> </w:t>
      </w:r>
      <w:r>
        <w:t xml:space="preserve">All seven non-empty subsets of the three released structure</w:t>
      </w:r>
      <w:r>
        <w:t xml:space="preserve"> </w:t>
      </w:r>
      <w:r>
        <w:t xml:space="preserve">models; percentile-space independent recomputation (median within-protein</w:t>
      </w:r>
      <w:r>
        <w:t xml:space="preserve"> </w:t>
      </w:r>
      <w:r>
        <w:t xml:space="preserve">Spearman; protein bootstrap CI; sign-test p).</w:t>
      </w:r>
    </w:p>
    <w:p>
      <w:pPr>
        <w:pStyle w:val="BodyText"/>
      </w:pPr>
      <w:r>
        <w:rPr>
          <w:b/>
          <w:bCs/>
        </w:rPr>
        <w:t xml:space="preserve">Table S12. Held-out regime generalization excluding the consensus</w:t>
      </w:r>
      <w:r>
        <w:rPr>
          <w:b/>
          <w:bCs/>
        </w:rPr>
        <w:t xml:space="preserve"> </w:t>
      </w:r>
      <w:r>
        <w:rPr>
          <w:b/>
          <w:bCs/>
        </w:rPr>
        <w:t xml:space="preserve">regimes.</w:t>
      </w:r>
      <w:r>
        <w:t xml:space="preserve"> </w:t>
      </w:r>
      <w:r>
        <w:t xml:space="preserve">Concordance over the four non-consensus regimes (median;</w:t>
      </w:r>
      <w:r>
        <w:t xml:space="preserve"> </w:t>
      </w:r>
      <w:r>
        <w:t xml:space="preserve">interquartile) and per-regime training versus held-out experimental-Y</w:t>
      </w:r>
      <w:r>
        <w:t xml:space="preserve"> </w:t>
      </w:r>
      <w:r>
        <w:t xml:space="preserve">medians.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2026-09-13T10:03:54Z</dcterms:created>
  <dcterms:modified xsi:type="dcterms:W3CDTF">2026-09-13T10:03:54Z</dcterms:modified>
</cp:coreProperties>
</file>

<file path=docProps/custom.xml><?xml version="1.0" encoding="utf-8"?>
<Properties xmlns="http://schemas.openxmlformats.org/officeDocument/2006/custom-properties" xmlns:vt="http://schemas.openxmlformats.org/officeDocument/2006/docPropsVTypes"/>
</file>