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ddcfdee9e5df1ea2b7edd1918f3c96f2fd94a6"/>
    <w:p>
      <w:pPr>
        <w:pStyle w:val="Heading1"/>
      </w:pPr>
      <w:r>
        <w:t xml:space="preserve">Protein AI Model Disagreement Tracks AlphaFold Structural Confidence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decreases monotonically with pLDDT (median residue-level Spearman -0.04, 95% CI -0.06 to -0.03; 67.5% of 154 proteins negative; p &lt; 0.001), robust to multivariable adjustment, panel resampling and four definitions of total disagreement; low-confidence residues are ~1.5-1.8x more likely to be maximally disagreeable. Two external controls argue against an input-quality artifact: ESM-IF1 rescoring on experimental structures (64 assays) runs opposite to that explanation, and SSEmb, a distinct joint sequence-structure architecture, reproduces the trend. Curated disorder marks a related but distinct regime: total, not pair-specific, disagreement is elevated there and single-sequence models lose relative advantage. Disagreement regimes, discrete summaries of a continuous geometry, generalize to held-out proteins (frozen-centroid protein-level cross-validation: median Spearman 0.94; 100% of 185 positive) and replicate across independent assays (median 0.94; 37 pairs overall, 28 on held-out proteins).</w:t>
      </w:r>
    </w:p>
    <w:p>
      <w:pPr>
        <w:pStyle w:val="BodyText"/>
      </w:pPr>
      <w:r>
        <w:t xml:space="preserve">Disagreement is only weakly associated with prediction error in DMS (assay-level Spearman 0.032) and not at all in clinical variant classification. A biologically gated ensemble does not beat uniform averaging on DMS (paired delta +0.000; 95% CI -0.008 to +0.008), yet a DMS-trained two-family gate transfers to clinical data without retraining on clinical labels (AUROC +0.021; 95% CI +0.011 to +0.026 on a strictly non-overlapping set), though the best single expert remains superior. Disagreement among protein AI models is an AI-generated map of where evolutionarily informed and structure-conditioned predictions diverge across protein space; its primary value is explanatory, not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 foundation models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a confirmatory analysis, whose plan and GO/NO-GO thresholds were fixed in a versioned project configuration before the final analyses,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0.04 at pLDDT&lt;50 vs 0.47 at &gt;=90),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[23], the assay-level gain (experimental minus AlphaFold2) is negative on average (-0.057) and significantly MORE negative for low-confidence assays (median gain -0.081 vs -0.023; difference -0.058, bootstrap 95% CI -0.099 to -0.013, Mann-Whitney p = 0.011; Spearman(mean pLDDT, gain) = +0.38, p = 0.002; figure S10):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[24]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and the structure family is checked by the architecture panel in (a).</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[25,26];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 (figure S9). Disagreement likewise does not concentrate at UniProt domain boundaries (median disagreement is flat across distance-to-boundary bins: 0.63, 0.59, 0.58 and 0.63 for 0-5, 6-10, 11-20 and &gt;20 residues; figure S3).</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[27] K = 6;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+0.008 to +0.022; evolution +0.002 to +0.005; structure -0.002 to -0.007).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distribution in figure S1), with error defined in percentile space (|ensemble prediction - Y|, both on the 0-1 scale). The effect is monotonic across disagreement deciles (top-decile error 0.214 vs 0.201; figure S2), unchanged within pLDDT strata (0.027-0.040; not a confound), stable to leave-one-model-out (0.027-0.039; figure S6), and consistent across the D_MAD definition (0.026). The association is strongest in stability and binding assays (median rho 0.076 and 0.057; figure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788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0.877 for the uniform ensemble and 0.963 for the best single expert (TranceptEVE_L) figure 6(a). BioGate is therefore a supporting experiment: it shows that the arbitration function learned from DMS transfers across domains, not that gating outperforms the best base predictor.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Clinical proteins sharing &gt;= 70% sequence identity with any of the 186 DMS proteins used to train the gate (35 proteins; same-protein overlaps are necessarily captured by this threshold) were excluded, leaving 60,214 variants across 2,490 proteins. On this strict set the uniform ensemble AUROC was 0.905 (all 2,490 proteins), and restricting to the 788 proteins with complete two-family gate inputs, AUROC was 0.867 (uniform), 0.899 (BioGate) and 0.974 (best single, reselected within the strict set) (Table 3). The transfer is insensitive to the identity threshold (30% / 50% / 70% all exclude the same 35 proteins and give uniform AUROC 0.905; Table S4). The DMS-trained gating function therefore retains a modest relative advantage over uniform averaging on a strictly non-overlapping set (paired median delta AUROC +0.021, 95% CI +0.011 to +0.026, 59% of proteins positive; Table S7); it does not, however, exceed the best base expert (paired delta -0.061, 93% of proteins where best &gt; BioGate). The gate was a separately trained two-family model (sequence + evolution) learned exclusively on DMS, frozen, and applied once - a gating STRATEGY transferred, not the three-expert DMS gate itself. The gate-complete subsets (1,530 full; 788 strict) are defined by input completeness and are not representative of the full 2,525-gene benchmark.</w:t>
      </w:r>
    </w:p>
    <w:p>
      <w:pPr>
        <w:pStyle w:val="BodyText"/>
      </w:pPr>
      <w:r>
        <w:t xml:space="preserve">Disagreement does not mark clinical difficulty. In contrast to DMS, misclassified clinical variants have lower disagreement than correctly classified ones (median 0.662 vs 0.693; 41.4% of proteins with higher D in misclassified; (figure 6(b)), and pathogenic vs benign variants show no disagreement difference (0.693 vs 0.690). Disagreement-as-uncertainty is therefore domain-specific: a property of well-posed fitness landscapes, not of heterogeneous disease annotation.</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under the per-fold-median aggregation of Table S5; 0.573 under the pooled aggregation of Table 4),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(figure S7). We fixed the z scale as primary in the versioned analysis configuration; the substantive conclusion of this paper – that disagreement is a weak uncertainty signal in DMS and none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Meta-predictors and integrative scores (MetaSVM/MetaLR [28], ClinPred [29], BayesDel (distributed within the PERCH framework) [30], REVEL [31], CADD [32]) combine evolutionary, conservation and structural features through fitted or heuristic weights applied uniformly across variants; they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[33], Bayesian approximations, active learning [34]).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an instrument, every reported quantity is a residue-level property of the landscape, and we surface a methodological caveat absent from benchmark practice – the disagreement scale (u vs z) changes the disagreement-error association ~4.5x, so future disagreement analyses must pre-specify their scale.</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[25,26,35].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[36,23]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complementary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failure of disagreement to mark difficulty in clinical data is as informative as the weak but reproducible DMS association. DMS assays measure one well-defined phenotype under controlled conditions [22]; clinical labels aggregate heterogeneous phenotypes, cell types and genetic backgrounds curated across submitters [37]. The boundary condition we document – a weak disagreement-error association is detectable in fitness landscapes but does not generalize to clinical annotation – prevents mechanical misapplication of disagreement-based confidence in clinical genomics.</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BioGate achieved 0.944 versus 0.877 for uniform averaging on the full gate-complete set, and 0.899 versus 0.867 on the strict non-overlapping gate-complete subset; the best single expert remained superior (0.963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[38,39]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[40], Tranception and TranceptEVE [41],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r>
            <m:t> </m:t>
          </m:r>
          <m:r>
            <m:rPr>
              <m:nor/>
              <m:sty m:val="p"/>
            </m:rPr>
            <m:t>(z-space; regime clustering and Table 1)</m:t>
          </m:r>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r>
            <m:t> </m:t>
          </m:r>
          <m:r>
            <m:rPr>
              <m:nor/>
              <m:sty m:val="p"/>
            </m:rPr>
            <m:t>(percentile space; accuracy, advantage, BioGate)</m:t>
          </m:r>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sub>
          </m:sSub>
          <m:r>
            <m:rPr>
              <m:sty m:val="p"/>
            </m:rPr>
            <m:t>,</m:t>
          </m:r>
          <m:r>
            <m:t>i</m:t>
          </m:r>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sub>
          </m:sSub>
          <m:r>
            <m:rPr>
              <m:sty m:val="p"/>
            </m:rPr>
            <m:t>,</m:t>
          </m:r>
          <m:r>
            <m:t>i</m:t>
          </m:r>
          <m:r>
            <m:rPr>
              <m:sty m:val="p"/>
            </m:rPr>
            <m:t>=</m:t>
          </m:r>
          <m:sSub>
            <m:e>
              <m:r>
                <m:rPr>
                  <m:sty m:val="p"/>
                </m:rPr>
                <m:t>m</m:t>
              </m:r>
              <m:r>
                <m:rPr>
                  <m:sty m:val="p"/>
                </m:rPr>
                <m:t>e</m:t>
              </m:r>
              <m:r>
                <m:rPr>
                  <m:sty m:val="p"/>
                </m:rPr>
                <m:t>d</m:t>
              </m:r>
              <m:r>
                <m:rPr>
                  <m:sty m:val="p"/>
                </m:rPr>
                <m:t>i</m:t>
              </m:r>
              <m:r>
                <m:rPr>
                  <m:sty m:val="p"/>
                </m:rPr>
                <m:t>a</m:t>
              </m:r>
              <m:r>
                <m:rPr>
                  <m:sty m:val="p"/>
                </m:rPr>
                <m:t>n</m:t>
              </m:r>
            </m:e>
            <m:sub>
              <m:r>
                <m:t>m</m:t>
              </m:r>
            </m:sub>
          </m:sSub>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sSub>
            <m:e>
              <m:r>
                <m:t>z</m:t>
              </m:r>
            </m:e>
            <m:sub>
              <m:r>
                <m:t>i</m:t>
              </m:r>
            </m:sub>
          </m:sSub>
          <m:r>
            <m:rPr>
              <m:sty m:val="p"/>
            </m:rPr>
            <m:t>|</m:t>
          </m:r>
        </m:oMath>
      </m:oMathPara>
    </w:p>
    <w:p>
      <w:pPr>
        <w:pStyle w:val="FirstParagraph"/>
      </w:pPr>
      <m:oMathPara>
        <m:oMathParaPr>
          <m:jc m:val="center"/>
        </m:oMathParaPr>
        <m:oMath>
          <m:sSub>
            <m:e>
              <m:r>
                <m:t>D</m:t>
              </m:r>
            </m:e>
            <m:sub>
              <m:r>
                <m:t>u</m:t>
              </m:r>
            </m:sub>
          </m:sSub>
          <m:r>
            <m:rPr>
              <m:sty m:val="p"/>
            </m:rPr>
            <m:t>,</m:t>
          </m:r>
          <m:r>
            <m:t>i</m:t>
          </m:r>
          <m:r>
            <m:rPr>
              <m:sty m:val="p"/>
            </m:rPr>
            <m:t>=</m:t>
          </m:r>
          <m:sSub>
            <m:e>
              <m:r>
                <m:rPr>
                  <m:sty m:val="p"/>
                </m:rPr>
                <m:t>S</m:t>
              </m:r>
              <m:r>
                <m:rPr>
                  <m:sty m:val="p"/>
                </m:rPr>
                <m:t>D</m:t>
              </m:r>
            </m:e>
            <m:sub>
              <m:r>
                <m:t>m</m:t>
              </m:r>
            </m:sub>
          </m:sSub>
          <m:r>
            <m:rPr>
              <m:sty m:val="p"/>
            </m:rPr>
            <m:t>(</m:t>
          </m:r>
          <m:sSub>
            <m:e>
              <m:r>
                <m:t>u</m:t>
              </m:r>
            </m:e>
            <m:sub>
              <m:r>
                <m:t>i</m:t>
              </m:r>
              <m:r>
                <m:t>m</m:t>
              </m:r>
            </m:sub>
          </m:sSub>
          <m:r>
            <m:rPr>
              <m:sty m:val="p"/>
            </m:rPr>
            <m:t>)</m:t>
          </m:r>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sub>
          </m:sSub>
          <m:r>
            <m:rPr>
              <m:sty m:val="p"/>
            </m:rPr>
            <m:t>,</m:t>
          </m:r>
          <m:r>
            <m:t>i</m:t>
          </m:r>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[42]. GO/NO-GO thresholds were fixed in the versioned project configuration before the confirmatory analyses (config.yaml; not a public registry). Within-protein permutation enrichment with Benjamini-Hochberg FDR control [43]. Regime clustering: Gaussian mixtures K = 2-8 by BIC [27]; K-robustness reported (K = 4-7, adjusted Rand index); experimental replication evaluated as regime-level Y correlation across independent assays of the same protein. BioGate: torch [44] CPU MLP gating, 5-fold GroupKFold by UniProt; baselines best single expert (train-selected), uniform ensemble, Ridge stacking, XGBoost [45] (scores-only / context-only / scores+context ablations); paired protein-level bootstrap (2,000) [42]. Clinical transfer: a separate two-expert gate (sequence + evolution, the only families in the clinical score files) was trained exclusively on DMS, frozen, and applied once to the clinical benchmark; no clinical label was used in any model selection; per-protein AUROC; strict non-overlap set by &gt;= 70% sequence identity (8-mer filter + alignment; 30% / 50% / 70% sensitivity in Table S4) excluding 35 clinical proteins. Software: Python ecosystem (numpy [46], scipy [47], pandas [48], scikit-learn [49], statsmodels [50], matplotlib [51]), Biopython [52], PyTorch [44], pydssp [53]; transformer architectures follow Vaswani et al. [54].</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[38]. pydssp secondary structure (H/E/C) and CA contact density (8/10 A) from the same PDBs; burial tertiles within protein. UniProt features (active site, binding site, domain, transmembrane, modified residue, disulfide, region, motif) and curated disordered regions fetched via the UniProt REST API [55]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[37].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uncertainty signal in DMS and none in clinical annotation – a boundary condition that should discipline future use of disagreement-based confidence.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01-37), machine-readable source tables for every figure, and figure files are openly available at https://github.com/hmjpan/protein-ai-disagreement ; a versioned archive with a citable DOI will be deposited upon acceptance.</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bioRxiv 2025.04.15.649055</w:t>
      </w:r>
    </w:p>
    <w:p>
      <w:pPr>
        <w:pStyle w:val="BodyText"/>
      </w:pPr>
      <w:r>
        <w:t xml:space="preserve">[18] Chen B et al 2023 xTrimoPGLM: unified 100B-scale pre-trained transformer for deciphering the language of proteins bioRxiv 2023.07.05.547496</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Sharma A and Gitter A 2025 Exploring zero-shot structure-based protein fitness prediction Proc. ICLR Workshop on Generative and Experimental Perspectives for Biomolecular Design; experimental-structure scores at Zenodo 10.5281/zenodo.13821399</w:t>
      </w:r>
    </w:p>
    <w:p>
      <w:pPr>
        <w:pStyle w:val="BodyText"/>
      </w:pPr>
      <w:r>
        <w:t xml:space="preserve">[24] Blaabjerg L M, Jonsson N, Boomsma W, Stein A and Lindorff-Larsen K 2024 SSEmb: a joint embedding of protein sequence and structure enables robust variant effect predictions Nat. Commun. 15 9646</w:t>
      </w:r>
    </w:p>
    <w:p>
      <w:pPr>
        <w:pStyle w:val="BodyText"/>
      </w:pPr>
      <w:r>
        <w:t xml:space="preserve">[25] Piovesan D, Monzon A M and Tosatto S C E 2022 Intrinsic protein disorder and conditional folding in AlphaFoldDB Protein Sci. 31 e4466</w:t>
      </w:r>
    </w:p>
    <w:p>
      <w:pPr>
        <w:pStyle w:val="BodyText"/>
      </w:pPr>
      <w:r>
        <w:t xml:space="preserve">[26] Ruff K M and Pappu R V 2021 AlphaFold and implications for intrinsically disordered proteins J. Mol. Biol. 433 167208</w:t>
      </w:r>
    </w:p>
    <w:p>
      <w:pPr>
        <w:pStyle w:val="BodyText"/>
      </w:pPr>
      <w:r>
        <w:t xml:space="preserve">[27] Schwarz G 1978 Estimating the dimension of a model Ann. Stat. 6 461-4</w:t>
      </w:r>
    </w:p>
    <w:p>
      <w:pPr>
        <w:pStyle w:val="BodyText"/>
      </w:pPr>
      <w:r>
        <w:t xml:space="preserve">[28] Dong C, Wei P, Jian X, Gibbs R, Boerwinkle E, Wang K and Liu X 2015 Comparison and integration of deleteriousness prediction methods for nonsynonymous SNVs in whole exome sequencing studies PLoS ONE 10 e0134848</w:t>
      </w:r>
    </w:p>
    <w:p>
      <w:pPr>
        <w:pStyle w:val="BodyText"/>
      </w:pPr>
      <w:r>
        <w:t xml:space="preserve">[29] Alirezaie N, Kernohan K D, Hartley T, Majewski J and Richer T D 2018 ClinPred: prediction tool to identify disease-relevant nonsynonymous single-nucleotide variants Am. J. Hum. Genet. 103 474-83</w:t>
      </w:r>
    </w:p>
    <w:p>
      <w:pPr>
        <w:pStyle w:val="BodyText"/>
      </w:pPr>
      <w:r>
        <w:t xml:space="preserve">[30] Feng B-J 2017 PERCH: a unified framework for disease gene prioritization Hum. Mutat. 38 243-51</w:t>
      </w:r>
    </w:p>
    <w:p>
      <w:pPr>
        <w:pStyle w:val="BodyText"/>
      </w:pPr>
      <w:r>
        <w:t xml:space="preserve">[31] Ioannidis N M et al 2016 REVEL: an ensemble method for predicting the pathogenicity of rare missense variants Am. J. Hum. Genet. 99 877-85</w:t>
      </w:r>
    </w:p>
    <w:p>
      <w:pPr>
        <w:pStyle w:val="BodyText"/>
      </w:pPr>
      <w:r>
        <w:t xml:space="preserve">[32] Rentzsch P, Witten D, Cooper G M, Shendure J and Kircher M 2019 CADD: predicting the deleteriousness of variants throughout the human genome Nucleic Acids Res. 47 D886-94</w:t>
      </w:r>
    </w:p>
    <w:p>
      <w:pPr>
        <w:pStyle w:val="BodyText"/>
      </w:pPr>
      <w:r>
        <w:t xml:space="preserve">[33] Lakshminarayanan B, Pritzel A and Blundell C 2017 Simple and scalable predictive uncertainty estimation using deep ensembles Adv. Neural Inf. Process. Syst. 30</w:t>
      </w:r>
    </w:p>
    <w:p>
      <w:pPr>
        <w:pStyle w:val="BodyText"/>
      </w:pPr>
      <w:r>
        <w:t xml:space="preserve">[34] Beluch W H, Genewein T, Nurnberger A and Kohler J M 2018 The power of ensembles for active learning in image classification Proc. IEEE/CVF Conf. on Computer Vision and Pattern Recognition (CVPR)</w:t>
      </w:r>
    </w:p>
    <w:p>
      <w:pPr>
        <w:pStyle w:val="BodyText"/>
      </w:pPr>
      <w:r>
        <w:t xml:space="preserve">[35] Necci M, Piovesan D, CAID Predictors, DisProt Curators and Tosatto S C E 2021 Critical assessment of protein intrinsic disorder prediction Nat. Methods 18 472-81</w:t>
      </w:r>
    </w:p>
    <w:p>
      <w:pPr>
        <w:pStyle w:val="BodyText"/>
      </w:pPr>
      <w:r>
        <w:t xml:space="preserve">[36] Gitter laboratory benchmarking structure-based models on ProteinGym https://github.com/gitter-lab/benchmarking-structure-based-models (accessed 2026)</w:t>
      </w:r>
    </w:p>
    <w:p>
      <w:pPr>
        <w:pStyle w:val="BodyText"/>
      </w:pPr>
      <w:r>
        <w:t xml:space="preserve">[37] Landrum M J et al 2018 ClinVar: improving access to variant interpretations and supporting evidence Nucleic Acids Res. 46 D1062-7</w:t>
      </w:r>
    </w:p>
    <w:p>
      <w:pPr>
        <w:pStyle w:val="BodyText"/>
      </w:pPr>
      <w:r>
        <w:t xml:space="preserve">[38] Jumper J et al 2021 Highly accurate protein structure prediction with AlphaFold Nature 596 583-9</w:t>
      </w:r>
    </w:p>
    <w:p>
      <w:pPr>
        <w:pStyle w:val="BodyText"/>
      </w:pPr>
      <w:r>
        <w:t xml:space="preserve">[39] Varadi M et al 2022 AlphaFold Protein Structure Database: massively expanding the structural coverage of protein-sequence space with high-accuracy models Nucleic Acids Res. 50 D439-44</w:t>
      </w:r>
    </w:p>
    <w:p>
      <w:pPr>
        <w:pStyle w:val="BodyText"/>
      </w:pPr>
      <w:r>
        <w:t xml:space="preserve">[40] Rao R, Liu J, Verkuil R, Meier J, Canny J, Abbeel P, Sercu T and Rives A 2021 MSA Transformer Proc. 38th Int. Conf. on Machine Learning (ICML)</w:t>
      </w:r>
    </w:p>
    <w:p>
      <w:pPr>
        <w:pStyle w:val="BodyText"/>
      </w:pPr>
      <w:r>
        <w:t xml:space="preserve">[41]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[42] Efron B and Tibshirani R J 1993 An Introduction to the Bootstrap (New York: Chapman and Hall)</w:t>
      </w:r>
    </w:p>
    <w:p>
      <w:pPr>
        <w:pStyle w:val="BodyText"/>
      </w:pPr>
      <w:r>
        <w:t xml:space="preserve">[43] Benjamini Y and Hochberg Y 1995 Controlling the false discovery rate: a practical and powerful approach to multiple testing J. R. Stat. Soc. B 57 289-300</w:t>
      </w:r>
    </w:p>
    <w:p>
      <w:pPr>
        <w:pStyle w:val="BodyText"/>
      </w:pPr>
      <w:r>
        <w:t xml:space="preserve">[44] Paszke A et al 2019 PyTorch: an imperative style, high-performance deep learning library Adv. Neural Inf. Process. Syst. 32</w:t>
      </w:r>
    </w:p>
    <w:p>
      <w:pPr>
        <w:pStyle w:val="BodyText"/>
      </w:pPr>
      <w:r>
        <w:t xml:space="preserve">[45] Chen T and Guestrin C 2016 XGBoost: a scalable tree boosting system Proc. 22nd ACM SIGKDD Int. Conf. on Knowledge Discovery and Data Mining</w:t>
      </w:r>
    </w:p>
    <w:p>
      <w:pPr>
        <w:pStyle w:val="BodyText"/>
      </w:pPr>
      <w:r>
        <w:t xml:space="preserve">[46] Harris C R et al 2020 Array programming with NumPy Nature 585 357-62</w:t>
      </w:r>
    </w:p>
    <w:p>
      <w:pPr>
        <w:pStyle w:val="BodyText"/>
      </w:pPr>
      <w:r>
        <w:t xml:space="preserve">[47] Virtanen P et al 2020 SciPy 1.0: fundamental algorithms for scientific computing in Python Nat. Methods 17 261-72</w:t>
      </w:r>
    </w:p>
    <w:p>
      <w:pPr>
        <w:pStyle w:val="BodyText"/>
      </w:pPr>
      <w:r>
        <w:t xml:space="preserve">[48] McKinney W 2010 Data structures for statistical computing in Python Proc. 9th Python in Science Conf.</w:t>
      </w:r>
    </w:p>
    <w:p>
      <w:pPr>
        <w:pStyle w:val="BodyText"/>
      </w:pPr>
      <w:r>
        <w:t xml:space="preserve">[49] Pedregosa F et al 2011 Scikit-learn: machine learning in Python J. Mach. Learn. Res. 12 2825-30</w:t>
      </w:r>
    </w:p>
    <w:p>
      <w:pPr>
        <w:pStyle w:val="BodyText"/>
      </w:pPr>
      <w:r>
        <w:t xml:space="preserve">[50] Seabold S and Perktold J 2010 statsmodels: econometric and statistical modeling with python Proc. 9th Python in Science Conf.</w:t>
      </w:r>
    </w:p>
    <w:p>
      <w:pPr>
        <w:pStyle w:val="BodyText"/>
      </w:pPr>
      <w:r>
        <w:t xml:space="preserve">[51] Hunter J D 2007 Matplotlib: a 2D graphics environment Comput. Sci. Eng. 9 90-5</w:t>
      </w:r>
    </w:p>
    <w:p>
      <w:pPr>
        <w:pStyle w:val="BodyText"/>
      </w:pPr>
      <w:r>
        <w:t xml:space="preserve">[52] Cock P J A et al 2009 Biopython: freely available Python tools for computational molecular biology and bioinformatics Bioinformatics 25 1422-3</w:t>
      </w:r>
    </w:p>
    <w:p>
      <w:pPr>
        <w:pStyle w:val="BodyText"/>
      </w:pPr>
      <w:r>
        <w:t xml:space="preserve">[53] Thomas D pydssp: a fast secondary structure assigner for protein structures https://github.com/continuum-continuum/pydssp (accessed 2026)</w:t>
      </w:r>
    </w:p>
    <w:p>
      <w:pPr>
        <w:pStyle w:val="BodyText"/>
      </w:pPr>
      <w:r>
        <w:t xml:space="preserve">[54] Vaswani A et al 2017 Attention is all you need Adv. Neural Inf. Process. Syst. 30</w:t>
      </w:r>
    </w:p>
    <w:p>
      <w:pPr>
        <w:pStyle w:val="BodyText"/>
      </w:pPr>
      <w:r>
        <w:t xml:space="preserve">[55] UniProt Consortium 2023 UniProt: the universal protein knowledgebase in 2023 Nucleic Acids Res. 51 D523-31</w:t>
      </w:r>
    </w:p>
    <w:bookmarkEnd w:id="35"/>
    <w:bookmarkStart w:id="60" w:name="figures-embedded"/>
    <w:p>
      <w:pPr>
        <w:pStyle w:val="Heading2"/>
      </w:pPr>
      <w:r>
        <w:t xml:space="preserve">Figures (embedded)</w:t>
      </w:r>
    </w:p>
    <w:p>
      <w:r>
        <w:br w:type="page"/>
      </w:r>
    </w:p>
    <w:bookmarkStart w:id="39" w:name="figure-1"/>
    <w:p>
      <w:pPr>
        <w:pStyle w:val="Heading3"/>
      </w:pPr>
      <w:r>
        <w:t xml:space="preserve">Figure 1</w:t>
      </w:r>
    </w:p>
    <w:p>
      <w:pPr>
        <w:pStyle w:val="FirstParagraph"/>
      </w:pPr>
      <w:r>
        <w:drawing>
          <wp:inline>
            <wp:extent cx="5334000" cy="3362739"/>
            <wp:effectExtent b="0" l="0" r="0" t="0"/>
            <wp:docPr descr="" title="" id="37" name="Picture"/>
            <a:graphic>
              <a:graphicData uri="http://schemas.openxmlformats.org/drawingml/2006/picture">
                <pic:pic>
                  <pic:nvPicPr>
                    <pic:cNvPr descr="H:/aifor_work/protein_ai_disagreement/figures/composed/Fig1_full.png" id="38" name="Picture"/>
                    <pic:cNvPicPr>
                      <a:picLocks noChangeArrowheads="1" noChangeAspect="1"/>
                    </pic:cNvPicPr>
                  </pic:nvPicPr>
                  <pic:blipFill>
                    <a:blip r:embed="rId36"/>
                    <a:stretch>
                      <a:fillRect/>
                    </a:stretch>
                  </pic:blipFill>
                  <pic:spPr bwMode="auto">
                    <a:xfrm>
                      <a:off x="0" y="0"/>
                      <a:ext cx="5334000" cy="3362739"/>
                    </a:xfrm>
                    <a:prstGeom prst="rect">
                      <a:avLst/>
                    </a:prstGeom>
                    <a:noFill/>
                    <a:ln w="9525">
                      <a:noFill/>
                      <a:headEnd/>
                      <a:tailEnd/>
                    </a:ln>
                  </pic:spPr>
                </pic:pic>
              </a:graphicData>
            </a:graphic>
          </wp:inline>
        </w:drawing>
      </w:r>
    </w:p>
    <w:p>
      <w:r>
        <w:br w:type="page"/>
      </w:r>
    </w:p>
    <w:bookmarkEnd w:id="39"/>
    <w:bookmarkStart w:id="43" w:name="figure-2"/>
    <w:p>
      <w:pPr>
        <w:pStyle w:val="Heading3"/>
      </w:pPr>
      <w:r>
        <w:t xml:space="preserve">Figure 2</w:t>
      </w:r>
    </w:p>
    <w:p>
      <w:pPr>
        <w:pStyle w:val="FirstParagraph"/>
      </w:pPr>
      <w:r>
        <w:drawing>
          <wp:inline>
            <wp:extent cx="5334000" cy="3191123"/>
            <wp:effectExtent b="0" l="0" r="0" t="0"/>
            <wp:docPr descr="" title="" id="41" name="Picture"/>
            <a:graphic>
              <a:graphicData uri="http://schemas.openxmlformats.org/drawingml/2006/picture">
                <pic:pic>
                  <pic:nvPicPr>
                    <pic:cNvPr descr="H:/aifor_work/protein_ai_disagreement/figures/composed/Fig2_full.png" id="42" name="Picture"/>
                    <pic:cNvPicPr>
                      <a:picLocks noChangeArrowheads="1" noChangeAspect="1"/>
                    </pic:cNvPicPr>
                  </pic:nvPicPr>
                  <pic:blipFill>
                    <a:blip r:embed="rId40"/>
                    <a:stretch>
                      <a:fillRect/>
                    </a:stretch>
                  </pic:blipFill>
                  <pic:spPr bwMode="auto">
                    <a:xfrm>
                      <a:off x="0" y="0"/>
                      <a:ext cx="5334000" cy="3191123"/>
                    </a:xfrm>
                    <a:prstGeom prst="rect">
                      <a:avLst/>
                    </a:prstGeom>
                    <a:noFill/>
                    <a:ln w="9525">
                      <a:noFill/>
                      <a:headEnd/>
                      <a:tailEnd/>
                    </a:ln>
                  </pic:spPr>
                </pic:pic>
              </a:graphicData>
            </a:graphic>
          </wp:inline>
        </w:drawing>
      </w:r>
    </w:p>
    <w:p>
      <w:r>
        <w:br w:type="page"/>
      </w:r>
    </w:p>
    <w:bookmarkEnd w:id="43"/>
    <w:bookmarkStart w:id="47" w:name="figure-3"/>
    <w:p>
      <w:pPr>
        <w:pStyle w:val="Heading3"/>
      </w:pPr>
      <w:r>
        <w:t xml:space="preserve">Figure 3</w:t>
      </w:r>
    </w:p>
    <w:p>
      <w:pPr>
        <w:pStyle w:val="FirstParagraph"/>
      </w:pPr>
      <w:r>
        <w:drawing>
          <wp:inline>
            <wp:extent cx="5334000" cy="1069119"/>
            <wp:effectExtent b="0" l="0" r="0" t="0"/>
            <wp:docPr descr="" title="" id="45" name="Picture"/>
            <a:graphic>
              <a:graphicData uri="http://schemas.openxmlformats.org/drawingml/2006/picture">
                <pic:pic>
                  <pic:nvPicPr>
                    <pic:cNvPr descr="H:/aifor_work/protein_ai_disagreement/figures/composed/Fig3_full.png" id="46" name="Picture"/>
                    <pic:cNvPicPr>
                      <a:picLocks noChangeArrowheads="1" noChangeAspect="1"/>
                    </pic:cNvPicPr>
                  </pic:nvPicPr>
                  <pic:blipFill>
                    <a:blip r:embed="rId44"/>
                    <a:stretch>
                      <a:fillRect/>
                    </a:stretch>
                  </pic:blipFill>
                  <pic:spPr bwMode="auto">
                    <a:xfrm>
                      <a:off x="0" y="0"/>
                      <a:ext cx="5334000" cy="1069119"/>
                    </a:xfrm>
                    <a:prstGeom prst="rect">
                      <a:avLst/>
                    </a:prstGeom>
                    <a:noFill/>
                    <a:ln w="9525">
                      <a:noFill/>
                      <a:headEnd/>
                      <a:tailEnd/>
                    </a:ln>
                  </pic:spPr>
                </pic:pic>
              </a:graphicData>
            </a:graphic>
          </wp:inline>
        </w:drawing>
      </w:r>
    </w:p>
    <w:p>
      <w:r>
        <w:br w:type="page"/>
      </w:r>
    </w:p>
    <w:bookmarkEnd w:id="47"/>
    <w:bookmarkStart w:id="51" w:name="figure-4"/>
    <w:p>
      <w:pPr>
        <w:pStyle w:val="Heading3"/>
      </w:pPr>
      <w:r>
        <w:t xml:space="preserve">Figure 4</w:t>
      </w:r>
    </w:p>
    <w:p>
      <w:pPr>
        <w:pStyle w:val="FirstParagraph"/>
      </w:pPr>
      <w:r>
        <w:drawing>
          <wp:inline>
            <wp:extent cx="5334000" cy="2212450"/>
            <wp:effectExtent b="0" l="0" r="0" t="0"/>
            <wp:docPr descr="" title="" id="49" name="Picture"/>
            <a:graphic>
              <a:graphicData uri="http://schemas.openxmlformats.org/drawingml/2006/picture">
                <pic:pic>
                  <pic:nvPicPr>
                    <pic:cNvPr descr="H:/aifor_work/protein_ai_disagreement/figures/composed/Fig4_full.png" id="50" name="Picture"/>
                    <pic:cNvPicPr>
                      <a:picLocks noChangeArrowheads="1" noChangeAspect="1"/>
                    </pic:cNvPicPr>
                  </pic:nvPicPr>
                  <pic:blipFill>
                    <a:blip r:embed="rId48"/>
                    <a:stretch>
                      <a:fillRect/>
                    </a:stretch>
                  </pic:blipFill>
                  <pic:spPr bwMode="auto">
                    <a:xfrm>
                      <a:off x="0" y="0"/>
                      <a:ext cx="5334000" cy="2212450"/>
                    </a:xfrm>
                    <a:prstGeom prst="rect">
                      <a:avLst/>
                    </a:prstGeom>
                    <a:noFill/>
                    <a:ln w="9525">
                      <a:noFill/>
                      <a:headEnd/>
                      <a:tailEnd/>
                    </a:ln>
                  </pic:spPr>
                </pic:pic>
              </a:graphicData>
            </a:graphic>
          </wp:inline>
        </w:drawing>
      </w:r>
    </w:p>
    <w:p>
      <w:r>
        <w:br w:type="page"/>
      </w:r>
    </w:p>
    <w:bookmarkEnd w:id="51"/>
    <w:bookmarkStart w:id="55" w:name="figure-5"/>
    <w:p>
      <w:pPr>
        <w:pStyle w:val="Heading3"/>
      </w:pPr>
      <w:r>
        <w:t xml:space="preserve">Figure 5</w:t>
      </w:r>
    </w:p>
    <w:p>
      <w:pPr>
        <w:pStyle w:val="FirstParagraph"/>
      </w:pPr>
      <w:r>
        <w:drawing>
          <wp:inline>
            <wp:extent cx="5334000" cy="1087672"/>
            <wp:effectExtent b="0" l="0" r="0" t="0"/>
            <wp:docPr descr="" title="" id="53" name="Picture"/>
            <a:graphic>
              <a:graphicData uri="http://schemas.openxmlformats.org/drawingml/2006/picture">
                <pic:pic>
                  <pic:nvPicPr>
                    <pic:cNvPr descr="H:/aifor_work/protein_ai_disagreement/figures/composed/Fig5_full.png" id="54" name="Picture"/>
                    <pic:cNvPicPr>
                      <a:picLocks noChangeArrowheads="1" noChangeAspect="1"/>
                    </pic:cNvPicPr>
                  </pic:nvPicPr>
                  <pic:blipFill>
                    <a:blip r:embed="rId52"/>
                    <a:stretch>
                      <a:fillRect/>
                    </a:stretch>
                  </pic:blipFill>
                  <pic:spPr bwMode="auto">
                    <a:xfrm>
                      <a:off x="0" y="0"/>
                      <a:ext cx="5334000" cy="1087672"/>
                    </a:xfrm>
                    <a:prstGeom prst="rect">
                      <a:avLst/>
                    </a:prstGeom>
                    <a:noFill/>
                    <a:ln w="9525">
                      <a:noFill/>
                      <a:headEnd/>
                      <a:tailEnd/>
                    </a:ln>
                  </pic:spPr>
                </pic:pic>
              </a:graphicData>
            </a:graphic>
          </wp:inline>
        </w:drawing>
      </w:r>
    </w:p>
    <w:p>
      <w:r>
        <w:br w:type="page"/>
      </w:r>
    </w:p>
    <w:bookmarkEnd w:id="55"/>
    <w:bookmarkStart w:id="59" w:name="figure-6"/>
    <w:p>
      <w:pPr>
        <w:pStyle w:val="Heading3"/>
      </w:pPr>
      <w:r>
        <w:t xml:space="preserve">Figure 6</w:t>
      </w:r>
    </w:p>
    <w:p>
      <w:pPr>
        <w:pStyle w:val="FirstParagraph"/>
      </w:pPr>
      <w:r>
        <w:drawing>
          <wp:inline>
            <wp:extent cx="5334000" cy="1980537"/>
            <wp:effectExtent b="0" l="0" r="0" t="0"/>
            <wp:docPr descr="" title="" id="57" name="Picture"/>
            <a:graphic>
              <a:graphicData uri="http://schemas.openxmlformats.org/drawingml/2006/picture">
                <pic:pic>
                  <pic:nvPicPr>
                    <pic:cNvPr descr="H:/aifor_work/protein_ai_disagreement/figures/composed/Fig6_full.png" id="58" name="Picture"/>
                    <pic:cNvPicPr>
                      <a:picLocks noChangeArrowheads="1" noChangeAspect="1"/>
                    </pic:cNvPicPr>
                  </pic:nvPicPr>
                  <pic:blipFill>
                    <a:blip r:embed="rId56"/>
                    <a:stretch>
                      <a:fillRect/>
                    </a:stretch>
                  </pic:blipFill>
                  <pic:spPr bwMode="auto">
                    <a:xfrm>
                      <a:off x="0" y="0"/>
                      <a:ext cx="5334000" cy="1980537"/>
                    </a:xfrm>
                    <a:prstGeom prst="rect">
                      <a:avLst/>
                    </a:prstGeom>
                    <a:noFill/>
                    <a:ln w="9525">
                      <a:noFill/>
                      <a:headEnd/>
                      <a:tailEnd/>
                    </a:ln>
                  </pic:spPr>
                </pic:pic>
              </a:graphicData>
            </a:graphic>
          </wp:inline>
        </w:drawing>
      </w:r>
    </w:p>
    <w:bookmarkEnd w:id="59"/>
    <w:bookmarkEnd w:id="60"/>
    <w:bookmarkStart w:id="61" w:name="figure-captions"/>
    <w:p>
      <w:pPr>
        <w:pStyle w:val="Heading2"/>
      </w:pPr>
      <w:r>
        <w:t xml:space="preserve">Figure captions</w:t>
      </w:r>
    </w:p>
    <w:p>
      <w:pPr>
        <w:pStyle w:val="FirstParagraph"/>
      </w:pPr>
      <w:r>
        <w:t xml:space="preserve">Figure 1. Protein AI model prediction landscape. (a) workflow and (b) dataset composition;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61"/>
    <w:bookmarkStart w:id="62" w:name="table-captions"/>
    <w:p>
      <w:pPr>
        <w:pStyle w:val="Heading2"/>
      </w:pPr>
      <w:r>
        <w:t xml:space="preserve">Table captions</w:t>
      </w:r>
    </w:p>
    <w:p>
      <w:pPr>
        <w:pStyle w:val="FirstParagraph"/>
      </w:pPr>
      <w:r>
        <w:t xml:space="preserve">Tables 1-4 are main-text tables; Tables S1-S8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+0.008 to +0.022; evo +0.002 to +0.005;</w:t>
      </w:r>
      <w:r>
        <w:t xml:space="preserve"> </w:t>
      </w:r>
      <w:r>
        <w:t xml:space="preserve">struct -0.002 to -0.007). Mechanics (core/surface/helix/sheet/loop): all</w:t>
      </w:r>
      <w:r>
        <w:t xml:space="preserve"> </w:t>
      </w:r>
      <w:r>
        <w:t xml:space="preserve">within +/-0.013.</w:t>
      </w:r>
    </w:p>
    <w:p>
      <w:pPr>
        <w:pStyle w:val="BodyText"/>
      </w:pPr>
      <w:r>
        <w:rPr>
          <w:b/>
          <w:bCs/>
        </w:rPr>
        <w:t xml:space="preserve">Table 2 (data).</w:t>
      </w:r>
      <w:r>
        <w:t xml:space="preserve"> </w:t>
      </w:r>
      <w:r>
        <w:t xml:space="preserve">Median percentile-space family advantage by context: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seq</w:t>
            </w:r>
          </w:p>
        </w:tc>
        <w:tc>
          <w:tcPr/>
          <w:p>
            <w:pPr>
              <w:pStyle w:val="Compact"/>
            </w:pPr>
            <w:r>
              <w:t xml:space="preserve">evolution</w:t>
            </w:r>
          </w:p>
        </w:tc>
        <w:tc>
          <w:tcPr/>
          <w:p>
            <w:pPr>
              <w:pStyle w:val="Compact"/>
            </w:pPr>
            <w:r>
              <w:t xml:space="preserve">structure</w:t>
            </w:r>
          </w:p>
        </w:tc>
      </w:tr>
      <w:tr>
        <w:tc>
          <w:tcPr/>
          <w:p>
            <w:pPr>
              <w:pStyle w:val="Compact"/>
            </w:pPr>
            <w:r>
              <w:t xml:space="preserve">pLDDT&lt;50</w:t>
            </w:r>
          </w:p>
        </w:tc>
        <w:tc>
          <w:tcPr/>
          <w:p>
            <w:pPr>
              <w:pStyle w:val="Compact"/>
            </w:pPr>
            <w:r>
              <w:t xml:space="preserve">0.019</w:t>
            </w:r>
          </w:p>
        </w:tc>
        <w:tc>
          <w:tcPr/>
          <w:p>
            <w:pPr>
              <w:pStyle w:val="Compact"/>
            </w:pPr>
            <w:r>
              <w:t xml:space="preserve">0.002</w:t>
            </w:r>
          </w:p>
        </w:tc>
        <w:tc>
          <w:tcPr/>
          <w:p>
            <w:pPr>
              <w:pStyle w:val="Compact"/>
            </w:pPr>
            <w:r>
              <w:t xml:space="preserve">-0.006</w:t>
            </w:r>
          </w:p>
        </w:tc>
      </w:tr>
      <w:tr>
        <w:tc>
          <w:tcPr/>
          <w:p>
            <w:pPr>
              <w:pStyle w:val="Compact"/>
            </w:pPr>
            <w:r>
              <w:t xml:space="preserve">50-70</w:t>
            </w:r>
          </w:p>
        </w:tc>
        <w:tc>
          <w:tcPr/>
          <w:p>
            <w:pPr>
              <w:pStyle w:val="Compact"/>
            </w:pPr>
            <w:r>
              <w:t xml:space="preserve">0.022</w:t>
            </w:r>
          </w:p>
        </w:tc>
        <w:tc>
          <w:tcPr/>
          <w:p>
            <w:pPr>
              <w:pStyle w:val="Compact"/>
            </w:pPr>
            <w:r>
              <w:t xml:space="preserve">0.003</w:t>
            </w:r>
          </w:p>
        </w:tc>
        <w:tc>
          <w:tcPr/>
          <w:p>
            <w:pPr>
              <w:pStyle w:val="Compact"/>
            </w:pPr>
            <w:r>
              <w:t xml:space="preserve">-0.007</w:t>
            </w:r>
          </w:p>
        </w:tc>
      </w:tr>
      <w:tr>
        <w:tc>
          <w:tcPr/>
          <w:p>
            <w:pPr>
              <w:pStyle w:val="Compact"/>
            </w:pPr>
            <w:r>
              <w:t xml:space="preserve">70-90</w:t>
            </w:r>
          </w:p>
        </w:tc>
        <w:tc>
          <w:tcPr/>
          <w:p>
            <w:pPr>
              <w:pStyle w:val="Compact"/>
            </w:pPr>
            <w:r>
              <w:t xml:space="preserve">0.011</w:t>
            </w:r>
          </w:p>
        </w:tc>
        <w:tc>
          <w:tcPr/>
          <w:p>
            <w:pPr>
              <w:pStyle w:val="Compact"/>
            </w:pPr>
            <w:r>
              <w:t xml:space="preserve">0.003</w:t>
            </w:r>
          </w:p>
        </w:tc>
        <w:tc>
          <w:tcPr/>
          <w:p>
            <w:pPr>
              <w:pStyle w:val="Compact"/>
            </w:pPr>
            <w:r>
              <w:t xml:space="preserve">-0.003</w:t>
            </w:r>
          </w:p>
        </w:tc>
      </w:tr>
      <w:tr>
        <w:tc>
          <w:tcPr/>
          <w:p>
            <w:pPr>
              <w:pStyle w:val="Compact"/>
            </w:pPr>
            <w:r>
              <w:t xml:space="preserve">&gt;=90</w:t>
            </w:r>
          </w:p>
        </w:tc>
        <w:tc>
          <w:tcPr/>
          <w:p>
            <w:pPr>
              <w:pStyle w:val="Compact"/>
            </w:pPr>
            <w:r>
              <w:t xml:space="preserve">0.008</w:t>
            </w:r>
          </w:p>
        </w:tc>
        <w:tc>
          <w:tcPr/>
          <w:p>
            <w:pPr>
              <w:pStyle w:val="Compact"/>
            </w:pPr>
            <w:r>
              <w:t xml:space="preserve">0.005</w:t>
            </w:r>
          </w:p>
        </w:tc>
        <w:tc>
          <w:tcPr/>
          <w:p>
            <w:pPr>
              <w:pStyle w:val="Compact"/>
            </w:pPr>
            <w:r>
              <w:t xml:space="preserve">-0.002</w:t>
            </w:r>
          </w:p>
        </w:tc>
      </w:tr>
      <w:tr>
        <w:tc>
          <w:tcPr/>
          <w:p>
            <w:pPr>
              <w:pStyle w:val="Compact"/>
            </w:pPr>
            <w:r>
              <w:t xml:space="preserve">IDR</w:t>
            </w:r>
          </w:p>
        </w:tc>
        <w:tc>
          <w:tcPr/>
          <w:p>
            <w:pPr>
              <w:pStyle w:val="Compact"/>
            </w:pPr>
            <w:r>
              <w:t xml:space="preserve">-0.043</w:t>
            </w:r>
          </w:p>
        </w:tc>
        <w:tc>
          <w:tcPr/>
          <w:p>
            <w:pPr>
              <w:pStyle w:val="Compact"/>
            </w:pPr>
            <w:r>
              <w:t xml:space="preserve">0.016</w:t>
            </w:r>
          </w:p>
        </w:tc>
        <w:tc>
          <w:tcPr/>
          <w:p>
            <w:pPr>
              <w:pStyle w:val="Compact"/>
            </w:pPr>
            <w:r>
              <w:t xml:space="preserve">0.060</w:t>
            </w:r>
          </w:p>
        </w:tc>
      </w:tr>
      <w:tr>
        <w:tc>
          <w:tcPr/>
          <w:p>
            <w:pPr>
              <w:pStyle w:val="Compact"/>
            </w:pPr>
            <w:r>
              <w:t xml:space="preserve">ordered</w:t>
            </w:r>
          </w:p>
        </w:tc>
        <w:tc>
          <w:tcPr/>
          <w:p>
            <w:pPr>
              <w:pStyle w:val="Compact"/>
            </w:pPr>
            <w:r>
              <w:t xml:space="preserve">0.038</w:t>
            </w:r>
          </w:p>
        </w:tc>
        <w:tc>
          <w:tcPr/>
          <w:p>
            <w:pPr>
              <w:pStyle w:val="Compact"/>
            </w:pPr>
            <w:r>
              <w:t xml:space="preserve">-0.011</w:t>
            </w:r>
          </w:p>
        </w:tc>
        <w:tc>
          <w:tcPr/>
          <w:p>
            <w:pPr>
              <w:pStyle w:val="Compact"/>
            </w:pPr>
            <w:r>
              <w:t xml:space="preserve">0.005</w:t>
            </w:r>
          </w:p>
        </w:tc>
      </w:tr>
      <w:tr>
        <w:tc>
          <w:tcPr/>
          <w:p>
            <w:pPr>
              <w:pStyle w:val="Compact"/>
            </w:pPr>
            <w:r>
              <w:t xml:space="preserve">core</w:t>
            </w:r>
          </w:p>
        </w:tc>
        <w:tc>
          <w:tcPr/>
          <w:p>
            <w:pPr>
              <w:pStyle w:val="Compact"/>
            </w:pPr>
            <w:r>
              <w:t xml:space="preserve">0.007</w:t>
            </w:r>
          </w:p>
        </w:tc>
        <w:tc>
          <w:tcPr/>
          <w:p>
            <w:pPr>
              <w:pStyle w:val="Compact"/>
            </w:pPr>
            <w:r>
              <w:t xml:space="preserve">0.006</w:t>
            </w:r>
          </w:p>
        </w:tc>
        <w:tc>
          <w:tcPr/>
          <w:p>
            <w:pPr>
              <w:pStyle w:val="Compact"/>
            </w:pPr>
            <w:r>
              <w:t xml:space="preserve">-0.003</w:t>
            </w:r>
          </w:p>
        </w:tc>
      </w:tr>
      <w:tr>
        <w:tc>
          <w:tcPr/>
          <w:p>
            <w:pPr>
              <w:pStyle w:val="Compact"/>
            </w:pPr>
            <w:r>
              <w:t xml:space="preserve">surface</w:t>
            </w:r>
          </w:p>
        </w:tc>
        <w:tc>
          <w:tcPr/>
          <w:p>
            <w:pPr>
              <w:pStyle w:val="Compact"/>
            </w:pPr>
            <w:r>
              <w:t xml:space="preserve">0.010</w:t>
            </w:r>
          </w:p>
        </w:tc>
        <w:tc>
          <w:tcPr/>
          <w:p>
            <w:pPr>
              <w:pStyle w:val="Compact"/>
            </w:pPr>
            <w:r>
              <w:t xml:space="preserve">-0.004</w:t>
            </w:r>
          </w:p>
        </w:tc>
        <w:tc>
          <w:tcPr/>
          <w:p>
            <w:pPr>
              <w:pStyle w:val="Compact"/>
            </w:pPr>
            <w:r>
              <w:t xml:space="preserve">0.003</w:t>
            </w:r>
          </w:p>
        </w:tc>
      </w:tr>
      <w:tr>
        <w:tc>
          <w:tcPr/>
          <w:p>
            <w:pPr>
              <w:pStyle w:val="Compact"/>
            </w:pPr>
            <w:r>
              <w:t xml:space="preserve">helix</w:t>
            </w:r>
          </w:p>
        </w:tc>
        <w:tc>
          <w:tcPr/>
          <w:p>
            <w:pPr>
              <w:pStyle w:val="Compact"/>
            </w:pPr>
            <w:r>
              <w:t xml:space="preserve">0.008</w:t>
            </w:r>
          </w:p>
        </w:tc>
        <w:tc>
          <w:tcPr/>
          <w:p>
            <w:pPr>
              <w:pStyle w:val="Compact"/>
            </w:pPr>
            <w:r>
              <w:t xml:space="preserve">0.003</w:t>
            </w:r>
          </w:p>
        </w:tc>
        <w:tc>
          <w:tcPr/>
          <w:p>
            <w:pPr>
              <w:pStyle w:val="Compact"/>
            </w:pPr>
            <w:r>
              <w:t xml:space="preserve">-0.002</w:t>
            </w:r>
          </w:p>
        </w:tc>
      </w:tr>
      <w:tr>
        <w:tc>
          <w:tcPr/>
          <w:p>
            <w:pPr>
              <w:pStyle w:val="Compact"/>
            </w:pPr>
            <w:r>
              <w:t xml:space="preserve">sheet</w:t>
            </w:r>
          </w:p>
        </w:tc>
        <w:tc>
          <w:tcPr/>
          <w:p>
            <w:pPr>
              <w:pStyle w:val="Compact"/>
            </w:pPr>
            <w:r>
              <w:t xml:space="preserve">0.008</w:t>
            </w:r>
          </w:p>
        </w:tc>
        <w:tc>
          <w:tcPr/>
          <w:p>
            <w:pPr>
              <w:pStyle w:val="Compact"/>
            </w:pPr>
            <w:r>
              <w:t xml:space="preserve">0.008</w:t>
            </w:r>
          </w:p>
        </w:tc>
        <w:tc>
          <w:tcPr/>
          <w:p>
            <w:pPr>
              <w:pStyle w:val="Compact"/>
            </w:pPr>
            <w:r>
              <w:t xml:space="preserve">-0.007</w:t>
            </w:r>
          </w:p>
        </w:tc>
      </w:tr>
      <w:tr>
        <w:tc>
          <w:tcPr/>
          <w:p>
            <w:pPr>
              <w:pStyle w:val="Compact"/>
            </w:pPr>
            <w:r>
              <w:t xml:space="preserve">loop</w:t>
            </w:r>
          </w:p>
        </w:tc>
        <w:tc>
          <w:tcPr/>
          <w:p>
            <w:pPr>
              <w:pStyle w:val="Compact"/>
            </w:pPr>
            <w:r>
              <w:t xml:space="preserve">0.013</w:t>
            </w:r>
          </w:p>
        </w:tc>
        <w:tc>
          <w:tcPr/>
          <w:p>
            <w:pPr>
              <w:pStyle w:val="Compact"/>
            </w:pPr>
            <w:r>
              <w:t xml:space="preserve">0.002</w:t>
            </w:r>
          </w:p>
        </w:tc>
        <w:tc>
          <w:tcPr/>
          <w:p>
            <w:pPr>
              <w:pStyle w:val="Compact"/>
            </w:pPr>
            <w:r>
              <w:t xml:space="preserve">-0.003</w:t>
            </w:r>
          </w:p>
        </w:tc>
      </w:tr>
    </w:tbl>
    <w:p>
      <w:pPr>
        <w:pStyle w:val="BodyText"/>
      </w:pPr>
      <w:r>
        <w:rPr>
          <w:i/>
          <w:iCs/>
        </w:rPr>
        <w:t xml:space="preserve">Positive = family more accurate than the other two (median of protein-level advantages). Contexts not captured by a CSV are omitted.</w:t>
      </w:r>
    </w:p>
    <w:p>
      <w:pPr>
        <w:pStyle w:val="BodyText"/>
      </w:pPr>
      <w:r>
        <w:rPr>
          <w:b/>
          <w:bCs/>
        </w:rPr>
        <w:t xml:space="preserve">Table 3. Clinical transfer AUROC (median per protein).</w:t>
      </w:r>
      <w:r>
        <w:t xml:space="preserve"> </w:t>
      </w:r>
      <w:r>
        <w:t xml:space="preserve">Full set</w:t>
      </w:r>
      <w:r>
        <w:t xml:space="preserve"> </w:t>
      </w:r>
      <w:r>
        <w:t xml:space="preserve">(n = 1,530 of 2,525 benchmark genes with complete gate inputs): uniform</w:t>
      </w:r>
      <w:r>
        <w:t xml:space="preserve"> </w:t>
      </w:r>
      <w:r>
        <w:t xml:space="preserve">0.877, BioGate 0.944, best single 0.963. Strict non-overlap set,</w:t>
      </w:r>
      <w:r>
        <w:t xml:space="preserve"> </w:t>
      </w:r>
      <w:r>
        <w:t xml:space="preserve">gate-complete subset (n = 788): uniform 0.867, BioGate 0.899, best single</w:t>
      </w:r>
      <w:r>
        <w:t xml:space="preserve"> </w:t>
      </w:r>
      <w:r>
        <w:t xml:space="preserve">0.974 (reselected within the strict set). Uniform AUROC over all 2,490</w:t>
      </w:r>
      <w:r>
        <w:t xml:space="preserve"> </w:t>
      </w:r>
      <w:r>
        <w:t xml:space="preserve">strict-set proteins: 0.905 (identical at 30% / 50% / 70% identity</w:t>
      </w:r>
      <w:r>
        <w:t xml:space="preserve"> </w:t>
      </w:r>
      <w:r>
        <w:t xml:space="preserve">thresholds; Table S4).</w:t>
      </w:r>
    </w:p>
    <w:p>
      <w:pPr>
        <w:pStyle w:val="BodyText"/>
      </w:pPr>
      <w:r>
        <w:rPr>
          <w:b/>
          <w:bCs/>
        </w:rPr>
        <w:t xml:space="preserve">Table 3 (data).</w:t>
      </w:r>
      <w:r>
        <w:t xml:space="preserve"> </w:t>
      </w:r>
      <w:r>
        <w:t xml:space="preserve">Median per-protein clinical-transfer AUROC: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w:t>
            </w:r>
          </w:p>
        </w:tc>
        <w:tc>
          <w:tcPr/>
          <w:p>
            <w:pPr>
              <w:pStyle w:val="Compact"/>
            </w:pPr>
            <w:r>
              <w:t xml:space="preserve">n proteins</w:t>
            </w:r>
          </w:p>
        </w:tc>
        <w:tc>
          <w:tcPr/>
          <w:p>
            <w:pPr>
              <w:pStyle w:val="Compact"/>
            </w:pPr>
            <w:r>
              <w:t xml:space="preserve">uniform</w:t>
            </w:r>
          </w:p>
        </w:tc>
        <w:tc>
          <w:tcPr/>
          <w:p>
            <w:pPr>
              <w:pStyle w:val="Compact"/>
            </w:pPr>
            <w:r>
              <w:t xml:space="preserve">BioGate</w:t>
            </w:r>
          </w:p>
        </w:tc>
        <w:tc>
          <w:tcPr/>
          <w:p>
            <w:pPr>
              <w:pStyle w:val="Compact"/>
            </w:pPr>
            <w:r>
              <w:t xml:space="preserve">best single</w:t>
            </w:r>
          </w:p>
        </w:tc>
      </w:tr>
      <w:tr>
        <w:tc>
          <w:tcPr/>
          <w:p>
            <w:pPr>
              <w:pStyle w:val="Compact"/>
            </w:pPr>
            <w:r>
              <w:t xml:space="preserve">Full clinical benchmark, gate-complete</w:t>
            </w:r>
          </w:p>
        </w:tc>
        <w:tc>
          <w:tcPr/>
          <w:p>
            <w:pPr>
              <w:pStyle w:val="Compact"/>
            </w:pPr>
            <w:r>
              <w:t xml:space="preserve">1530</w:t>
            </w:r>
          </w:p>
        </w:tc>
        <w:tc>
          <w:tcPr/>
          <w:p>
            <w:pPr>
              <w:pStyle w:val="Compact"/>
            </w:pPr>
            <w:r>
              <w:t xml:space="preserve">0.877</w:t>
            </w:r>
          </w:p>
        </w:tc>
        <w:tc>
          <w:tcPr/>
          <w:p>
            <w:pPr>
              <w:pStyle w:val="Compact"/>
            </w:pPr>
            <w:r>
              <w:t xml:space="preserve">0.944</w:t>
            </w:r>
          </w:p>
        </w:tc>
        <w:tc>
          <w:tcPr/>
          <w:p>
            <w:pPr>
              <w:pStyle w:val="Compact"/>
            </w:pPr>
            <w:r>
              <w:t xml:space="preserve">0.963</w:t>
            </w:r>
          </w:p>
        </w:tc>
      </w:tr>
      <w:tr>
        <w:tc>
          <w:tcPr/>
          <w:p>
            <w:pPr>
              <w:pStyle w:val="Compact"/>
            </w:pPr>
            <w:r>
              <w:t xml:space="preserve">Strict non-overlap, gate-complete</w:t>
            </w:r>
          </w:p>
        </w:tc>
        <w:tc>
          <w:tcPr/>
          <w:p>
            <w:pPr>
              <w:pStyle w:val="Compact"/>
            </w:pPr>
            <w:r>
              <w:t xml:space="preserve">788</w:t>
            </w:r>
          </w:p>
        </w:tc>
        <w:tc>
          <w:tcPr/>
          <w:p>
            <w:pPr>
              <w:pStyle w:val="Compact"/>
            </w:pPr>
            <w:r>
              <w:t xml:space="preserve">0.867</w:t>
            </w:r>
          </w:p>
        </w:tc>
        <w:tc>
          <w:tcPr/>
          <w:p>
            <w:pPr>
              <w:pStyle w:val="Compact"/>
            </w:pPr>
            <w:r>
              <w:t xml:space="preserve">0.899</w:t>
            </w:r>
          </w:p>
        </w:tc>
        <w:tc>
          <w:tcPr/>
          <w:p>
            <w:pPr>
              <w:pStyle w:val="Compact"/>
            </w:pPr>
            <w:r>
              <w:t xml:space="preserve">0.974</w:t>
            </w:r>
          </w:p>
        </w:tc>
      </w:tr>
      <w:tr>
        <w:tc>
          <w:tcPr/>
          <w:p>
            <w:pPr>
              <w:pStyle w:val="Compact"/>
            </w:pPr>
            <w:r>
              <w:t xml:space="preserve">Strict non-overlap, all proteins (uniform only)</w:t>
            </w:r>
          </w:p>
        </w:tc>
        <w:tc>
          <w:tcPr/>
          <w:p>
            <w:pPr>
              <w:pStyle w:val="Compact"/>
            </w:pPr>
            <w:r>
              <w:t xml:space="preserve">2,490</w:t>
            </w:r>
          </w:p>
        </w:tc>
        <w:tc>
          <w:tcPr/>
          <w:p>
            <w:pPr>
              <w:pStyle w:val="Compact"/>
            </w:pPr>
            <w:r>
              <w:t xml:space="preserve">0.905</w:t>
            </w:r>
          </w:p>
        </w:tc>
        <w:tc>
          <w:tcPr/>
          <w:p>
            <w:pPr>
              <w:pStyle w:val="Compact"/>
            </w:pPr>
            <w:r>
              <w:t xml:space="preserve">-</w:t>
            </w:r>
          </w:p>
        </w:tc>
        <w:tc>
          <w:tcPr/>
          <w:p>
            <w:pPr>
              <w:pStyle w:val="Compact"/>
            </w:pPr>
            <w:r>
              <w:t xml:space="preserve">-</w:t>
            </w:r>
          </w:p>
        </w:tc>
      </w:tr>
    </w:tbl>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single 0.473; linear</w:t>
      </w:r>
      <w:r>
        <w:t xml:space="preserve"> </w:t>
      </w:r>
      <w:r>
        <w:t xml:space="preserve">stacking 0.528; uniform ensemble 0.542; BioGate 0.551; XGBoost</w:t>
      </w:r>
      <w:r>
        <w:t xml:space="preserve"> </w:t>
      </w:r>
      <w:r>
        <w:t xml:space="preserve">(scores + context) 0.573 (pooled out-of-fold protein median, the</w:t>
      </w:r>
      <w:r>
        <w:t xml:space="preserve"> </w:t>
      </w:r>
      <w:r>
        <w:t xml:space="preserve">aggregation used in this table; the per-fold-median aggregation of</w:t>
      </w:r>
      <w:r>
        <w:t xml:space="preserve"> </w:t>
      </w:r>
      <w:r>
        <w:t xml:space="preserve">Table S5 yields 0.551 for the same configuration). The median</w:t>
      </w:r>
      <w:r>
        <w:t xml:space="preserve"> </w:t>
      </w:r>
      <w:r>
        <w:t xml:space="preserve">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4 (data).</w:t>
      </w:r>
      <w:r>
        <w:t xml:space="preserve"> </w:t>
      </w:r>
      <w:r>
        <w:t xml:space="preserve">BioGate 5-fold UniProt-grouped cross-validation (protein-level, percentile space):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proteins</w:t>
            </w:r>
          </w:p>
        </w:tc>
        <w:tc>
          <w:tcPr/>
          <w:p>
            <w:pPr>
              <w:pStyle w:val="Compact"/>
            </w:pPr>
            <w:r>
              <w:t xml:space="preserve">median Spearman</w:t>
            </w:r>
          </w:p>
        </w:tc>
        <w:tc>
          <w:tcPr/>
          <w:p>
            <w:pPr>
              <w:pStyle w:val="Compact"/>
            </w:pPr>
            <w:r>
              <w:t xml:space="preserve">mean Spearman</w:t>
            </w:r>
          </w:p>
        </w:tc>
        <w:tc>
          <w:tcPr/>
          <w:p>
            <w:pPr>
              <w:pStyle w:val="Compact"/>
            </w:pPr>
            <w:r>
              <w:t xml:space="preserve">mean AUROC</w:t>
            </w:r>
          </w:p>
        </w:tc>
      </w:tr>
      <w:tr>
        <w:tc>
          <w:tcPr/>
          <w:p>
            <w:pPr>
              <w:pStyle w:val="Compact"/>
            </w:pPr>
            <w:r>
              <w:t xml:space="preserve">best_single(U_evolution)</w:t>
            </w:r>
          </w:p>
        </w:tc>
        <w:tc>
          <w:tcPr/>
          <w:p>
            <w:pPr>
              <w:pStyle w:val="Compact"/>
            </w:pPr>
            <w:r>
              <w:t xml:space="preserve">186</w:t>
            </w:r>
          </w:p>
        </w:tc>
        <w:tc>
          <w:tcPr/>
          <w:p>
            <w:pPr>
              <w:pStyle w:val="Compact"/>
            </w:pPr>
            <w:r>
              <w:t xml:space="preserve">0.473</w:t>
            </w:r>
          </w:p>
        </w:tc>
        <w:tc>
          <w:tcPr/>
          <w:p>
            <w:pPr>
              <w:pStyle w:val="Compact"/>
            </w:pPr>
            <w:r>
              <w:t xml:space="preserve">0.467</w:t>
            </w:r>
          </w:p>
        </w:tc>
        <w:tc>
          <w:tcPr/>
          <w:p>
            <w:pPr>
              <w:pStyle w:val="Compact"/>
            </w:pPr>
            <w:r>
              <w:t xml:space="preserve">0.748</w:t>
            </w:r>
          </w:p>
        </w:tc>
      </w:tr>
      <w:tr>
        <w:tc>
          <w:tcPr/>
          <w:p>
            <w:pPr>
              <w:pStyle w:val="Compact"/>
            </w:pPr>
            <w:r>
              <w:t xml:space="preserve">biogate</w:t>
            </w:r>
          </w:p>
        </w:tc>
        <w:tc>
          <w:tcPr/>
          <w:p>
            <w:pPr>
              <w:pStyle w:val="Compact"/>
            </w:pPr>
            <w:r>
              <w:t xml:space="preserve">186</w:t>
            </w:r>
          </w:p>
        </w:tc>
        <w:tc>
          <w:tcPr/>
          <w:p>
            <w:pPr>
              <w:pStyle w:val="Compact"/>
            </w:pPr>
            <w:r>
              <w:t xml:space="preserve">0.551</w:t>
            </w:r>
          </w:p>
        </w:tc>
        <w:tc>
          <w:tcPr/>
          <w:p>
            <w:pPr>
              <w:pStyle w:val="Compact"/>
            </w:pPr>
            <w:r>
              <w:t xml:space="preserve">0.526</w:t>
            </w:r>
          </w:p>
        </w:tc>
        <w:tc>
          <w:tcPr/>
          <w:p>
            <w:pPr>
              <w:pStyle w:val="Compact"/>
            </w:pPr>
            <w:r>
              <w:t xml:space="preserve">0.747</w:t>
            </w:r>
          </w:p>
        </w:tc>
      </w:tr>
      <w:tr>
        <w:tc>
          <w:tcPr/>
          <w:p>
            <w:pPr>
              <w:pStyle w:val="Compact"/>
            </w:pPr>
            <w:r>
              <w:t xml:space="preserve">linear_stacking</w:t>
            </w:r>
          </w:p>
        </w:tc>
        <w:tc>
          <w:tcPr/>
          <w:p>
            <w:pPr>
              <w:pStyle w:val="Compact"/>
            </w:pPr>
            <w:r>
              <w:t xml:space="preserve">186</w:t>
            </w:r>
          </w:p>
        </w:tc>
        <w:tc>
          <w:tcPr/>
          <w:p>
            <w:pPr>
              <w:pStyle w:val="Compact"/>
            </w:pPr>
            <w:r>
              <w:t xml:space="preserve">0.528</w:t>
            </w:r>
          </w:p>
        </w:tc>
        <w:tc>
          <w:tcPr/>
          <w:p>
            <w:pPr>
              <w:pStyle w:val="Compact"/>
            </w:pPr>
            <w:r>
              <w:t xml:space="preserve">0.521</w:t>
            </w:r>
          </w:p>
        </w:tc>
        <w:tc>
          <w:tcPr/>
          <w:p>
            <w:pPr>
              <w:pStyle w:val="Compact"/>
            </w:pPr>
            <w:r>
              <w:t xml:space="preserve">0.758</w:t>
            </w:r>
          </w:p>
        </w:tc>
      </w:tr>
      <w:tr>
        <w:tc>
          <w:tcPr/>
          <w:p>
            <w:pPr>
              <w:pStyle w:val="Compact"/>
            </w:pPr>
            <w:r>
              <w:t xml:space="preserve">uniform_ensemble</w:t>
            </w:r>
          </w:p>
        </w:tc>
        <w:tc>
          <w:tcPr/>
          <w:p>
            <w:pPr>
              <w:pStyle w:val="Compact"/>
            </w:pPr>
            <w:r>
              <w:t xml:space="preserve">186</w:t>
            </w:r>
          </w:p>
        </w:tc>
        <w:tc>
          <w:tcPr/>
          <w:p>
            <w:pPr>
              <w:pStyle w:val="Compact"/>
            </w:pPr>
            <w:r>
              <w:t xml:space="preserve">0.542</w:t>
            </w:r>
          </w:p>
        </w:tc>
        <w:tc>
          <w:tcPr/>
          <w:p>
            <w:pPr>
              <w:pStyle w:val="Compact"/>
            </w:pPr>
            <w:r>
              <w:t xml:space="preserve">0.526</w:t>
            </w:r>
          </w:p>
        </w:tc>
        <w:tc>
          <w:tcPr/>
          <w:p>
            <w:pPr>
              <w:pStyle w:val="Compact"/>
            </w:pPr>
            <w:r>
              <w:t xml:space="preserve">0.757</w:t>
            </w:r>
          </w:p>
        </w:tc>
      </w:tr>
      <w:tr>
        <w:tc>
          <w:tcPr/>
          <w:p>
            <w:pPr>
              <w:pStyle w:val="Compact"/>
            </w:pPr>
            <w:r>
              <w:t xml:space="preserve">xgboost</w:t>
            </w:r>
          </w:p>
        </w:tc>
        <w:tc>
          <w:tcPr/>
          <w:p>
            <w:pPr>
              <w:pStyle w:val="Compact"/>
            </w:pPr>
            <w:r>
              <w:t xml:space="preserve">186</w:t>
            </w:r>
          </w:p>
        </w:tc>
        <w:tc>
          <w:tcPr/>
          <w:p>
            <w:pPr>
              <w:pStyle w:val="Compact"/>
            </w:pPr>
            <w:r>
              <w:t xml:space="preserve">0.573</w:t>
            </w:r>
          </w:p>
        </w:tc>
        <w:tc>
          <w:tcPr/>
          <w:p>
            <w:pPr>
              <w:pStyle w:val="Compact"/>
            </w:pPr>
            <w:r>
              <w:t xml:space="preserve">0.546</w:t>
            </w:r>
          </w:p>
        </w:tc>
        <w:tc>
          <w:tcPr/>
          <w:p>
            <w:pPr>
              <w:pStyle w:val="Compact"/>
            </w:pPr>
            <w:r>
              <w:t xml:space="preserve">0.758</w:t>
            </w:r>
          </w:p>
        </w:tc>
      </w:tr>
    </w:tbl>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correlation by pLDDT bin (ESM-IF1:</w:t>
      </w:r>
      <w:r>
        <w:t xml:space="preserve"> </w:t>
      </w:r>
      <w:r>
        <w:t xml:space="preserve">0.04 at &lt;50, 0.47 at &gt;=90; MIF: 0.03 vs 0.43; ProteinMPNN: 0.01 vs 0.22);</w:t>
      </w:r>
      <w:r>
        <w:t xml:space="preserve"> </w:t>
      </w:r>
      <w:r>
        <w:t xml:space="preserve">(iii) structure-model score coverage = 100% at all pLDDT levels.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the</w:t>
      </w:r>
      <w:r>
        <w:t xml:space="preserve"> </w:t>
      </w:r>
      <w:r>
        <w:t xml:space="preserve">structure-dissenting pattern emerges at K &gt;= 6; ARI vs K = 6: 0.35 (K = 4),</w:t>
      </w:r>
      <w:r>
        <w:t xml:space="preserve"> </w:t>
      </w:r>
      <w:r>
        <w:t xml:space="preserve">0.58 (K = 5), 0.46 (K = 7).</w:t>
      </w:r>
    </w:p>
    <w:p>
      <w:pPr>
        <w:pStyle w:val="BodyText"/>
      </w:pPr>
      <w:r>
        <w:rPr>
          <w:b/>
          <w:bCs/>
        </w:rPr>
        <w:t xml:space="preserve">Table S4. Identity-threshold sensitivity.</w:t>
      </w:r>
      <w:r>
        <w:t xml:space="preserve"> </w:t>
      </w:r>
      <w:r>
        <w:t xml:space="preserve">30% / 50% / 70% each exclude</w:t>
      </w:r>
      <w:r>
        <w:t xml:space="preserve"> </w:t>
      </w:r>
      <w:r>
        <w:t xml:space="preserve">the same 35 clinical proteins; uniform AUROC 0.905 (n = 2,490) in all</w:t>
      </w:r>
      <w:r>
        <w:t xml:space="preserve"> </w:t>
      </w:r>
      <w:r>
        <w:t xml:space="preserve">three settings.</w:t>
      </w:r>
    </w:p>
    <w:p>
      <w:pPr>
        <w:pStyle w:val="BodyText"/>
      </w:pPr>
      <w:r>
        <w:rPr>
          <w:b/>
          <w:bCs/>
        </w:rPr>
        <w:t xml:space="preserve">Table S5. XGBoost ablations (5-fold UniProt-grouped CV, percentile</w:t>
      </w:r>
      <w:r>
        <w:rPr>
          <w:b/>
          <w:bCs/>
        </w:rPr>
        <w:t xml:space="preserve"> </w:t>
      </w:r>
      <w:r>
        <w:rPr>
          <w:b/>
          <w:bCs/>
        </w:rPr>
        <w:t xml:space="preserve">space; median of per-fold medians).</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BioGate - uniform +0.039 [0.033, 0.045], best - uniform +0.056 [0.048,</w:t>
      </w:r>
      <w:r>
        <w:t xml:space="preserve"> </w:t>
      </w:r>
      <w:r>
        <w:t xml:space="preserve">0.064]. Strict set: BioGate - uniform +0.021 [0.011, 0.026], best -</w:t>
      </w:r>
      <w:r>
        <w:t xml:space="preserve"> </w:t>
      </w:r>
      <w:r>
        <w:t xml:space="preserve">uniform +0.085 [0.077, 0.091], best - BioGate +0.061 [0.056, 0.066].</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2026-09-10T16:01:32Z</dcterms:created>
  <dcterms:modified xsi:type="dcterms:W3CDTF">2026-09-10T16:01:32Z</dcterms:modified>
</cp:coreProperties>
</file>

<file path=docProps/custom.xml><?xml version="1.0" encoding="utf-8"?>
<Properties xmlns="http://schemas.openxmlformats.org/officeDocument/2006/custom-properties" xmlns:vt="http://schemas.openxmlformats.org/officeDocument/2006/docPropsVTypes"/>
</file>