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黑体"/>
          <w:b/>
          <w:sz w:val="32"/>
        </w:rPr>
        <w:t>定西 气候健康风险预警报告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22"/>
        </w:rPr>
        <w:t>评估期:     风险等级: 极低风险(0.6/5)    主要风险: 无显著天气风险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一、风险空间分布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71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71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图1  定西风险空间分布(城市网格, 绿=低风险 橙=中风险 红=高风险)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二、预警文案</w:t>
      </w:r>
    </w:p>
    <w:p>
      <w:r>
        <w:rPr>
          <w:rFonts w:ascii="Times New Roman" w:hAnsi="Times New Roman" w:eastAsia="宋体"/>
          <w:b w:val="0"/>
          <w:sz w:val="24"/>
        </w:rPr>
        <w:t>【常规】定西在2026-08-08~2026-08-08气候健康风险低(评分0.6/5)。天气条件总体安全，建议维持日常健康生活方式。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三、核心气象与健康指标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Times New Roman" w:hAnsi="Times New Roman" w:eastAsia="黑体"/>
                <w:b w:val="0"/>
                <w:sz w:val="22"/>
              </w:rPr>
              <w:t>最高气温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29.9 C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黑体"/>
                <w:b w:val="0"/>
                <w:sz w:val="22"/>
              </w:rPr>
              <w:t>最低气温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9.3 C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黑体"/>
                <w:b w:val="0"/>
                <w:sz w:val="22"/>
              </w:rPr>
              <w:t>平均湿度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71.0 %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黑体"/>
                <w:b w:val="0"/>
                <w:sz w:val="22"/>
              </w:rPr>
              <w:t>热指数(最高)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29.6 C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黑体"/>
                <w:b w:val="0"/>
                <w:sz w:val="22"/>
              </w:rPr>
              <w:t>WBGT(最高)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27.5 C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黑体"/>
                <w:b w:val="0"/>
                <w:sz w:val="22"/>
              </w:rPr>
              <w:t>AQI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67.8 (良, 首要:o3)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黑体"/>
                <w:b w:val="0"/>
                <w:sz w:val="22"/>
              </w:rPr>
              <w:t>热浪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否 (无)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黑体"/>
                <w:b w:val="0"/>
                <w:sz w:val="22"/>
              </w:rPr>
              <w:t>寒潮/严寒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否 (无)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四、健康影响解读(文献量化)</w:t>
      </w:r>
    </w:p>
    <w:p>
      <w:r>
        <w:rPr>
          <w:rFonts w:ascii="Times New Roman" w:hAnsi="Times New Roman" w:eastAsia="宋体"/>
          <w:b w:val="0"/>
          <w:sz w:val="24"/>
        </w:rPr>
        <w:t>- PM2.5均值3.6ug/m3。依据Liu 2019 NEJM(652城市): PM2.5每升10ug/m3，总死亡风险+0.68%。相对参考浓度10ug/m3，估算超额死亡风险约0.0%</w:t>
      </w:r>
    </w:p>
    <w:p>
      <w:r>
        <w:rPr>
          <w:rFonts w:ascii="Times New Roman" w:hAnsi="Times New Roman" w:eastAsia="宋体"/>
          <w:b w:val="0"/>
          <w:sz w:val="24"/>
        </w:rPr>
        <w:t>- 日均温19.3C。基于Gasparrini 2015 J型曲线(MMT=24C)估算相对死亡风险RR约1.01，接近最适温度(风险最低)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五、风险演变趋势</w:t>
      </w:r>
    </w:p>
    <w:p>
      <w:r>
        <w:rPr>
          <w:rFonts w:ascii="Times New Roman" w:hAnsi="Times New Roman" w:eastAsia="宋体"/>
          <w:b w:val="0"/>
          <w:sz w:val="24"/>
        </w:rPr>
        <w:t>评估期覆盖近15天历史与未来7天预报(共23天)。</w:t>
      </w:r>
    </w:p>
    <w:p>
      <w:r>
        <w:rPr>
          <w:rFonts w:ascii="Times New Roman" w:hAnsi="Times New Roman" w:eastAsia="宋体"/>
          <w:b w:val="0"/>
          <w:sz w:val="24"/>
        </w:rPr>
        <w:t>历史段: 最高风险出现在2026-08-02，评分0.06/5。</w:t>
      </w:r>
    </w:p>
    <w:p>
      <w:r>
        <w:rPr>
          <w:rFonts w:ascii="Times New Roman" w:hAnsi="Times New Roman" w:eastAsia="宋体"/>
          <w:b w:val="0"/>
          <w:sz w:val="24"/>
        </w:rPr>
        <w:t>预报段: 未来最高风险预计出现在2026-08-13，评分0.03/5。与当前风险(0.01/5)相比，风险变化不大，维持常规防护。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六、重点人群提示</w:t>
      </w:r>
    </w:p>
    <w:p>
      <w:r>
        <w:rPr>
          <w:rFonts w:ascii="Times New Roman" w:hAnsi="Times New Roman" w:eastAsia="宋体"/>
          <w:b w:val="0"/>
          <w:sz w:val="24"/>
        </w:rPr>
        <w:t>以下人群对气候健康风险更脆弱(依据: WHO气候与健康事实页, Gasparrini 2015 Lancet, Wang 2025 Sci Adv)。行动建议为WHO通用指南，非本系统特有。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A3A5C"/>
          <w:sz w:val="24"/>
        </w:rPr>
        <w:t>老年人(65+)</w:t>
      </w:r>
    </w:p>
    <w:p>
      <w:r>
        <w:rPr>
          <w:rFonts w:ascii="Times New Roman" w:hAnsi="Times New Roman" w:eastAsia="宋体"/>
          <w:b w:val="0"/>
          <w:sz w:val="24"/>
        </w:rPr>
        <w:t>风险原因: 温度敏感人群(WHO)</w:t>
      </w:r>
    </w:p>
    <w:p>
      <w:r>
        <w:rPr>
          <w:rFonts w:ascii="Times New Roman" w:hAnsi="Times New Roman" w:eastAsia="宋体"/>
          <w:b w:val="0"/>
          <w:sz w:val="24"/>
        </w:rPr>
        <w:t>建议行动: 保持常规健康防护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A3A5C"/>
          <w:sz w:val="24"/>
        </w:rPr>
        <w:t>儿童(&lt;5岁)</w:t>
      </w:r>
    </w:p>
    <w:p>
      <w:r>
        <w:rPr>
          <w:rFonts w:ascii="Times New Roman" w:hAnsi="Times New Roman" w:eastAsia="宋体"/>
          <w:b w:val="0"/>
          <w:sz w:val="24"/>
        </w:rPr>
        <w:t>风险原因: 体温调节未发育完全(WHO)</w:t>
      </w:r>
    </w:p>
    <w:p>
      <w:r>
        <w:rPr>
          <w:rFonts w:ascii="Times New Roman" w:hAnsi="Times New Roman" w:eastAsia="宋体"/>
          <w:b w:val="0"/>
          <w:sz w:val="24"/>
        </w:rPr>
        <w:t>建议行动: 保持常规健康防护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A3A5C"/>
          <w:sz w:val="24"/>
        </w:rPr>
        <w:t>心脑血管/呼吸系统慢病患者</w:t>
      </w:r>
    </w:p>
    <w:p>
      <w:r>
        <w:rPr>
          <w:rFonts w:ascii="Times New Roman" w:hAnsi="Times New Roman" w:eastAsia="宋体"/>
          <w:b w:val="0"/>
          <w:sz w:val="24"/>
        </w:rPr>
        <w:t>风险原因: 温度变化敏感(Gasparrini 2015)</w:t>
      </w:r>
    </w:p>
    <w:p>
      <w:r>
        <w:rPr>
          <w:rFonts w:ascii="Times New Roman" w:hAnsi="Times New Roman" w:eastAsia="宋体"/>
          <w:b w:val="0"/>
          <w:sz w:val="24"/>
        </w:rPr>
        <w:t>建议行动: 按时服药，关注天气变化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七、行动建议</w:t>
      </w:r>
    </w:p>
    <w:p>
      <w:r>
        <w:rPr>
          <w:rFonts w:ascii="Times New Roman" w:hAnsi="Times New Roman" w:eastAsia="宋体"/>
          <w:b w:val="0"/>
          <w:sz w:val="24"/>
        </w:rPr>
        <w:t>- 维持常规健康防护，关注官方气象与空气质量预报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八、不确定性与置信度</w:t>
      </w:r>
    </w:p>
    <w:p>
      <w:r>
        <w:rPr>
          <w:rFonts w:ascii="Times New Roman" w:hAnsi="Times New Roman" w:eastAsia="宋体"/>
          <w:b w:val="0"/>
          <w:sz w:val="24"/>
        </w:rPr>
        <w:t>本报告所有数值均来自公开数据源(Open-Meteo ERA5/CAMS)与科学公式，详见证据链章节。数据缺口和公式近似已如实声明，未编造任何数据。</w:t>
      </w:r>
    </w:p>
    <w:p>
      <w:r>
        <w:rPr>
          <w:rFonts w:ascii="Times New Roman" w:hAnsi="Times New Roman" w:eastAsia="宋体"/>
          <w:b w:val="0"/>
          <w:sz w:val="24"/>
        </w:rPr>
        <w:t>- 温度来自ERA5再分析(Hersbach 2020, doi:10.1002/qj.3803)，与地面观测偏差&lt;1C；空间分辨率0.25，小于网格的社区被平滑</w:t>
      </w:r>
    </w:p>
    <w:p>
      <w:r>
        <w:rPr>
          <w:rFonts w:ascii="Times New Roman" w:hAnsi="Times New Roman" w:eastAsia="宋体"/>
          <w:b w:val="0"/>
          <w:sz w:val="24"/>
        </w:rPr>
        <w:t>- 热指数为NOAA Rothfusz 1990经验公式近似值，高温高湿下误差增大</w:t>
      </w:r>
    </w:p>
    <w:p>
      <w:r>
        <w:rPr>
          <w:rFonts w:ascii="Times New Roman" w:hAnsi="Times New Roman" w:eastAsia="宋体"/>
          <w:b w:val="0"/>
          <w:sz w:val="24"/>
        </w:rPr>
        <w:t>- WBGT为BoM简化公式(无黑球温度)，户外直射下偏低1-2C</w:t>
      </w:r>
    </w:p>
    <w:p>
      <w:r>
        <w:rPr>
          <w:rFonts w:ascii="Times New Roman" w:hAnsi="Times New Roman" w:eastAsia="宋体"/>
          <w:b w:val="0"/>
          <w:sz w:val="24"/>
        </w:rPr>
        <w:t>- 空气质量为CAMS再分析数据(融合卫星+地面站)；PM2.5每升10ug/m3总死亡风险+0.68%(Liu 2019 NEJM, 1480引)</w:t>
      </w:r>
    </w:p>
    <w:p>
      <w:r>
        <w:rPr>
          <w:rFonts w:ascii="Times New Roman" w:hAnsi="Times New Roman" w:eastAsia="宋体"/>
          <w:b w:val="0"/>
          <w:sz w:val="24"/>
        </w:rPr>
        <w:t>- J型曲线为示意性近似(Gasparrini 2015趋势)，真实曲线基于DLNM模型，此处不用于精确定量；风险评分权重(热冷40%+空气30%+脆弱30%)为复合矩阵设计</w:t>
      </w:r>
    </w:p>
    <w:p>
      <w:r>
        <w:rPr>
          <w:rFonts w:ascii="Times New Roman" w:hAnsi="Times New Roman" w:eastAsia="宋体"/>
          <w:b w:val="0"/>
          <w:sz w:val="24"/>
        </w:rPr>
        <w:t>- 脆弱性评分基于国家统计局第七次人口普查公开数据的省级65+占比计算(非市级/社区级)，且未纳入空调可及性、绿地覆盖率等适应资源数据，权重设计参考Gasparrini 2015与Sci Adv 2025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九、公平性检查</w:t>
      </w:r>
    </w:p>
    <w:p>
      <w:r>
        <w:rPr>
          <w:rFonts w:ascii="Times New Roman" w:hAnsi="Times New Roman" w:eastAsia="宋体"/>
          <w:b w:val="0"/>
          <w:sz w:val="24"/>
        </w:rPr>
        <w:t>总体状态: 已覆盖重点人群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A3A5C"/>
          <w:sz w:val="24"/>
        </w:rPr>
        <w:t>脆弱性评估</w:t>
      </w:r>
    </w:p>
    <w:p>
      <w:r>
        <w:rPr>
          <w:rFonts w:ascii="Times New Roman" w:hAnsi="Times New Roman" w:eastAsia="宋体"/>
          <w:b w:val="0"/>
          <w:sz w:val="24"/>
        </w:rPr>
        <w:t>脆弱性评分 50.0/100。评分依据: 该市所在省份65+老年人口占比(国家统计局第七次全国人口普查公开数据)相对全国均值13.5%归一化计算。局限: 仅省级数据, 未含市级/社区级老年人口分布; 未纳入低收入社区分布、流动人口数据、空调可及性、绿地覆盖率。上述数据缺失可能导致弱势社区(老旧小区、流动人口聚集区)的风险被低估。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A3A5C"/>
          <w:sz w:val="24"/>
        </w:rPr>
        <w:t>数据缺口声明</w:t>
      </w:r>
    </w:p>
    <w:p>
      <w:r>
        <w:rPr>
          <w:rFonts w:ascii="Times New Roman" w:hAnsi="Times New Roman" w:eastAsia="宋体"/>
          <w:b w:val="0"/>
          <w:sz w:val="24"/>
        </w:rPr>
        <w:t>- 市级/社区级老年人口分布: 仅省级替代</w:t>
      </w:r>
    </w:p>
    <w:p>
      <w:r>
        <w:rPr>
          <w:rFonts w:ascii="Times New Roman" w:hAnsi="Times New Roman" w:eastAsia="宋体"/>
          <w:b w:val="0"/>
          <w:sz w:val="24"/>
        </w:rPr>
        <w:t>- 低收入社区分布数据: 未纳入</w:t>
      </w:r>
    </w:p>
    <w:p>
      <w:r>
        <w:rPr>
          <w:rFonts w:ascii="Times New Roman" w:hAnsi="Times New Roman" w:eastAsia="宋体"/>
          <w:b w:val="0"/>
          <w:sz w:val="24"/>
        </w:rPr>
        <w:t>- 流动人口数据: 未纳入</w:t>
      </w:r>
    </w:p>
    <w:p>
      <w:r>
        <w:rPr>
          <w:rFonts w:ascii="Times New Roman" w:hAnsi="Times New Roman" w:eastAsia="宋体"/>
          <w:b w:val="0"/>
          <w:sz w:val="24"/>
        </w:rPr>
        <w:t>- 空调可及性(ac_proxy): 未纳入</w:t>
      </w:r>
    </w:p>
    <w:p>
      <w:r>
        <w:rPr>
          <w:rFonts w:ascii="Times New Roman" w:hAnsi="Times New Roman" w:eastAsia="宋体"/>
          <w:b w:val="0"/>
          <w:sz w:val="24"/>
        </w:rPr>
        <w:t>- 绿地覆盖率(green_ratio): 未纳入</w:t>
      </w:r>
    </w:p>
    <w:p>
      <w:r>
        <w:rPr>
          <w:rFonts w:ascii="Times New Roman" w:hAnsi="Times New Roman" w:eastAsia="宋体"/>
          <w:b w:val="0"/>
          <w:sz w:val="24"/>
        </w:rPr>
        <w:t>- 纳凉点/取暖点分布: 未纳入</w:t>
      </w:r>
    </w:p>
    <w:p>
      <w:pPr>
        <w:spacing w:before="240" w:after="120"/>
      </w:pPr>
      <w:r>
        <w:rPr>
          <w:rFonts w:ascii="Times New Roman" w:hAnsi="Times New Roman" w:eastAsia="黑体"/>
          <w:b/>
          <w:color w:val="1A3A5C"/>
          <w:sz w:val="30"/>
        </w:rPr>
        <w:t>十、证据链</w:t>
      </w:r>
    </w:p>
    <w:p>
      <w:r>
        <w:rPr>
          <w:rFonts w:ascii="Times New Roman" w:hAnsi="Times New Roman" w:eastAsia="宋体"/>
          <w:b w:val="0"/>
          <w:sz w:val="24"/>
        </w:rPr>
        <w:t>本报告所有数值的计算方法与文献依据:</w:t>
      </w:r>
    </w:p>
    <w:p>
      <w:r>
        <w:rPr>
          <w:rFonts w:ascii="Times New Roman" w:hAnsi="Times New Roman" w:eastAsia="宋体"/>
          <w:b w:val="0"/>
          <w:sz w:val="22"/>
        </w:rPr>
        <w:t>- temperature_max_c: ECMWF ERA5 再分析(Open-Meteo) - doi:10.1002/qj.3803 (Hersbach 2020); 偏差&lt;1C</w:t>
      </w:r>
    </w:p>
    <w:p>
      <w:r>
        <w:rPr>
          <w:rFonts w:ascii="Times New Roman" w:hAnsi="Times New Roman" w:eastAsia="宋体"/>
          <w:b w:val="0"/>
          <w:sz w:val="22"/>
        </w:rPr>
        <w:t>- heat_index_max_c: NOAA/NWS Rothfusz 1990 多项式 - https://www.weather.gov/ama/heatindex; 已验证官方点</w:t>
      </w:r>
    </w:p>
    <w:p>
      <w:r>
        <w:rPr>
          <w:rFonts w:ascii="Times New Roman" w:hAnsi="Times New Roman" w:eastAsia="宋体"/>
          <w:b w:val="0"/>
          <w:sz w:val="22"/>
        </w:rPr>
        <w:t>- wbgt_max_c: BoM简化: 0.567Ta+0.393e+3.94 - 澳大利亚气象局官方; Leroyer 2018</w:t>
      </w:r>
    </w:p>
    <w:p>
      <w:r>
        <w:rPr>
          <w:rFonts w:ascii="Times New Roman" w:hAnsi="Times New Roman" w:eastAsia="宋体"/>
          <w:b w:val="0"/>
          <w:sz w:val="22"/>
        </w:rPr>
        <w:t>- heatwave: CMA 35C x3d; Xu 2016 P95 综述(602引) - doi:10.1016/j.envint.2016.02.007</w:t>
      </w:r>
    </w:p>
    <w:p>
      <w:r>
        <w:rPr>
          <w:rFonts w:ascii="Times New Roman" w:hAnsi="Times New Roman" w:eastAsia="宋体"/>
          <w:b w:val="0"/>
          <w:sz w:val="22"/>
        </w:rPr>
        <w:t>- coldwave: CMA 24h降温8C; P10 x3d; 绝对严寒-15C - GB/T 21987-2017; doi:10.1007/s00484-012-0545-7</w:t>
      </w:r>
    </w:p>
    <w:p>
      <w:r>
        <w:rPr>
          <w:rFonts w:ascii="Times New Roman" w:hAnsi="Times New Roman" w:eastAsia="宋体"/>
          <w:b w:val="0"/>
          <w:sz w:val="22"/>
        </w:rPr>
        <w:t>- wind_chill_min_c: NOAA/NWS 2001 联合公式 - https://www.weather.gov/safety/cold-wind-chill-chart</w:t>
      </w:r>
    </w:p>
    <w:p>
      <w:r>
        <w:rPr>
          <w:rFonts w:ascii="Times New Roman" w:hAnsi="Times New Roman" w:eastAsia="宋体"/>
          <w:b w:val="0"/>
          <w:sz w:val="22"/>
        </w:rPr>
        <w:t>- aqi_value: HJ 633-2012 六项IAQI最大; O3用MDA8 - HJ 633-2012 国标</w:t>
      </w:r>
    </w:p>
    <w:p>
      <w:r>
        <w:rPr>
          <w:rFonts w:ascii="Times New Roman" w:hAnsi="Times New Roman" w:eastAsia="宋体"/>
          <w:b w:val="0"/>
          <w:sz w:val="22"/>
        </w:rPr>
        <w:t>- air_quality.who_level: WHO 2021 AQG 24h指南值 - https://www.who.int/publications/i/item/9789240034228</w:t>
      </w:r>
    </w:p>
    <w:p>
      <w:r>
        <w:rPr>
          <w:rFonts w:ascii="Times New Roman" w:hAnsi="Times New Roman" w:eastAsia="宋体"/>
          <w:b w:val="0"/>
          <w:sz w:val="22"/>
        </w:rPr>
        <w:t>- air_quality.pm25_mortality: PM2.5每+10ug/m3 死亡+0.68% - doi:10.1056/NEJMoa1817364 (Liu 2019 NEJM 1480引)</w:t>
      </w:r>
    </w:p>
    <w:p>
      <w:r>
        <w:rPr>
          <w:rFonts w:ascii="Times New Roman" w:hAnsi="Times New Roman" w:eastAsia="宋体"/>
          <w:b w:val="0"/>
          <w:sz w:val="22"/>
        </w:rPr>
        <w:t>- wbgt_survival_limit: 湿球35C生存极限 - doi:10.1073/pnas.0913352107 (Sherwood 2010 PNAS 1007引)</w:t>
      </w:r>
    </w:p>
    <w:p>
      <w:r>
        <w:rPr>
          <w:rFonts w:ascii="Times New Roman" w:hAnsi="Times New Roman" w:eastAsia="宋体"/>
          <w:b w:val="0"/>
          <w:sz w:val="22"/>
        </w:rPr>
        <w:t>- risk_level: 热冷40%+空气30%+脆弱30% (Gasparrini 2015) - doi:10.1016/S0140-6736(14)62114-0 (2597引)</w:t>
      </w:r>
    </w:p>
    <w:p>
      <w:r>
        <w:rPr>
          <w:rFonts w:ascii="Times New Roman" w:hAnsi="Times New Roman" w:eastAsia="宋体"/>
          <w:b w:val="0"/>
          <w:sz w:val="22"/>
        </w:rPr>
        <w:t>- risk_level.interaction: 高温+污染交互 +0.3-0.5 - doi:10.1016/j.envint.2023.107825 (482城市 116引)</w:t>
      </w:r>
    </w:p>
    <w:p>
      <w:r>
        <w:rPr>
          <w:rFonts w:ascii="Times New Roman" w:hAnsi="Times New Roman" w:eastAsia="宋体"/>
          <w:b w:val="0"/>
          <w:sz w:val="22"/>
        </w:rPr>
        <w:t>- dtr_max_c: 日较差-死亡关联 - doi:10.1016/j.envres.2006.11.009 (Shanghai 176引)</w:t>
      </w:r>
    </w:p>
    <w:p>
      <w:r>
        <w:rPr>
          <w:rFonts w:ascii="Times New Roman" w:hAnsi="Times New Roman" w:eastAsia="宋体"/>
          <w:b w:val="0"/>
          <w:sz w:val="22"/>
        </w:rPr>
        <w:t>- low_humidity: 低温低湿-呼吸道感染 - doi:10.1016/j.rmed.2008.09.011 (296引)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