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B97F2A"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B97F2A"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B97F2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B97F2A"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B97F2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F93526C"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1C45C1A8"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572A6CD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B97F2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3E1C65F3"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00C5416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Default="007E0ABD" w:rsidP="00410173"/>
    <w:p w14:paraId="29DD7C00" w14:textId="1653C817"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lastRenderedPageBreak/>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5EEC4D9E" w:rsidR="00DA51EF" w:rsidRDefault="00DA51EF" w:rsidP="00DA51EF">
      <w:pPr>
        <w:ind w:firstLine="720"/>
      </w:pPr>
      <w:r>
        <w:t>Wed 3/24 330-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488646BD"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p>
    <w:p w14:paraId="6FDB25D3" w14:textId="4546F614" w:rsidR="00D73D0C" w:rsidRDefault="00D73D0C" w:rsidP="00D73D0C">
      <w:pPr>
        <w:ind w:firstLine="720"/>
      </w:pPr>
    </w:p>
    <w:p w14:paraId="4E5B42CB" w14:textId="77777777" w:rsidR="00D73D0C" w:rsidRDefault="00D73D0C" w:rsidP="00D73D0C">
      <w:pPr>
        <w:ind w:firstLine="720"/>
      </w:pPr>
    </w:p>
    <w:sectPr w:rsidR="00D7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0"/>
  </w:num>
  <w:num w:numId="4">
    <w:abstractNumId w:val="4"/>
  </w:num>
  <w:num w:numId="5">
    <w:abstractNumId w:val="5"/>
  </w:num>
  <w:num w:numId="6">
    <w:abstractNumId w:val="1"/>
  </w:num>
  <w:num w:numId="7">
    <w:abstractNumId w:val="3"/>
  </w:num>
  <w:num w:numId="8">
    <w:abstractNumId w:val="2"/>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423B8"/>
    <w:rsid w:val="000E306F"/>
    <w:rsid w:val="001B1545"/>
    <w:rsid w:val="001D1687"/>
    <w:rsid w:val="0023117F"/>
    <w:rsid w:val="002F12EE"/>
    <w:rsid w:val="00372F08"/>
    <w:rsid w:val="003D7E1F"/>
    <w:rsid w:val="00410173"/>
    <w:rsid w:val="004151AF"/>
    <w:rsid w:val="004228AE"/>
    <w:rsid w:val="00465FE8"/>
    <w:rsid w:val="004B2F4C"/>
    <w:rsid w:val="004D0433"/>
    <w:rsid w:val="004E2236"/>
    <w:rsid w:val="005771A6"/>
    <w:rsid w:val="00620D52"/>
    <w:rsid w:val="00627666"/>
    <w:rsid w:val="006C3045"/>
    <w:rsid w:val="006E2CD0"/>
    <w:rsid w:val="00702A07"/>
    <w:rsid w:val="007A13BD"/>
    <w:rsid w:val="007C0B70"/>
    <w:rsid w:val="007E0ABD"/>
    <w:rsid w:val="00812849"/>
    <w:rsid w:val="008D5376"/>
    <w:rsid w:val="00977883"/>
    <w:rsid w:val="009A44A0"/>
    <w:rsid w:val="00A02DED"/>
    <w:rsid w:val="00A1071A"/>
    <w:rsid w:val="00A41DEB"/>
    <w:rsid w:val="00A4441D"/>
    <w:rsid w:val="00AF3B0B"/>
    <w:rsid w:val="00B16690"/>
    <w:rsid w:val="00B47CC3"/>
    <w:rsid w:val="00B73106"/>
    <w:rsid w:val="00B97F2A"/>
    <w:rsid w:val="00BF6A15"/>
    <w:rsid w:val="00C35CE5"/>
    <w:rsid w:val="00C3685C"/>
    <w:rsid w:val="00C57B64"/>
    <w:rsid w:val="00C67D09"/>
    <w:rsid w:val="00CA11BC"/>
    <w:rsid w:val="00CA7131"/>
    <w:rsid w:val="00CF4063"/>
    <w:rsid w:val="00D73D0C"/>
    <w:rsid w:val="00D853D5"/>
    <w:rsid w:val="00DA51EF"/>
    <w:rsid w:val="00DB581F"/>
    <w:rsid w:val="00DF7954"/>
    <w:rsid w:val="00E65DB7"/>
    <w:rsid w:val="00EA5FB8"/>
    <w:rsid w:val="00F1209E"/>
    <w:rsid w:val="00F27365"/>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8" Type="http://schemas.openxmlformats.org/officeDocument/2006/relationships/hyperlink" Target="https://d.docs.live.net/adc24b2eae462860/Documents/Enterprise%20Java%20journal.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10820</TotalTime>
  <Pages>17</Pages>
  <Words>5134</Words>
  <Characters>29268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38</cp:revision>
  <dcterms:created xsi:type="dcterms:W3CDTF">2021-02-10T00:46:00Z</dcterms:created>
  <dcterms:modified xsi:type="dcterms:W3CDTF">2021-03-25T00:07:00Z</dcterms:modified>
</cp:coreProperties>
</file>