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rPr>
          <w:rtl w:val="0"/>
        </w:rPr>
        <w:t xml:space="preserve">Topológiai vázlat</w:t>
      </w:r>
    </w:p>
    <w:p w:rsidR="00000000" w:rsidDel="00000000" w:rsidP="00000000" w:rsidRDefault="00000000" w:rsidRPr="00000000" w14:paraId="0000000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850.3937007874017" w:firstLine="0"/>
        <w:rPr/>
      </w:pPr>
      <w:r w:rsidDel="00000000" w:rsidR="00000000" w:rsidRPr="00000000">
        <w:rPr>
          <w:rtl w:val="0"/>
        </w:rPr>
        <w:t xml:space="preserve">Pécs: Központi telephely. </w:t>
      </w:r>
    </w:p>
    <w:p w:rsidR="00000000" w:rsidDel="00000000" w:rsidP="00000000" w:rsidRDefault="00000000" w:rsidRPr="00000000" w14:paraId="0000000C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0D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  <w:t xml:space="preserve">VLANok:</w:t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  <w:t xml:space="preserve">Core switchre csatlakozik a Linux és a Windows szerver valamint a két, végpontokat kiszolgáló switch.</w:t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ab/>
        <w:t xml:space="preserve">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