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FC267" w14:textId="0B216200" w:rsidR="00A36E78" w:rsidRDefault="00D52F98" w:rsidP="00612422">
      <w:pPr>
        <w:jc w:val="center"/>
        <w:rPr>
          <w:b/>
          <w:bCs/>
          <w:sz w:val="28"/>
          <w:szCs w:val="28"/>
        </w:rPr>
      </w:pPr>
      <w:r w:rsidRPr="009E4F67">
        <w:rPr>
          <w:b/>
          <w:bCs/>
          <w:sz w:val="28"/>
          <w:szCs w:val="28"/>
        </w:rPr>
        <w:t xml:space="preserve">Where Do Federal Health </w:t>
      </w:r>
      <w:commentRangeStart w:id="0"/>
      <w:r w:rsidRPr="009E4F67">
        <w:rPr>
          <w:b/>
          <w:bCs/>
          <w:sz w:val="28"/>
          <w:szCs w:val="28"/>
        </w:rPr>
        <w:t>Proposals</w:t>
      </w:r>
      <w:commentRangeEnd w:id="0"/>
      <w:r w:rsidR="00E258D2">
        <w:rPr>
          <w:rStyle w:val="CommentReference"/>
        </w:rPr>
        <w:commentReference w:id="0"/>
      </w:r>
      <w:r w:rsidRPr="009E4F67">
        <w:rPr>
          <w:b/>
          <w:bCs/>
          <w:sz w:val="28"/>
          <w:szCs w:val="28"/>
        </w:rPr>
        <w:t xml:space="preserve"> Fall on the Coverage Continuum?</w:t>
      </w:r>
    </w:p>
    <w:p w14:paraId="5D365BA9" w14:textId="263745F4" w:rsidR="00434D8E" w:rsidRDefault="00434D8E" w:rsidP="00434D8E">
      <w:pPr>
        <w:rPr>
          <w:b/>
          <w:bCs/>
          <w:sz w:val="28"/>
          <w:szCs w:val="28"/>
        </w:rPr>
      </w:pPr>
    </w:p>
    <w:p w14:paraId="318360CE" w14:textId="56263547" w:rsidR="00434D8E" w:rsidRDefault="00434D8E" w:rsidP="00434D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Big Block: Building o</w:t>
      </w:r>
      <w:r w:rsidR="00F64D88">
        <w:rPr>
          <w:b/>
          <w:bCs/>
          <w:sz w:val="28"/>
          <w:szCs w:val="28"/>
        </w:rPr>
        <w:t>n Current Law</w:t>
      </w:r>
    </w:p>
    <w:p w14:paraId="4DF40A2D" w14:textId="4E2917B6" w:rsidR="00434D8E" w:rsidRDefault="00434D8E" w:rsidP="00434D8E">
      <w:pPr>
        <w:rPr>
          <w:b/>
          <w:sz w:val="28"/>
          <w:szCs w:val="28"/>
        </w:rPr>
      </w:pPr>
      <w:r>
        <w:rPr>
          <w:b/>
          <w:sz w:val="28"/>
          <w:szCs w:val="28"/>
        </w:rPr>
        <w:t>Small block: Enhanced subsidies</w:t>
      </w:r>
    </w:p>
    <w:p w14:paraId="381DE328" w14:textId="626D9056" w:rsidR="00434D8E" w:rsidRPr="00E90062" w:rsidRDefault="00434D8E" w:rsidP="00434D8E">
      <w:pPr>
        <w:rPr>
          <w:b/>
          <w:sz w:val="28"/>
          <w:szCs w:val="28"/>
        </w:rPr>
      </w:pPr>
      <w:r w:rsidRPr="00E90062">
        <w:rPr>
          <w:b/>
          <w:sz w:val="28"/>
          <w:szCs w:val="28"/>
        </w:rPr>
        <w:t>Consumer Health Insurance Protection Act</w:t>
      </w:r>
      <w:r w:rsidR="00614F72">
        <w:rPr>
          <w:b/>
          <w:sz w:val="28"/>
          <w:szCs w:val="28"/>
        </w:rPr>
        <w:t xml:space="preserve"> </w:t>
      </w:r>
    </w:p>
    <w:p w14:paraId="6DA04C98" w14:textId="77777777" w:rsidR="00434D8E" w:rsidRDefault="00434D8E" w:rsidP="00434D8E">
      <w:r w:rsidRPr="00E90062">
        <w:rPr>
          <w:b/>
        </w:rPr>
        <w:t xml:space="preserve">Sponsor: </w:t>
      </w:r>
      <w:r>
        <w:t>Elizabeth Warren (D-Mass.), 2018</w:t>
      </w:r>
    </w:p>
    <w:p w14:paraId="3D7B8EE9" w14:textId="451B04AC" w:rsidR="00F64D88" w:rsidRDefault="00F64D88" w:rsidP="00434D8E">
      <w:r>
        <w:rPr>
          <w:b/>
        </w:rPr>
        <w:t>Coverage Benefit</w:t>
      </w:r>
      <w:r w:rsidR="00434D8E" w:rsidRPr="00E90062">
        <w:rPr>
          <w:b/>
        </w:rPr>
        <w:t>:</w:t>
      </w:r>
      <w:r>
        <w:t xml:space="preserve"> Enhances</w:t>
      </w:r>
      <w:r w:rsidR="00727E78">
        <w:t xml:space="preserve"> health insurance </w:t>
      </w:r>
      <w:r w:rsidRPr="00E90062">
        <w:t>marketplace</w:t>
      </w:r>
      <w:r>
        <w:t xml:space="preserve"> premium</w:t>
      </w:r>
      <w:r w:rsidRPr="00E90062">
        <w:t xml:space="preserve"> subsidies</w:t>
      </w:r>
      <w:r>
        <w:t xml:space="preserve"> by</w:t>
      </w:r>
      <w:r w:rsidRPr="00E90062">
        <w:t xml:space="preserve"> set</w:t>
      </w:r>
      <w:r>
        <w:t>ting the</w:t>
      </w:r>
      <w:r w:rsidR="00614F72">
        <w:t xml:space="preserve"> higher-quality</w:t>
      </w:r>
      <w:r w:rsidRPr="00E90062">
        <w:t xml:space="preserve"> </w:t>
      </w:r>
      <w:r w:rsidR="00614F72">
        <w:t>“</w:t>
      </w:r>
      <w:r w:rsidRPr="00E90062">
        <w:t>gold plan</w:t>
      </w:r>
      <w:r w:rsidR="00614F72">
        <w:t>”</w:t>
      </w:r>
      <w:r w:rsidRPr="00E90062">
        <w:t xml:space="preserve"> as </w:t>
      </w:r>
      <w:r>
        <w:t xml:space="preserve">the </w:t>
      </w:r>
      <w:r w:rsidRPr="00E90062">
        <w:t>marketplace benchmark</w:t>
      </w:r>
      <w:r w:rsidR="00566D9C">
        <w:t xml:space="preserve"> that is used to calculat</w:t>
      </w:r>
      <w:r w:rsidR="007A2A24">
        <w:t>e</w:t>
      </w:r>
      <w:r w:rsidR="00566D9C">
        <w:t xml:space="preserve"> subsides instead of the </w:t>
      </w:r>
      <w:r w:rsidR="00614F72">
        <w:t>“</w:t>
      </w:r>
      <w:r w:rsidR="00566D9C">
        <w:t>silver plan.</w:t>
      </w:r>
      <w:r w:rsidR="00614F72">
        <w:t>”</w:t>
      </w:r>
      <w:r w:rsidR="00566D9C">
        <w:t xml:space="preserve"> </w:t>
      </w:r>
      <w:commentRangeStart w:id="1"/>
      <w:r w:rsidR="00566D9C">
        <w:t>F</w:t>
      </w:r>
      <w:r w:rsidR="00434D8E">
        <w:t>ixes</w:t>
      </w:r>
      <w:commentRangeEnd w:id="1"/>
      <w:r w:rsidR="007A2A24">
        <w:rPr>
          <w:rStyle w:val="CommentReference"/>
        </w:rPr>
        <w:commentReference w:id="1"/>
      </w:r>
      <w:r w:rsidR="00434D8E">
        <w:t xml:space="preserve"> </w:t>
      </w:r>
      <w:r w:rsidR="002D25A3">
        <w:t xml:space="preserve">the </w:t>
      </w:r>
      <w:r w:rsidR="00434D8E">
        <w:t>“family glitch” whereby many families only receive individual-level subsidies</w:t>
      </w:r>
      <w:r w:rsidR="002D25A3">
        <w:t xml:space="preserve"> and expands cost-sharing subsides to help cover out-of-pocket costs. S</w:t>
      </w:r>
      <w:r w:rsidR="00434D8E" w:rsidRPr="00E90062">
        <w:t xml:space="preserve">ets </w:t>
      </w:r>
      <w:r w:rsidR="00727E78">
        <w:t>a c</w:t>
      </w:r>
      <w:r w:rsidR="00434D8E" w:rsidRPr="00E90062">
        <w:t>ap</w:t>
      </w:r>
      <w:bookmarkStart w:id="2" w:name="_GoBack"/>
      <w:bookmarkEnd w:id="2"/>
      <w:r w:rsidR="00434D8E" w:rsidRPr="00E90062">
        <w:t xml:space="preserve"> on </w:t>
      </w:r>
      <w:r w:rsidR="00434D8E">
        <w:t xml:space="preserve">prescription </w:t>
      </w:r>
      <w:r w:rsidR="00434D8E" w:rsidRPr="00E90062">
        <w:t xml:space="preserve">cost-sharing. </w:t>
      </w:r>
    </w:p>
    <w:p w14:paraId="6094FD9E" w14:textId="4C091F5C" w:rsidR="00566D9C" w:rsidRPr="00566D9C" w:rsidRDefault="00566D9C" w:rsidP="00434D8E">
      <w:r>
        <w:rPr>
          <w:b/>
        </w:rPr>
        <w:t xml:space="preserve">How Do People Pay for Coverage?  </w:t>
      </w:r>
      <w:r w:rsidR="00614F72">
        <w:t>P</w:t>
      </w:r>
      <w:r>
        <w:t>remium</w:t>
      </w:r>
      <w:r w:rsidR="00614F72">
        <w:t>s,</w:t>
      </w:r>
      <w:r w:rsidR="007A2A24">
        <w:t xml:space="preserve"> as well as any deductibles and copays or coinsurance that </w:t>
      </w:r>
      <w:r w:rsidR="00614F72">
        <w:t>are</w:t>
      </w:r>
      <w:r w:rsidR="007A2A24">
        <w:t xml:space="preserve"> part of their </w:t>
      </w:r>
      <w:commentRangeStart w:id="3"/>
      <w:r w:rsidR="007A2A24">
        <w:t>plan</w:t>
      </w:r>
      <w:commentRangeEnd w:id="3"/>
      <w:r w:rsidR="007A2A24">
        <w:rPr>
          <w:rStyle w:val="CommentReference"/>
        </w:rPr>
        <w:commentReference w:id="3"/>
      </w:r>
      <w:r w:rsidR="00043503">
        <w:t>.</w:t>
      </w:r>
      <w:r>
        <w:t xml:space="preserve"> </w:t>
      </w:r>
      <w:r w:rsidR="00727E78">
        <w:t xml:space="preserve"> </w:t>
      </w:r>
    </w:p>
    <w:p w14:paraId="1D9948D4" w14:textId="204710E8" w:rsidR="00434D8E" w:rsidRDefault="00F64D88" w:rsidP="00434D8E">
      <w:r w:rsidRPr="00F64D88">
        <w:rPr>
          <w:b/>
        </w:rPr>
        <w:t>Cost Management:</w:t>
      </w:r>
      <w:r>
        <w:t xml:space="preserve"> Would guarantee plan choice and promote competition by r</w:t>
      </w:r>
      <w:r w:rsidR="00434D8E" w:rsidRPr="00E90062">
        <w:t>equir</w:t>
      </w:r>
      <w:r>
        <w:t>ing</w:t>
      </w:r>
      <w:r w:rsidR="00434D8E" w:rsidRPr="00E90062">
        <w:t xml:space="preserve"> insurers that offer Medicare Advantage or Medicaid managed care plans in a region, to also offer marketplace plans. </w:t>
      </w:r>
      <w:r w:rsidR="00434D8E">
        <w:t xml:space="preserve"> </w:t>
      </w:r>
      <w:r w:rsidR="00434D8E" w:rsidRPr="00E90062">
        <w:t>Allocates $480</w:t>
      </w:r>
      <w:r w:rsidR="00434D8E">
        <w:t xml:space="preserve"> million</w:t>
      </w:r>
      <w:r w:rsidR="00434D8E" w:rsidRPr="00E90062">
        <w:t xml:space="preserve"> to </w:t>
      </w:r>
      <w:r w:rsidR="00434D8E">
        <w:t xml:space="preserve">the </w:t>
      </w:r>
      <w:r w:rsidR="00434D8E" w:rsidRPr="00E90062">
        <w:t xml:space="preserve">Secretary </w:t>
      </w:r>
      <w:r w:rsidR="00434D8E">
        <w:t xml:space="preserve">of the U.S. Department of Health and Human Services </w:t>
      </w:r>
      <w:r w:rsidR="00434D8E" w:rsidRPr="00E90062">
        <w:t>for marketing and outreach for open enrollment</w:t>
      </w:r>
      <w:r w:rsidR="00434D8E">
        <w:t xml:space="preserve"> in first year</w:t>
      </w:r>
      <w:r w:rsidR="00434D8E" w:rsidRPr="00E90062">
        <w:t>; increases by 4</w:t>
      </w:r>
      <w:r w:rsidR="00434D8E">
        <w:t xml:space="preserve"> percent</w:t>
      </w:r>
      <w:r w:rsidR="00434D8E" w:rsidRPr="00E90062">
        <w:t xml:space="preserve"> annually in subsequent years.  </w:t>
      </w:r>
    </w:p>
    <w:p w14:paraId="616049B4" w14:textId="635B5067" w:rsidR="00614F72" w:rsidRDefault="00614F72" w:rsidP="00434D8E">
      <w:hyperlink r:id="rId9" w:history="1">
        <w:r w:rsidRPr="00614F72">
          <w:rPr>
            <w:rStyle w:val="Hyperlink"/>
          </w:rPr>
          <w:t>Read the bill</w:t>
        </w:r>
      </w:hyperlink>
    </w:p>
    <w:p w14:paraId="2A06A4D9" w14:textId="6ACB1B60" w:rsidR="00434D8E" w:rsidRPr="00434D8E" w:rsidRDefault="00434D8E" w:rsidP="00434D8E">
      <w:pPr>
        <w:rPr>
          <w:b/>
          <w:sz w:val="28"/>
          <w:szCs w:val="28"/>
        </w:rPr>
      </w:pPr>
      <w:r w:rsidRPr="00434D8E">
        <w:rPr>
          <w:b/>
          <w:sz w:val="28"/>
          <w:szCs w:val="28"/>
        </w:rPr>
        <w:t>Small Block</w:t>
      </w:r>
      <w:r>
        <w:rPr>
          <w:b/>
          <w:sz w:val="28"/>
          <w:szCs w:val="28"/>
        </w:rPr>
        <w:t xml:space="preserve">: Marketplace </w:t>
      </w:r>
      <w:r w:rsidR="00727E78">
        <w:rPr>
          <w:b/>
          <w:sz w:val="28"/>
          <w:szCs w:val="28"/>
        </w:rPr>
        <w:t xml:space="preserve">Medicare-Like </w:t>
      </w:r>
      <w:r>
        <w:rPr>
          <w:b/>
          <w:sz w:val="28"/>
          <w:szCs w:val="28"/>
        </w:rPr>
        <w:t>Plan</w:t>
      </w:r>
    </w:p>
    <w:p w14:paraId="6BD0A340" w14:textId="77777777" w:rsidR="00434D8E" w:rsidRPr="00D0340C" w:rsidRDefault="00434D8E" w:rsidP="00434D8E">
      <w:pPr>
        <w:rPr>
          <w:b/>
          <w:bCs/>
          <w:sz w:val="28"/>
          <w:szCs w:val="28"/>
        </w:rPr>
      </w:pPr>
      <w:r w:rsidRPr="00D0340C">
        <w:rPr>
          <w:b/>
          <w:bCs/>
          <w:sz w:val="28"/>
          <w:szCs w:val="28"/>
        </w:rPr>
        <w:t>Medicare X Choice Act</w:t>
      </w:r>
    </w:p>
    <w:p w14:paraId="3E13C277" w14:textId="77777777" w:rsidR="00434D8E" w:rsidRDefault="00434D8E" w:rsidP="00434D8E">
      <w:pPr>
        <w:rPr>
          <w:b/>
          <w:bCs/>
        </w:rPr>
      </w:pPr>
      <w:r>
        <w:rPr>
          <w:b/>
          <w:bCs/>
        </w:rPr>
        <w:t xml:space="preserve">Sponsors: </w:t>
      </w:r>
      <w:r w:rsidRPr="00D0340C">
        <w:rPr>
          <w:bCs/>
        </w:rPr>
        <w:t xml:space="preserve">Sens. </w:t>
      </w:r>
      <w:r>
        <w:rPr>
          <w:bCs/>
        </w:rPr>
        <w:t xml:space="preserve">Michael </w:t>
      </w:r>
      <w:r w:rsidRPr="00D0340C">
        <w:rPr>
          <w:bCs/>
        </w:rPr>
        <w:t>Bennet</w:t>
      </w:r>
      <w:r>
        <w:rPr>
          <w:bCs/>
        </w:rPr>
        <w:t xml:space="preserve"> (D-Co.)</w:t>
      </w:r>
      <w:r w:rsidRPr="00D0340C">
        <w:rPr>
          <w:bCs/>
        </w:rPr>
        <w:t xml:space="preserve"> and </w:t>
      </w:r>
      <w:r>
        <w:rPr>
          <w:bCs/>
        </w:rPr>
        <w:t xml:space="preserve">Tim </w:t>
      </w:r>
      <w:r w:rsidRPr="00D0340C">
        <w:rPr>
          <w:bCs/>
        </w:rPr>
        <w:t>Kaine</w:t>
      </w:r>
      <w:r>
        <w:rPr>
          <w:bCs/>
        </w:rPr>
        <w:t xml:space="preserve"> (D-Va.), 2017</w:t>
      </w:r>
    </w:p>
    <w:p w14:paraId="17181E95" w14:textId="6BC53DCF" w:rsidR="00434D8E" w:rsidRDefault="00434D8E" w:rsidP="00434D8E">
      <w:r w:rsidRPr="00D0340C">
        <w:rPr>
          <w:b/>
        </w:rPr>
        <w:t xml:space="preserve">Coverage </w:t>
      </w:r>
      <w:r w:rsidR="00727E78">
        <w:rPr>
          <w:b/>
        </w:rPr>
        <w:t>Benefit</w:t>
      </w:r>
      <w:r w:rsidRPr="00D0340C">
        <w:rPr>
          <w:b/>
        </w:rPr>
        <w:t>:</w:t>
      </w:r>
      <w:r>
        <w:t xml:space="preserve"> </w:t>
      </w:r>
      <w:r w:rsidRPr="00C5537F">
        <w:t xml:space="preserve">Creates a </w:t>
      </w:r>
      <w:r w:rsidR="00614F72">
        <w:t xml:space="preserve">health insurance </w:t>
      </w:r>
      <w:r w:rsidR="00727E78">
        <w:t xml:space="preserve">marketplace </w:t>
      </w:r>
      <w:r w:rsidRPr="00C5537F">
        <w:t>public plan option, the Medicare Exchange plan</w:t>
      </w:r>
      <w:r>
        <w:t>,</w:t>
      </w:r>
      <w:r w:rsidRPr="00C5537F">
        <w:t xml:space="preserve"> that meets </w:t>
      </w:r>
      <w:r>
        <w:t>marketplace quality standard</w:t>
      </w:r>
      <w:r w:rsidR="007A2A24">
        <w:t xml:space="preserve">s. </w:t>
      </w:r>
    </w:p>
    <w:p w14:paraId="47CC39B0" w14:textId="0E167511" w:rsidR="00614F72" w:rsidRDefault="00614F72" w:rsidP="00434D8E">
      <w:r>
        <w:rPr>
          <w:b/>
        </w:rPr>
        <w:t>How Do People Pay for Coverage?</w:t>
      </w:r>
      <w:r>
        <w:rPr>
          <w:b/>
        </w:rPr>
        <w:t xml:space="preserve"> </w:t>
      </w:r>
      <w:r w:rsidRPr="00614F72">
        <w:t>P</w:t>
      </w:r>
      <w:r w:rsidRPr="00614F72">
        <w:t>r</w:t>
      </w:r>
      <w:r>
        <w:t>emium</w:t>
      </w:r>
      <w:r>
        <w:t>s</w:t>
      </w:r>
      <w:r>
        <w:t xml:space="preserve">, as well as any deductibles and copays or coinsurance that </w:t>
      </w:r>
      <w:r w:rsidR="002C1BDE">
        <w:t>are</w:t>
      </w:r>
      <w:r>
        <w:t xml:space="preserve"> part of their </w:t>
      </w:r>
      <w:commentRangeStart w:id="4"/>
      <w:r>
        <w:t>plan</w:t>
      </w:r>
      <w:commentRangeEnd w:id="4"/>
      <w:r>
        <w:rPr>
          <w:rStyle w:val="CommentReference"/>
        </w:rPr>
        <w:commentReference w:id="4"/>
      </w:r>
      <w:r>
        <w:t xml:space="preserve">.  </w:t>
      </w:r>
    </w:p>
    <w:p w14:paraId="357CA742" w14:textId="473DC0DB" w:rsidR="003A4094" w:rsidRDefault="007A2A24" w:rsidP="00434D8E">
      <w:r>
        <w:rPr>
          <w:b/>
        </w:rPr>
        <w:t xml:space="preserve">Cost </w:t>
      </w:r>
      <w:r w:rsidR="00614F72">
        <w:rPr>
          <w:b/>
        </w:rPr>
        <w:t>M</w:t>
      </w:r>
      <w:r>
        <w:rPr>
          <w:b/>
        </w:rPr>
        <w:t>anagement:</w:t>
      </w:r>
      <w:r w:rsidR="00434D8E">
        <w:t xml:space="preserve"> The U.S. Department of Health and Human Services Secretary sets premiums and negotiates prescription drug</w:t>
      </w:r>
      <w:r w:rsidR="00434D8E" w:rsidRPr="00C5537F">
        <w:t xml:space="preserve"> prices; </w:t>
      </w:r>
      <w:r w:rsidR="00434D8E">
        <w:t xml:space="preserve">the </w:t>
      </w:r>
      <w:r w:rsidR="00434D8E" w:rsidRPr="00C5537F">
        <w:t>V</w:t>
      </w:r>
      <w:r w:rsidR="00434D8E">
        <w:t xml:space="preserve">eteran </w:t>
      </w:r>
      <w:r w:rsidR="00434D8E" w:rsidRPr="00C5537F">
        <w:t>A</w:t>
      </w:r>
      <w:r w:rsidR="00434D8E">
        <w:t>ffairs</w:t>
      </w:r>
      <w:r w:rsidR="00434D8E" w:rsidRPr="00C5537F">
        <w:t xml:space="preserve"> price is </w:t>
      </w:r>
      <w:r w:rsidR="00434D8E">
        <w:t>the fallback if negotiations fail. Health pr</w:t>
      </w:r>
      <w:r w:rsidR="00434D8E" w:rsidRPr="00C5537F">
        <w:t>oviders participating in Medica</w:t>
      </w:r>
      <w:r w:rsidR="00434D8E">
        <w:t>re or Medicaid must participate in the public plan. P</w:t>
      </w:r>
      <w:r w:rsidR="00434D8E" w:rsidRPr="00C5537F">
        <w:t xml:space="preserve">roviders are reimbursed at Medicare rates; higher in rural areas. </w:t>
      </w:r>
    </w:p>
    <w:p w14:paraId="1F9C4F69" w14:textId="6115D272" w:rsidR="00614F72" w:rsidRPr="003A4094" w:rsidRDefault="00614F72" w:rsidP="00434D8E">
      <w:hyperlink r:id="rId10" w:history="1">
        <w:r w:rsidRPr="00614F72">
          <w:rPr>
            <w:rStyle w:val="Hyperlink"/>
          </w:rPr>
          <w:t>Read the bill</w:t>
        </w:r>
      </w:hyperlink>
    </w:p>
    <w:p w14:paraId="4EED3E2E" w14:textId="7662381C" w:rsidR="003A4094" w:rsidRPr="003A4094" w:rsidRDefault="003A4094" w:rsidP="00434D8E">
      <w:pPr>
        <w:rPr>
          <w:b/>
          <w:sz w:val="28"/>
          <w:szCs w:val="28"/>
        </w:rPr>
      </w:pPr>
      <w:r w:rsidRPr="003A4094">
        <w:rPr>
          <w:b/>
          <w:sz w:val="28"/>
          <w:szCs w:val="28"/>
        </w:rPr>
        <w:t xml:space="preserve">Small Block: </w:t>
      </w:r>
      <w:r>
        <w:rPr>
          <w:b/>
          <w:sz w:val="28"/>
          <w:szCs w:val="28"/>
        </w:rPr>
        <w:t xml:space="preserve">Medicare-Like </w:t>
      </w:r>
      <w:r w:rsidRPr="003A4094">
        <w:rPr>
          <w:b/>
          <w:sz w:val="28"/>
          <w:szCs w:val="28"/>
        </w:rPr>
        <w:t>Plan Available to People with Employer Coverage</w:t>
      </w:r>
    </w:p>
    <w:p w14:paraId="2F1BF22D" w14:textId="77777777" w:rsidR="003A4094" w:rsidRPr="00A36E78" w:rsidRDefault="003A4094" w:rsidP="003A4094">
      <w:pPr>
        <w:rPr>
          <w:b/>
          <w:bCs/>
          <w:sz w:val="28"/>
          <w:szCs w:val="28"/>
        </w:rPr>
      </w:pPr>
      <w:r w:rsidRPr="00A36E78">
        <w:rPr>
          <w:b/>
          <w:bCs/>
          <w:sz w:val="28"/>
          <w:szCs w:val="28"/>
        </w:rPr>
        <w:t>Choose Medicare Act</w:t>
      </w:r>
    </w:p>
    <w:p w14:paraId="5E267BF7" w14:textId="77777777" w:rsidR="003A4094" w:rsidRPr="00D52F98" w:rsidRDefault="003A4094" w:rsidP="003A4094">
      <w:pPr>
        <w:rPr>
          <w:bCs/>
        </w:rPr>
      </w:pPr>
      <w:r w:rsidRPr="009E4F67">
        <w:rPr>
          <w:b/>
          <w:bCs/>
        </w:rPr>
        <w:lastRenderedPageBreak/>
        <w:t>Sponsors:</w:t>
      </w:r>
      <w:r w:rsidRPr="00D52F98">
        <w:rPr>
          <w:bCs/>
        </w:rPr>
        <w:t xml:space="preserve"> Senators Jeff Merkley (D-Ore.) and Chris Murphy (D-</w:t>
      </w:r>
      <w:commentRangeStart w:id="5"/>
      <w:r w:rsidRPr="00D52F98">
        <w:rPr>
          <w:bCs/>
        </w:rPr>
        <w:t>Conn</w:t>
      </w:r>
      <w:commentRangeEnd w:id="5"/>
      <w:r>
        <w:rPr>
          <w:rStyle w:val="CommentReference"/>
        </w:rPr>
        <w:commentReference w:id="5"/>
      </w:r>
      <w:r w:rsidRPr="00D52F98">
        <w:rPr>
          <w:bCs/>
        </w:rPr>
        <w:t>.)</w:t>
      </w:r>
      <w:r>
        <w:rPr>
          <w:bCs/>
        </w:rPr>
        <w:t>, 2018</w:t>
      </w:r>
    </w:p>
    <w:p w14:paraId="0129DFA4" w14:textId="10999E1A" w:rsidR="003A4094" w:rsidRDefault="007A2A24" w:rsidP="003A4094">
      <w:r>
        <w:rPr>
          <w:b/>
        </w:rPr>
        <w:t>Coverage Benefit</w:t>
      </w:r>
      <w:r w:rsidR="003A4094" w:rsidRPr="009E4F67">
        <w:rPr>
          <w:b/>
        </w:rPr>
        <w:t>:</w:t>
      </w:r>
      <w:r w:rsidR="003A4094">
        <w:t xml:space="preserve"> </w:t>
      </w:r>
      <w:r w:rsidR="003A4094" w:rsidRPr="00C5537F">
        <w:t xml:space="preserve">Creates a </w:t>
      </w:r>
      <w:r w:rsidR="00614F72">
        <w:t xml:space="preserve">health insurance marketplace </w:t>
      </w:r>
      <w:r w:rsidR="003A4094" w:rsidRPr="00C5537F">
        <w:t>public health plan,</w:t>
      </w:r>
      <w:r w:rsidR="003A4094">
        <w:t xml:space="preserve"> Medicare Part E, that meets ACA marketplace “gold plan” quality </w:t>
      </w:r>
      <w:r w:rsidR="003A4094" w:rsidRPr="00C5537F">
        <w:t>standards.</w:t>
      </w:r>
      <w:r w:rsidR="003A4094">
        <w:t xml:space="preserve"> Offers more generous</w:t>
      </w:r>
      <w:r w:rsidR="003A4094" w:rsidRPr="00C5537F">
        <w:t xml:space="preserve"> subsidies</w:t>
      </w:r>
      <w:r w:rsidR="003A4094">
        <w:t xml:space="preserve"> than the ACA.</w:t>
      </w:r>
      <w:r w:rsidR="00614F72">
        <w:t xml:space="preserve"> E</w:t>
      </w:r>
      <w:r w:rsidR="003A4094" w:rsidRPr="00C5537F">
        <w:t>mployers</w:t>
      </w:r>
      <w:r w:rsidR="003A4094">
        <w:t xml:space="preserve"> </w:t>
      </w:r>
      <w:r w:rsidR="00614F72">
        <w:t xml:space="preserve">can </w:t>
      </w:r>
      <w:r w:rsidR="003A4094">
        <w:t xml:space="preserve">purchase </w:t>
      </w:r>
      <w:r w:rsidR="00614F72">
        <w:t xml:space="preserve">this plan for their workers </w:t>
      </w:r>
      <w:r w:rsidR="003A4094">
        <w:t>instead of a private plan</w:t>
      </w:r>
      <w:r w:rsidR="00614F72">
        <w:t>.</w:t>
      </w:r>
    </w:p>
    <w:p w14:paraId="7052F88D" w14:textId="07DA2C41" w:rsidR="00614F72" w:rsidRPr="00614F72" w:rsidRDefault="00614F72" w:rsidP="003A4094">
      <w:r w:rsidRPr="00614F72">
        <w:rPr>
          <w:b/>
        </w:rPr>
        <w:t>How Do People Pay for Coverage?</w:t>
      </w:r>
      <w:r>
        <w:rPr>
          <w:b/>
        </w:rPr>
        <w:t xml:space="preserve"> </w:t>
      </w:r>
      <w:r w:rsidRPr="00614F72">
        <w:t>Pr</w:t>
      </w:r>
      <w:r>
        <w:t xml:space="preserve">emiums, as well as any deductibles and copays or coinsurance that </w:t>
      </w:r>
      <w:r w:rsidR="00043503">
        <w:t>are</w:t>
      </w:r>
      <w:r>
        <w:t xml:space="preserve"> part of their </w:t>
      </w:r>
      <w:commentRangeStart w:id="6"/>
      <w:r>
        <w:t>plan</w:t>
      </w:r>
      <w:commentRangeEnd w:id="6"/>
      <w:r>
        <w:rPr>
          <w:rStyle w:val="CommentReference"/>
        </w:rPr>
        <w:commentReference w:id="6"/>
      </w:r>
      <w:r>
        <w:t xml:space="preserve">.  </w:t>
      </w:r>
    </w:p>
    <w:p w14:paraId="0232A622" w14:textId="6CC66BB2" w:rsidR="003A4094" w:rsidRDefault="00614F72" w:rsidP="003A4094">
      <w:r>
        <w:rPr>
          <w:b/>
        </w:rPr>
        <w:t>Cost Managemen</w:t>
      </w:r>
      <w:r w:rsidR="00043503">
        <w:rPr>
          <w:b/>
        </w:rPr>
        <w:t>t</w:t>
      </w:r>
      <w:r w:rsidR="003A4094" w:rsidRPr="009E4F67">
        <w:rPr>
          <w:b/>
        </w:rPr>
        <w:t>:</w:t>
      </w:r>
      <w:r w:rsidR="003A4094">
        <w:t xml:space="preserve"> P</w:t>
      </w:r>
      <w:r w:rsidR="003A4094" w:rsidRPr="00C5537F">
        <w:t xml:space="preserve">rovides funding for states to </w:t>
      </w:r>
      <w:r w:rsidR="003A4094">
        <w:t xml:space="preserve">establish reinsurance programs. U.S. Department of Health and Human Services Secretary </w:t>
      </w:r>
      <w:commentRangeStart w:id="7"/>
      <w:r w:rsidR="003A4094">
        <w:t>negotiates</w:t>
      </w:r>
      <w:commentRangeEnd w:id="7"/>
      <w:r w:rsidR="003A4094">
        <w:rPr>
          <w:rStyle w:val="CommentReference"/>
        </w:rPr>
        <w:commentReference w:id="7"/>
      </w:r>
      <w:r w:rsidR="003A4094">
        <w:t xml:space="preserve"> prescription drug </w:t>
      </w:r>
      <w:r w:rsidR="003A4094" w:rsidRPr="00C5537F">
        <w:t>prices and</w:t>
      </w:r>
      <w:r w:rsidR="003A4094">
        <w:t xml:space="preserve"> health</w:t>
      </w:r>
      <w:r w:rsidR="003A4094" w:rsidRPr="00C5537F">
        <w:t xml:space="preserve"> provider rates between Medicare and local private rates.</w:t>
      </w:r>
    </w:p>
    <w:p w14:paraId="131E7042" w14:textId="50C44CFA" w:rsidR="00043503" w:rsidRPr="00C5537F" w:rsidRDefault="00043503" w:rsidP="003A4094">
      <w:hyperlink r:id="rId11" w:history="1">
        <w:r w:rsidRPr="00043503">
          <w:rPr>
            <w:rStyle w:val="Hyperlink"/>
          </w:rPr>
          <w:t>Read the bill</w:t>
        </w:r>
      </w:hyperlink>
    </w:p>
    <w:p w14:paraId="124D0094" w14:textId="0B7F7E0F" w:rsidR="003A4094" w:rsidRDefault="003A4094" w:rsidP="00434D8E">
      <w:pPr>
        <w:rPr>
          <w:b/>
          <w:sz w:val="28"/>
          <w:szCs w:val="28"/>
        </w:rPr>
      </w:pPr>
      <w:r w:rsidRPr="003A4094">
        <w:rPr>
          <w:b/>
          <w:sz w:val="28"/>
          <w:szCs w:val="28"/>
        </w:rPr>
        <w:t>Big Block: Public Program Buy-Ins</w:t>
      </w:r>
    </w:p>
    <w:p w14:paraId="3513B2EF" w14:textId="3E5225FA" w:rsidR="003A4094" w:rsidRPr="003A4094" w:rsidRDefault="003A4094" w:rsidP="00434D8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Small Block: Medicaid Buy-In </w:t>
      </w:r>
    </w:p>
    <w:p w14:paraId="605A8F8A" w14:textId="77777777" w:rsidR="003A4094" w:rsidRPr="00A36E78" w:rsidRDefault="003A4094" w:rsidP="003A4094">
      <w:pPr>
        <w:rPr>
          <w:b/>
          <w:sz w:val="28"/>
          <w:szCs w:val="28"/>
        </w:rPr>
      </w:pPr>
      <w:r w:rsidRPr="00A36E78">
        <w:rPr>
          <w:b/>
          <w:sz w:val="28"/>
          <w:szCs w:val="28"/>
        </w:rPr>
        <w:t xml:space="preserve">State Public Option Act </w:t>
      </w:r>
    </w:p>
    <w:p w14:paraId="0D41864A" w14:textId="77777777" w:rsidR="003A4094" w:rsidRPr="00A36E78" w:rsidRDefault="003A4094" w:rsidP="003A4094">
      <w:r>
        <w:rPr>
          <w:b/>
        </w:rPr>
        <w:t xml:space="preserve">Sponsor: </w:t>
      </w:r>
      <w:r w:rsidRPr="00A36E78">
        <w:t>Sen. Brian Schatz (D-Hawaii)</w:t>
      </w:r>
      <w:r>
        <w:t xml:space="preserve"> and Rep.</w:t>
      </w:r>
      <w:r w:rsidRPr="00800455">
        <w:t xml:space="preserve"> Ben Ray </w:t>
      </w:r>
      <w:proofErr w:type="spellStart"/>
      <w:r w:rsidRPr="00800455">
        <w:t>Luján</w:t>
      </w:r>
      <w:proofErr w:type="spellEnd"/>
      <w:r w:rsidRPr="00800455">
        <w:t xml:space="preserve"> (D-N.M.</w:t>
      </w:r>
      <w:r>
        <w:t xml:space="preserve">), 2017 </w:t>
      </w:r>
    </w:p>
    <w:p w14:paraId="3E5764DE" w14:textId="57ABA5F8" w:rsidR="003A4094" w:rsidRDefault="00043503" w:rsidP="003A4094">
      <w:r>
        <w:rPr>
          <w:b/>
        </w:rPr>
        <w:t>Coverage Benefit</w:t>
      </w:r>
      <w:r w:rsidR="003A4094" w:rsidRPr="00A36E78">
        <w:rPr>
          <w:b/>
        </w:rPr>
        <w:t>:</w:t>
      </w:r>
      <w:r w:rsidR="003A4094">
        <w:t xml:space="preserve"> States could create a Medicaid buy-in program for people of all income levels</w:t>
      </w:r>
      <w:r>
        <w:t xml:space="preserve"> a</w:t>
      </w:r>
      <w:r w:rsidR="003A4094" w:rsidRPr="00A36E78">
        <w:t>vailable in the</w:t>
      </w:r>
      <w:r>
        <w:t xml:space="preserve"> health insurance</w:t>
      </w:r>
      <w:r w:rsidR="003A4094" w:rsidRPr="00A36E78">
        <w:t xml:space="preserve"> marketplaces</w:t>
      </w:r>
      <w:r>
        <w:t xml:space="preserve">. </w:t>
      </w:r>
      <w:r>
        <w:t>States may vary premiums by the same factors, e.g., age, as marketplace plans.</w:t>
      </w:r>
      <w:r>
        <w:t xml:space="preserve"> </w:t>
      </w:r>
      <w:commentRangeStart w:id="8"/>
      <w:r>
        <w:t xml:space="preserve">Marketplace premiums and cost-sharing subsides available. </w:t>
      </w:r>
      <w:commentRangeEnd w:id="8"/>
      <w:r>
        <w:rPr>
          <w:rStyle w:val="CommentReference"/>
        </w:rPr>
        <w:commentReference w:id="8"/>
      </w:r>
    </w:p>
    <w:p w14:paraId="6AAEB023" w14:textId="5E7B5F58" w:rsidR="00043503" w:rsidRPr="00614F72" w:rsidRDefault="00043503" w:rsidP="00043503">
      <w:r w:rsidRPr="00043503">
        <w:rPr>
          <w:b/>
        </w:rPr>
        <w:t>How Do People Pay for Coverage?</w:t>
      </w:r>
      <w:r w:rsidRPr="00043503">
        <w:t xml:space="preserve"> </w:t>
      </w:r>
      <w:r w:rsidRPr="00614F72">
        <w:t>Pr</w:t>
      </w:r>
      <w:r>
        <w:t xml:space="preserve">emiums, as well as any deductibles and copays or coinsurance that </w:t>
      </w:r>
      <w:r>
        <w:t>may be</w:t>
      </w:r>
      <w:r>
        <w:t xml:space="preserve"> part of the </w:t>
      </w:r>
      <w:commentRangeStart w:id="9"/>
      <w:r>
        <w:t>plan</w:t>
      </w:r>
      <w:commentRangeEnd w:id="9"/>
      <w:r>
        <w:rPr>
          <w:rStyle w:val="CommentReference"/>
        </w:rPr>
        <w:commentReference w:id="9"/>
      </w:r>
      <w:r>
        <w:t xml:space="preserve">.  </w:t>
      </w:r>
    </w:p>
    <w:p w14:paraId="39C57915" w14:textId="7982D040" w:rsidR="003A4094" w:rsidRDefault="00043503" w:rsidP="003A4094">
      <w:r>
        <w:rPr>
          <w:b/>
        </w:rPr>
        <w:t>Cost Management</w:t>
      </w:r>
      <w:r w:rsidR="003A4094" w:rsidRPr="00A36E78">
        <w:rPr>
          <w:b/>
        </w:rPr>
        <w:t>:</w:t>
      </w:r>
      <w:r w:rsidR="003A4094">
        <w:t xml:space="preserve"> Deductibles and other cost-sharing amounts would also be determined by the electing state to be actuarially fair. States would receive federal matching payments for any costs for the Medicaid buy-in program that are not covered by premiums and cost-sharing payments. </w:t>
      </w:r>
    </w:p>
    <w:p w14:paraId="2A7C2A4D" w14:textId="301DD4C9" w:rsidR="00043503" w:rsidRDefault="00043503" w:rsidP="003A4094">
      <w:hyperlink r:id="rId12" w:history="1">
        <w:r w:rsidRPr="00043503">
          <w:rPr>
            <w:rStyle w:val="Hyperlink"/>
          </w:rPr>
          <w:t>Read the bill</w:t>
        </w:r>
      </w:hyperlink>
    </w:p>
    <w:p w14:paraId="0E3F6F1B" w14:textId="5AFC3A88" w:rsidR="003A4094" w:rsidRDefault="003A4094" w:rsidP="00434D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Small Block: Medicare Buy-In for Americans Over 50</w:t>
      </w:r>
    </w:p>
    <w:p w14:paraId="05136BBE" w14:textId="77777777" w:rsidR="003A4094" w:rsidRPr="00D0340C" w:rsidRDefault="003A4094" w:rsidP="003A4094">
      <w:pPr>
        <w:rPr>
          <w:b/>
          <w:sz w:val="28"/>
          <w:szCs w:val="28"/>
        </w:rPr>
      </w:pPr>
      <w:r w:rsidRPr="00D0340C">
        <w:rPr>
          <w:b/>
          <w:sz w:val="28"/>
          <w:szCs w:val="28"/>
        </w:rPr>
        <w:t xml:space="preserve">Medicare Buy-In and Health Care Stabilization Act </w:t>
      </w:r>
    </w:p>
    <w:p w14:paraId="55191277" w14:textId="77777777" w:rsidR="003A4094" w:rsidRPr="009E4F67" w:rsidRDefault="003A4094" w:rsidP="003A4094">
      <w:r>
        <w:rPr>
          <w:b/>
        </w:rPr>
        <w:t xml:space="preserve">Sponsors: </w:t>
      </w:r>
      <w:r w:rsidRPr="009E4F67">
        <w:t xml:space="preserve">Reps. </w:t>
      </w:r>
      <w:r>
        <w:t xml:space="preserve">Brian </w:t>
      </w:r>
      <w:r w:rsidRPr="009E4F67">
        <w:t>Higgins</w:t>
      </w:r>
      <w:r>
        <w:t xml:space="preserve"> (D-N.Y.)</w:t>
      </w:r>
      <w:r w:rsidRPr="009E4F67">
        <w:t xml:space="preserve">, </w:t>
      </w:r>
      <w:r>
        <w:t xml:space="preserve">John </w:t>
      </w:r>
      <w:r w:rsidRPr="009E4F67">
        <w:t>Larson</w:t>
      </w:r>
      <w:r>
        <w:t xml:space="preserve"> (D-Conn.)</w:t>
      </w:r>
      <w:r w:rsidRPr="009E4F67">
        <w:t xml:space="preserve">, </w:t>
      </w:r>
      <w:r>
        <w:t xml:space="preserve">Joe </w:t>
      </w:r>
      <w:r w:rsidRPr="009E4F67">
        <w:t>Courtney</w:t>
      </w:r>
      <w:r>
        <w:t xml:space="preserve"> (D-Conn.), 2017</w:t>
      </w:r>
    </w:p>
    <w:p w14:paraId="43514F48" w14:textId="4FE6A9DE" w:rsidR="00043503" w:rsidRDefault="003A4094" w:rsidP="003A4094">
      <w:r w:rsidRPr="009E4F67">
        <w:rPr>
          <w:b/>
        </w:rPr>
        <w:t xml:space="preserve">Coverage </w:t>
      </w:r>
      <w:r w:rsidR="00043503">
        <w:rPr>
          <w:b/>
        </w:rPr>
        <w:t>Benefit</w:t>
      </w:r>
      <w:r w:rsidRPr="009E4F67">
        <w:rPr>
          <w:b/>
        </w:rPr>
        <w:t>:</w:t>
      </w:r>
      <w:r>
        <w:t xml:space="preserve"> Americans ages 50 to 64 to buy-in to Medicare for an annual premium. </w:t>
      </w:r>
      <w:r w:rsidR="00043503">
        <w:t xml:space="preserve">Available in the ACA marketplaces and to those with employer </w:t>
      </w:r>
      <w:commentRangeStart w:id="10"/>
      <w:r w:rsidR="00043503">
        <w:t>coverage</w:t>
      </w:r>
      <w:commentRangeEnd w:id="10"/>
      <w:r w:rsidR="00043503">
        <w:rPr>
          <w:rStyle w:val="CommentReference"/>
        </w:rPr>
        <w:commentReference w:id="10"/>
      </w:r>
      <w:r w:rsidR="00043503">
        <w:t xml:space="preserve">. </w:t>
      </w:r>
      <w:r>
        <w:t xml:space="preserve">Those eligible for ACA subsides could apply them to the plan. </w:t>
      </w:r>
    </w:p>
    <w:p w14:paraId="68AD35F0" w14:textId="3D5AD208" w:rsidR="00043503" w:rsidRPr="00614F72" w:rsidRDefault="00043503" w:rsidP="00043503">
      <w:r w:rsidRPr="00043503">
        <w:rPr>
          <w:b/>
        </w:rPr>
        <w:t xml:space="preserve">How Do People Pay for Coverage? </w:t>
      </w:r>
      <w:r>
        <w:t>P</w:t>
      </w:r>
      <w:r w:rsidRPr="00614F72">
        <w:t>r</w:t>
      </w:r>
      <w:r>
        <w:t xml:space="preserve">emiums, as well as any deductibles and copays or coinsurance that </w:t>
      </w:r>
      <w:r>
        <w:t>are</w:t>
      </w:r>
      <w:r>
        <w:t xml:space="preserve"> part of the </w:t>
      </w:r>
      <w:commentRangeStart w:id="11"/>
      <w:r>
        <w:t>plan</w:t>
      </w:r>
      <w:commentRangeEnd w:id="11"/>
      <w:r>
        <w:rPr>
          <w:rStyle w:val="CommentReference"/>
        </w:rPr>
        <w:commentReference w:id="11"/>
      </w:r>
      <w:r>
        <w:t xml:space="preserve">.  </w:t>
      </w:r>
    </w:p>
    <w:p w14:paraId="5F0F81FD" w14:textId="3A1C3F17" w:rsidR="00043503" w:rsidRDefault="00043503" w:rsidP="003A4094"/>
    <w:p w14:paraId="3DDF97F5" w14:textId="79A61720" w:rsidR="003A4094" w:rsidRDefault="00043503" w:rsidP="003A4094">
      <w:r>
        <w:rPr>
          <w:b/>
        </w:rPr>
        <w:lastRenderedPageBreak/>
        <w:t>Cost Management</w:t>
      </w:r>
      <w:r w:rsidR="003A4094" w:rsidRPr="008F6729">
        <w:rPr>
          <w:b/>
        </w:rPr>
        <w:t>:</w:t>
      </w:r>
      <w:r w:rsidR="003A4094">
        <w:t xml:space="preserve"> The </w:t>
      </w:r>
      <w:r>
        <w:t xml:space="preserve">U.S. </w:t>
      </w:r>
      <w:r w:rsidR="003A4094">
        <w:t>Department of Health and Human Services would set the premium. Reinstates the ACA’s cost-sharing reduction payments to insurers and reinsurance programs. Extends risk corridors to offset insurer losses through 2020.</w:t>
      </w:r>
    </w:p>
    <w:p w14:paraId="73D23283" w14:textId="1E177FEB" w:rsidR="00043503" w:rsidRDefault="00043503" w:rsidP="003A4094">
      <w:hyperlink r:id="rId13" w:history="1">
        <w:r w:rsidRPr="00043503">
          <w:rPr>
            <w:rStyle w:val="Hyperlink"/>
          </w:rPr>
          <w:t>Read the bill</w:t>
        </w:r>
      </w:hyperlink>
    </w:p>
    <w:p w14:paraId="2D26BEE2" w14:textId="7FA077C3" w:rsidR="003A4094" w:rsidRDefault="003A4094" w:rsidP="00434D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Big Bloc: Single Payer for All Americans</w:t>
      </w:r>
    </w:p>
    <w:p w14:paraId="0EFF5C57" w14:textId="6518D67F" w:rsidR="00612422" w:rsidRPr="00994D28" w:rsidRDefault="00612422">
      <w:pPr>
        <w:rPr>
          <w:b/>
          <w:bCs/>
          <w:sz w:val="28"/>
          <w:szCs w:val="28"/>
        </w:rPr>
      </w:pPr>
      <w:r w:rsidRPr="00994D28">
        <w:rPr>
          <w:b/>
          <w:bCs/>
          <w:sz w:val="28"/>
          <w:szCs w:val="28"/>
        </w:rPr>
        <w:t>Medicare for All</w:t>
      </w:r>
    </w:p>
    <w:p w14:paraId="04E9C299" w14:textId="78D11C3C" w:rsidR="00612422" w:rsidRPr="00F45751" w:rsidRDefault="00612422">
      <w:pPr>
        <w:rPr>
          <w:b/>
          <w:bCs/>
        </w:rPr>
      </w:pPr>
      <w:r w:rsidRPr="00F45751">
        <w:rPr>
          <w:b/>
          <w:bCs/>
        </w:rPr>
        <w:t xml:space="preserve">Sponsor: </w:t>
      </w:r>
      <w:r w:rsidRPr="00F45751">
        <w:rPr>
          <w:bCs/>
        </w:rPr>
        <w:t>Sen. Sanders (I-Vt.)</w:t>
      </w:r>
    </w:p>
    <w:p w14:paraId="43FA2039" w14:textId="6B8B6269" w:rsidR="00612422" w:rsidRDefault="00612422" w:rsidP="00612422">
      <w:pPr>
        <w:rPr>
          <w:bCs/>
        </w:rPr>
      </w:pPr>
      <w:r w:rsidRPr="00F45751">
        <w:rPr>
          <w:b/>
          <w:bCs/>
        </w:rPr>
        <w:t xml:space="preserve">Coverage </w:t>
      </w:r>
      <w:r w:rsidR="00043503">
        <w:rPr>
          <w:b/>
          <w:bCs/>
        </w:rPr>
        <w:t>Benefit</w:t>
      </w:r>
      <w:r w:rsidRPr="00F45751">
        <w:rPr>
          <w:b/>
          <w:bCs/>
        </w:rPr>
        <w:t xml:space="preserve">: </w:t>
      </w:r>
      <w:r w:rsidRPr="00F45751">
        <w:rPr>
          <w:bCs/>
        </w:rPr>
        <w:t>Creates a national</w:t>
      </w:r>
      <w:r w:rsidR="00F45751" w:rsidRPr="00F45751">
        <w:rPr>
          <w:bCs/>
        </w:rPr>
        <w:t xml:space="preserve"> health insurance program, the Universal Medicare Trust Fund, that absorbs Medicare, Medicaid, </w:t>
      </w:r>
      <w:r w:rsidR="00F45751">
        <w:rPr>
          <w:bCs/>
        </w:rPr>
        <w:t xml:space="preserve">the </w:t>
      </w:r>
      <w:r w:rsidR="00F45751" w:rsidRPr="00F45751">
        <w:rPr>
          <w:bCs/>
        </w:rPr>
        <w:t>F</w:t>
      </w:r>
      <w:r w:rsidR="00F45751">
        <w:rPr>
          <w:bCs/>
        </w:rPr>
        <w:t>ederal Employee Health Benefits Program</w:t>
      </w:r>
      <w:r w:rsidR="00F45751" w:rsidRPr="00F45751">
        <w:rPr>
          <w:bCs/>
        </w:rPr>
        <w:t xml:space="preserve">, </w:t>
      </w:r>
      <w:r w:rsidR="00F45751">
        <w:rPr>
          <w:bCs/>
        </w:rPr>
        <w:t xml:space="preserve">and </w:t>
      </w:r>
      <w:r w:rsidR="00F45751" w:rsidRPr="00F45751">
        <w:rPr>
          <w:bCs/>
        </w:rPr>
        <w:t>TRICARE</w:t>
      </w:r>
      <w:r w:rsidR="00994D28">
        <w:rPr>
          <w:bCs/>
        </w:rPr>
        <w:t xml:space="preserve">; </w:t>
      </w:r>
      <w:r w:rsidR="00994D28" w:rsidRPr="00F45751">
        <w:rPr>
          <w:bCs/>
        </w:rPr>
        <w:t>employer benefit plans are not allowed</w:t>
      </w:r>
      <w:r w:rsidR="00F45751" w:rsidRPr="00F45751">
        <w:rPr>
          <w:bCs/>
        </w:rPr>
        <w:t>. A</w:t>
      </w:r>
      <w:r w:rsidRPr="00F45751">
        <w:rPr>
          <w:bCs/>
        </w:rPr>
        <w:t xml:space="preserve">ll </w:t>
      </w:r>
      <w:r w:rsidR="00994D28">
        <w:rPr>
          <w:bCs/>
        </w:rPr>
        <w:t>residents are eligible</w:t>
      </w:r>
      <w:r w:rsidRPr="00F45751">
        <w:rPr>
          <w:bCs/>
        </w:rPr>
        <w:t xml:space="preserve">. Offers </w:t>
      </w:r>
      <w:r w:rsidR="00F45751" w:rsidRPr="00F45751">
        <w:rPr>
          <w:bCs/>
        </w:rPr>
        <w:t>c</w:t>
      </w:r>
      <w:r w:rsidRPr="00F45751">
        <w:rPr>
          <w:bCs/>
        </w:rPr>
        <w:t>omprehensive benefits</w:t>
      </w:r>
      <w:r w:rsidR="00F45751">
        <w:rPr>
          <w:bCs/>
        </w:rPr>
        <w:t>, including vision and dental coverage,</w:t>
      </w:r>
      <w:r w:rsidRPr="00F45751">
        <w:rPr>
          <w:bCs/>
        </w:rPr>
        <w:t xml:space="preserve"> with no cost sharing.</w:t>
      </w:r>
    </w:p>
    <w:p w14:paraId="5D4B35FA" w14:textId="0EEA0107" w:rsidR="00043503" w:rsidRPr="00043503" w:rsidRDefault="00043503" w:rsidP="00612422">
      <w:pPr>
        <w:rPr>
          <w:bCs/>
        </w:rPr>
      </w:pPr>
      <w:r w:rsidRPr="00043503">
        <w:rPr>
          <w:b/>
          <w:bCs/>
        </w:rPr>
        <w:t>How Do People Pay for Coverage?</w:t>
      </w:r>
      <w:r>
        <w:rPr>
          <w:b/>
          <w:bCs/>
        </w:rPr>
        <w:t xml:space="preserve"> </w:t>
      </w:r>
      <w:r>
        <w:rPr>
          <w:bCs/>
        </w:rPr>
        <w:t>Taxes</w:t>
      </w:r>
    </w:p>
    <w:p w14:paraId="0AE63BB5" w14:textId="19479E2A" w:rsidR="00F45751" w:rsidRDefault="00043503" w:rsidP="00F45751">
      <w:pPr>
        <w:rPr>
          <w:bCs/>
        </w:rPr>
      </w:pPr>
      <w:r>
        <w:rPr>
          <w:b/>
          <w:bCs/>
        </w:rPr>
        <w:t>Cost Management</w:t>
      </w:r>
      <w:r w:rsidR="00F45751">
        <w:rPr>
          <w:b/>
          <w:bCs/>
        </w:rPr>
        <w:t xml:space="preserve">: </w:t>
      </w:r>
      <w:r w:rsidR="00F45751">
        <w:t>U.S. Department of Health and Human Services Secretary</w:t>
      </w:r>
      <w:r w:rsidR="00F45751">
        <w:rPr>
          <w:b/>
          <w:bCs/>
        </w:rPr>
        <w:t xml:space="preserve"> </w:t>
      </w:r>
      <w:r w:rsidR="00F45751" w:rsidRPr="00F45751">
        <w:rPr>
          <w:bCs/>
        </w:rPr>
        <w:t>negotiates prescription drug</w:t>
      </w:r>
      <w:r w:rsidR="00612422" w:rsidRPr="00F45751">
        <w:rPr>
          <w:bCs/>
        </w:rPr>
        <w:t xml:space="preserve"> prices; </w:t>
      </w:r>
      <w:r w:rsidR="00F45751" w:rsidRPr="00F45751">
        <w:rPr>
          <w:bCs/>
        </w:rPr>
        <w:t xml:space="preserve">health </w:t>
      </w:r>
      <w:r w:rsidR="00612422" w:rsidRPr="00F45751">
        <w:rPr>
          <w:bCs/>
        </w:rPr>
        <w:t>provider</w:t>
      </w:r>
      <w:r w:rsidR="00F45751">
        <w:rPr>
          <w:bCs/>
        </w:rPr>
        <w:t xml:space="preserve"> rates set at Medicare rates. </w:t>
      </w:r>
    </w:p>
    <w:p w14:paraId="79C8C621" w14:textId="77777777" w:rsidR="00B77457" w:rsidRPr="00F45751" w:rsidRDefault="00B77457" w:rsidP="00B77457">
      <w:pPr>
        <w:rPr>
          <w:bCs/>
        </w:rPr>
      </w:pPr>
      <w:r w:rsidRPr="00B77457">
        <w:rPr>
          <w:b/>
          <w:bCs/>
        </w:rPr>
        <w:t xml:space="preserve">Transition: </w:t>
      </w:r>
      <w:r w:rsidRPr="00F45751">
        <w:rPr>
          <w:bCs/>
        </w:rPr>
        <w:t xml:space="preserve">Creates a </w:t>
      </w:r>
      <w:r>
        <w:rPr>
          <w:bCs/>
        </w:rPr>
        <w:t>Medicare t</w:t>
      </w:r>
      <w:r w:rsidRPr="00F45751">
        <w:rPr>
          <w:bCs/>
        </w:rPr>
        <w:t>ransition pl</w:t>
      </w:r>
      <w:r>
        <w:rPr>
          <w:bCs/>
        </w:rPr>
        <w:t>an offered through the ACA marketplaces for which all residents are eligible. Health p</w:t>
      </w:r>
      <w:r w:rsidRPr="00F45751">
        <w:rPr>
          <w:bCs/>
        </w:rPr>
        <w:t>roviders are pai</w:t>
      </w:r>
      <w:r>
        <w:rPr>
          <w:bCs/>
        </w:rPr>
        <w:t>d at Medicare rates.</w:t>
      </w:r>
      <w:r w:rsidRPr="00F45751">
        <w:rPr>
          <w:bCs/>
        </w:rPr>
        <w:t xml:space="preserve"> Medicare and Medicaid providers must participa</w:t>
      </w:r>
      <w:r>
        <w:rPr>
          <w:bCs/>
        </w:rPr>
        <w:t xml:space="preserve">te. </w:t>
      </w:r>
      <w:r>
        <w:t>U.S. Department of Health and Human Services Secretary</w:t>
      </w:r>
      <w:r>
        <w:rPr>
          <w:b/>
          <w:bCs/>
        </w:rPr>
        <w:t xml:space="preserve"> </w:t>
      </w:r>
      <w:r>
        <w:rPr>
          <w:bCs/>
        </w:rPr>
        <w:t>sets premiums, negotiates prescription drug prices. Enhanced</w:t>
      </w:r>
      <w:r w:rsidRPr="00F45751">
        <w:rPr>
          <w:bCs/>
        </w:rPr>
        <w:t xml:space="preserve"> subsidies</w:t>
      </w:r>
      <w:r>
        <w:rPr>
          <w:bCs/>
        </w:rPr>
        <w:t xml:space="preserve"> offered.</w:t>
      </w:r>
    </w:p>
    <w:p w14:paraId="492DB6C0" w14:textId="302374C0" w:rsidR="00B77457" w:rsidRPr="00F45751" w:rsidRDefault="00043503" w:rsidP="00F45751">
      <w:pPr>
        <w:rPr>
          <w:bCs/>
        </w:rPr>
      </w:pPr>
      <w:hyperlink r:id="rId14" w:history="1">
        <w:r w:rsidRPr="00043503">
          <w:rPr>
            <w:rStyle w:val="Hyperlink"/>
            <w:bCs/>
          </w:rPr>
          <w:t>Read the bill</w:t>
        </w:r>
      </w:hyperlink>
    </w:p>
    <w:p w14:paraId="27512A9D" w14:textId="77777777" w:rsidR="00C5537F" w:rsidRPr="00D0340C" w:rsidRDefault="00C5537F">
      <w:pPr>
        <w:rPr>
          <w:sz w:val="28"/>
          <w:szCs w:val="28"/>
        </w:rPr>
      </w:pPr>
    </w:p>
    <w:p w14:paraId="0DFAADBA" w14:textId="77777777" w:rsidR="00800455" w:rsidRDefault="00800455" w:rsidP="00E83CA0"/>
    <w:p w14:paraId="64E7612E" w14:textId="77777777" w:rsidR="00E83CA0" w:rsidRPr="00800455" w:rsidRDefault="00A36E78" w:rsidP="00E83CA0">
      <w:pPr>
        <w:rPr>
          <w:color w:val="FF0000"/>
        </w:rPr>
      </w:pPr>
      <w:r w:rsidRPr="00800455">
        <w:rPr>
          <w:color w:val="FF0000"/>
        </w:rPr>
        <w:t>KFF includes these two. Should we add?</w:t>
      </w:r>
    </w:p>
    <w:p w14:paraId="1B880CC9" w14:textId="77777777" w:rsidR="00A36E78" w:rsidRPr="00A36E78" w:rsidRDefault="00A36E78" w:rsidP="00A36E78">
      <w:pPr>
        <w:numPr>
          <w:ilvl w:val="0"/>
          <w:numId w:val="7"/>
        </w:numPr>
        <w:spacing w:after="0" w:line="390" w:lineRule="atLeast"/>
        <w:ind w:left="600"/>
        <w:textAlignment w:val="baseline"/>
        <w:rPr>
          <w:rFonts w:ascii="inherit" w:eastAsia="Times New Roman" w:hAnsi="inherit" w:cs="Arial"/>
          <w:color w:val="FF0000"/>
          <w:sz w:val="24"/>
          <w:szCs w:val="24"/>
        </w:rPr>
      </w:pPr>
      <w:r w:rsidRPr="00A36E78">
        <w:rPr>
          <w:rFonts w:ascii="inherit" w:eastAsia="Times New Roman" w:hAnsi="inherit" w:cs="Arial"/>
          <w:color w:val="FF0000"/>
          <w:sz w:val="24"/>
          <w:szCs w:val="24"/>
        </w:rPr>
        <w:t>The Choice Act by Rep. Schakowsky, </w:t>
      </w:r>
      <w:hyperlink r:id="rId15" w:history="1">
        <w:r w:rsidRPr="00800455">
          <w:rPr>
            <w:rFonts w:ascii="inherit" w:eastAsia="Times New Roman" w:hAnsi="inherit" w:cs="Arial"/>
            <w:color w:val="FF0000"/>
            <w:sz w:val="24"/>
            <w:szCs w:val="24"/>
            <w:u w:val="single"/>
            <w:bdr w:val="none" w:sz="0" w:space="0" w:color="auto" w:frame="1"/>
          </w:rPr>
          <w:t>H.R. 635</w:t>
        </w:r>
      </w:hyperlink>
      <w:r w:rsidRPr="00A36E78">
        <w:rPr>
          <w:rFonts w:ascii="inherit" w:eastAsia="Times New Roman" w:hAnsi="inherit" w:cs="Arial"/>
          <w:color w:val="FF0000"/>
          <w:sz w:val="24"/>
          <w:szCs w:val="24"/>
        </w:rPr>
        <w:t>, and Sen. Whitehouse, </w:t>
      </w:r>
      <w:hyperlink r:id="rId16" w:history="1">
        <w:r w:rsidRPr="00800455">
          <w:rPr>
            <w:rFonts w:ascii="inherit" w:eastAsia="Times New Roman" w:hAnsi="inherit" w:cs="Arial"/>
            <w:color w:val="FF0000"/>
            <w:sz w:val="24"/>
            <w:szCs w:val="24"/>
            <w:u w:val="single"/>
            <w:bdr w:val="none" w:sz="0" w:space="0" w:color="auto" w:frame="1"/>
          </w:rPr>
          <w:t>S. 194</w:t>
        </w:r>
      </w:hyperlink>
    </w:p>
    <w:p w14:paraId="4D5F4426" w14:textId="77777777" w:rsidR="00A36E78" w:rsidRPr="00A36E78" w:rsidRDefault="00A36E78" w:rsidP="00A36E78">
      <w:pPr>
        <w:numPr>
          <w:ilvl w:val="0"/>
          <w:numId w:val="7"/>
        </w:numPr>
        <w:spacing w:after="0" w:line="390" w:lineRule="atLeast"/>
        <w:textAlignment w:val="baseline"/>
        <w:rPr>
          <w:rFonts w:ascii="inherit" w:eastAsia="Times New Roman" w:hAnsi="inherit" w:cs="Arial"/>
          <w:color w:val="FF0000"/>
          <w:sz w:val="24"/>
          <w:szCs w:val="24"/>
        </w:rPr>
      </w:pPr>
      <w:r w:rsidRPr="00A36E78">
        <w:rPr>
          <w:rFonts w:ascii="inherit" w:eastAsia="Times New Roman" w:hAnsi="inherit" w:cs="Arial"/>
          <w:color w:val="FF0000"/>
          <w:sz w:val="24"/>
          <w:szCs w:val="24"/>
        </w:rPr>
        <w:t>The Medicare at 55 Act by Sen. Stabenow, </w:t>
      </w:r>
      <w:hyperlink r:id="rId17" w:history="1">
        <w:r w:rsidRPr="00800455">
          <w:rPr>
            <w:rFonts w:ascii="inherit" w:eastAsia="Times New Roman" w:hAnsi="inherit" w:cs="Arial"/>
            <w:color w:val="FF0000"/>
            <w:sz w:val="24"/>
            <w:szCs w:val="24"/>
            <w:u w:val="single"/>
            <w:bdr w:val="none" w:sz="0" w:space="0" w:color="auto" w:frame="1"/>
          </w:rPr>
          <w:t>S. 1742</w:t>
        </w:r>
      </w:hyperlink>
    </w:p>
    <w:p w14:paraId="70BE095E" w14:textId="314E2387" w:rsidR="00E90062" w:rsidRDefault="00E90062" w:rsidP="00E83CA0"/>
    <w:p w14:paraId="6B35345E" w14:textId="77777777" w:rsidR="00E90062" w:rsidRDefault="00E90062" w:rsidP="00E83CA0"/>
    <w:p w14:paraId="5A1E7076" w14:textId="77777777" w:rsidR="00E90062" w:rsidRDefault="00E90062" w:rsidP="00E83CA0"/>
    <w:sectPr w:rsidR="00E90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ristine F. Haran" w:date="2019-02-08T10:50:00Z" w:initials="CFH">
    <w:p w14:paraId="0B2E78CD" w14:textId="28786098" w:rsidR="00E258D2" w:rsidRDefault="00E258D2">
      <w:pPr>
        <w:pStyle w:val="CommentText"/>
      </w:pPr>
      <w:r>
        <w:rPr>
          <w:rStyle w:val="CommentReference"/>
        </w:rPr>
        <w:annotationRef/>
      </w:r>
      <w:proofErr w:type="gramStart"/>
      <w:r>
        <w:t>Jen,</w:t>
      </w:r>
      <w:proofErr w:type="gramEnd"/>
      <w:r>
        <w:t xml:space="preserve"> let’s use this word instead of bills</w:t>
      </w:r>
    </w:p>
  </w:comment>
  <w:comment w:id="1" w:author="Christine F. Haran" w:date="2019-02-08T11:54:00Z" w:initials="CFH">
    <w:p w14:paraId="1BEB21F2" w14:textId="0FB4049F" w:rsidR="007A2A24" w:rsidRDefault="007A2A24">
      <w:pPr>
        <w:pStyle w:val="CommentText"/>
      </w:pPr>
      <w:r>
        <w:rPr>
          <w:rStyle w:val="CommentReference"/>
        </w:rPr>
        <w:annotationRef/>
      </w:r>
      <w:r>
        <w:t xml:space="preserve">I’ve read here that the bill also lifts the income limit on subsides: </w:t>
      </w:r>
      <w:hyperlink r:id="rId1" w:history="1">
        <w:r w:rsidRPr="006E05A5">
          <w:rPr>
            <w:rStyle w:val="Hyperlink"/>
          </w:rPr>
          <w:t>https://tcf.org/content/commentary/quick-look-congresss-ideas-improve-private-health-insurance/?agreed=1</w:t>
        </w:r>
      </w:hyperlink>
    </w:p>
    <w:p w14:paraId="1CAA0E13" w14:textId="77777777" w:rsidR="007A2A24" w:rsidRDefault="007A2A24">
      <w:pPr>
        <w:pStyle w:val="CommentText"/>
      </w:pPr>
    </w:p>
    <w:p w14:paraId="3C32747B" w14:textId="020F60D9" w:rsidR="007A2A24" w:rsidRDefault="007A2A24">
      <w:pPr>
        <w:pStyle w:val="CommentText"/>
      </w:pPr>
      <w:r>
        <w:t>Even those making over 400% of poverty will not pay more than 8.5</w:t>
      </w:r>
      <w:r w:rsidR="00614F72">
        <w:t>% of their income</w:t>
      </w:r>
    </w:p>
  </w:comment>
  <w:comment w:id="3" w:author="Christine F. Haran" w:date="2019-02-08T11:54:00Z" w:initials="CFH">
    <w:p w14:paraId="03496187" w14:textId="3ED9DE0F" w:rsidR="007A2A24" w:rsidRDefault="007A2A24">
      <w:pPr>
        <w:pStyle w:val="CommentText"/>
      </w:pPr>
      <w:r>
        <w:rPr>
          <w:rStyle w:val="CommentReference"/>
        </w:rPr>
        <w:annotationRef/>
      </w:r>
      <w:r>
        <w:t>Ok?</w:t>
      </w:r>
      <w:r w:rsidR="00A71AE0">
        <w:t xml:space="preserve">  </w:t>
      </w:r>
    </w:p>
  </w:comment>
  <w:comment w:id="4" w:author="Christine F. Haran" w:date="2019-02-08T11:54:00Z" w:initials="CFH">
    <w:p w14:paraId="5F237D65" w14:textId="77777777" w:rsidR="00614F72" w:rsidRDefault="00614F72" w:rsidP="00614F72">
      <w:pPr>
        <w:pStyle w:val="CommentText"/>
      </w:pPr>
      <w:r>
        <w:rPr>
          <w:rStyle w:val="CommentReference"/>
        </w:rPr>
        <w:annotationRef/>
      </w:r>
      <w:r>
        <w:t>Ok?</w:t>
      </w:r>
    </w:p>
  </w:comment>
  <w:comment w:id="5" w:author="Christine F. Haran [2]" w:date="2019-01-25T11:30:00Z" w:initials="CFH">
    <w:p w14:paraId="34001443" w14:textId="77777777" w:rsidR="003A4094" w:rsidRDefault="003A4094" w:rsidP="003A4094">
      <w:pPr>
        <w:pStyle w:val="CommentText"/>
      </w:pPr>
      <w:r>
        <w:rPr>
          <w:rStyle w:val="CommentReference"/>
        </w:rPr>
        <w:annotationRef/>
      </w:r>
      <w:r>
        <w:t xml:space="preserve">Should we include the House of Rep sponsor, Cedric Richmond (D-La.)  instead of Murphy? This is how KFF handled: </w:t>
      </w:r>
      <w:r w:rsidRPr="008F6729">
        <w:t>http://files.kff.org/attachment/Table-Side-by-Side-Comparison-Medicare-for-all-Public-Plan-Proposals</w:t>
      </w:r>
    </w:p>
  </w:comment>
  <w:comment w:id="6" w:author="Christine F. Haran" w:date="2019-02-08T11:54:00Z" w:initials="CFH">
    <w:p w14:paraId="1C239190" w14:textId="77777777" w:rsidR="00614F72" w:rsidRDefault="00614F72" w:rsidP="00614F72">
      <w:pPr>
        <w:pStyle w:val="CommentText"/>
      </w:pPr>
      <w:r>
        <w:rPr>
          <w:rStyle w:val="CommentReference"/>
        </w:rPr>
        <w:annotationRef/>
      </w:r>
      <w:r>
        <w:t>Ok?</w:t>
      </w:r>
    </w:p>
  </w:comment>
  <w:comment w:id="7" w:author="Christine F. Haran [2]" w:date="2019-01-25T11:50:00Z" w:initials="CFH">
    <w:p w14:paraId="021615AD" w14:textId="77777777" w:rsidR="003A4094" w:rsidRDefault="003A4094" w:rsidP="003A4094">
      <w:pPr>
        <w:pStyle w:val="CommentText"/>
      </w:pPr>
      <w:r>
        <w:rPr>
          <w:rStyle w:val="CommentReference"/>
        </w:rPr>
        <w:annotationRef/>
      </w:r>
      <w:r>
        <w:t>How are premiums determined?</w:t>
      </w:r>
    </w:p>
  </w:comment>
  <w:comment w:id="8" w:author="Christine F. Haran" w:date="2019-02-08T12:43:00Z" w:initials="CFH">
    <w:p w14:paraId="6F0B0783" w14:textId="2B784520" w:rsidR="00043503" w:rsidRDefault="00043503">
      <w:pPr>
        <w:pStyle w:val="CommentText"/>
      </w:pPr>
      <w:r>
        <w:rPr>
          <w:rStyle w:val="CommentReference"/>
        </w:rPr>
        <w:annotationRef/>
      </w:r>
      <w:r>
        <w:t>Added.</w:t>
      </w:r>
    </w:p>
  </w:comment>
  <w:comment w:id="9" w:author="Christine F. Haran" w:date="2019-02-08T11:54:00Z" w:initials="CFH">
    <w:p w14:paraId="4AA81657" w14:textId="77777777" w:rsidR="00043503" w:rsidRDefault="00043503" w:rsidP="00043503">
      <w:pPr>
        <w:pStyle w:val="CommentText"/>
      </w:pPr>
      <w:r>
        <w:rPr>
          <w:rStyle w:val="CommentReference"/>
        </w:rPr>
        <w:annotationRef/>
      </w:r>
      <w:r>
        <w:t>Ok?</w:t>
      </w:r>
    </w:p>
  </w:comment>
  <w:comment w:id="10" w:author="Christine F. Haran [2]" w:date="2019-01-25T12:03:00Z" w:initials="CFH">
    <w:p w14:paraId="166451C1" w14:textId="77777777" w:rsidR="00043503" w:rsidRDefault="00043503" w:rsidP="00043503">
      <w:pPr>
        <w:pStyle w:val="CommentText"/>
      </w:pPr>
      <w:r>
        <w:rPr>
          <w:rStyle w:val="CommentReference"/>
        </w:rPr>
        <w:annotationRef/>
      </w:r>
      <w:r>
        <w:t>Does the employer decide to offer it as w/ Choose Medicare?</w:t>
      </w:r>
    </w:p>
  </w:comment>
  <w:comment w:id="11" w:author="Christine F. Haran" w:date="2019-02-08T11:54:00Z" w:initials="CFH">
    <w:p w14:paraId="57FB1732" w14:textId="77777777" w:rsidR="00043503" w:rsidRDefault="00043503" w:rsidP="00043503">
      <w:pPr>
        <w:pStyle w:val="CommentText"/>
      </w:pPr>
      <w:r>
        <w:rPr>
          <w:rStyle w:val="CommentReference"/>
        </w:rPr>
        <w:annotationRef/>
      </w:r>
      <w:r>
        <w:t>Ok?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2E78CD" w15:done="0"/>
  <w15:commentEx w15:paraId="3C32747B" w15:done="0"/>
  <w15:commentEx w15:paraId="03496187" w15:done="0"/>
  <w15:commentEx w15:paraId="5F237D65" w15:done="0"/>
  <w15:commentEx w15:paraId="34001443" w15:done="0"/>
  <w15:commentEx w15:paraId="1C239190" w15:done="0"/>
  <w15:commentEx w15:paraId="021615AD" w15:done="0"/>
  <w15:commentEx w15:paraId="6F0B0783" w15:done="0"/>
  <w15:commentEx w15:paraId="4AA81657" w15:done="0"/>
  <w15:commentEx w15:paraId="166451C1" w15:done="0"/>
  <w15:commentEx w15:paraId="57FB17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2E78CD" w16cid:durableId="2007DD58"/>
  <w16cid:commentId w16cid:paraId="3C32747B" w16cid:durableId="2007EC58"/>
  <w16cid:commentId w16cid:paraId="03496187" w16cid:durableId="2007EC81"/>
  <w16cid:commentId w16cid:paraId="5F237D65" w16cid:durableId="2007ED75"/>
  <w16cid:commentId w16cid:paraId="34001443" w16cid:durableId="1FF571ED"/>
  <w16cid:commentId w16cid:paraId="1C239190" w16cid:durableId="2007EF2F"/>
  <w16cid:commentId w16cid:paraId="021615AD" w16cid:durableId="1FF5766C"/>
  <w16cid:commentId w16cid:paraId="6F0B0783" w16cid:durableId="2007F7EB"/>
  <w16cid:commentId w16cid:paraId="4AA81657" w16cid:durableId="2007F720"/>
  <w16cid:commentId w16cid:paraId="166451C1" w16cid:durableId="1FF579AB"/>
  <w16cid:commentId w16cid:paraId="57FB1732" w16cid:durableId="2007F8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37595"/>
    <w:multiLevelType w:val="hybridMultilevel"/>
    <w:tmpl w:val="71E02E50"/>
    <w:lvl w:ilvl="0" w:tplc="1F229F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783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20B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206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DE89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3EA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ED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402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841C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BB969B0"/>
    <w:multiLevelType w:val="hybridMultilevel"/>
    <w:tmpl w:val="9BBC2520"/>
    <w:lvl w:ilvl="0" w:tplc="BB2E6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FA8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EAE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BC0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6EA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981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F45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7AC6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56D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E451B98"/>
    <w:multiLevelType w:val="hybridMultilevel"/>
    <w:tmpl w:val="8576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04851"/>
    <w:multiLevelType w:val="multilevel"/>
    <w:tmpl w:val="312C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76918"/>
    <w:multiLevelType w:val="hybridMultilevel"/>
    <w:tmpl w:val="17300A2A"/>
    <w:lvl w:ilvl="0" w:tplc="3C68E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9AAF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C6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D87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42E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C21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BC1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8C2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AE9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641F9F"/>
    <w:multiLevelType w:val="hybridMultilevel"/>
    <w:tmpl w:val="9C82A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F472C"/>
    <w:multiLevelType w:val="hybridMultilevel"/>
    <w:tmpl w:val="49FE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45E2B"/>
    <w:multiLevelType w:val="hybridMultilevel"/>
    <w:tmpl w:val="A6708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83F91"/>
    <w:multiLevelType w:val="hybridMultilevel"/>
    <w:tmpl w:val="B8DE9A6C"/>
    <w:lvl w:ilvl="0" w:tplc="A810F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A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C47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CA5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C03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288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021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A41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4A8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A283EF5"/>
    <w:multiLevelType w:val="hybridMultilevel"/>
    <w:tmpl w:val="DFA42196"/>
    <w:lvl w:ilvl="0" w:tplc="F0824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8E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B23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AA2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264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16F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1A8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7A9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428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84517F2"/>
    <w:multiLevelType w:val="multilevel"/>
    <w:tmpl w:val="A814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10"/>
  </w:num>
  <w:num w:numId="8">
    <w:abstractNumId w:val="3"/>
  </w:num>
  <w:num w:numId="9">
    <w:abstractNumId w:val="1"/>
  </w:num>
  <w:num w:numId="10">
    <w:abstractNumId w:val="0"/>
  </w:num>
  <w:num w:numId="1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ine F. Haran">
    <w15:presenceInfo w15:providerId="AD" w15:userId="S-1-5-21-1004529278-3813118908-2288687658-1165"/>
  </w15:person>
  <w15:person w15:author="Christine F. Haran [2]">
    <w15:presenceInfo w15:providerId="None" w15:userId="Christine F. Har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78"/>
    <w:rsid w:val="00043503"/>
    <w:rsid w:val="000A1D87"/>
    <w:rsid w:val="001B485E"/>
    <w:rsid w:val="001C23F5"/>
    <w:rsid w:val="001D6DE4"/>
    <w:rsid w:val="001F25A7"/>
    <w:rsid w:val="002A36A7"/>
    <w:rsid w:val="002C1BDE"/>
    <w:rsid w:val="002D25A3"/>
    <w:rsid w:val="003573B6"/>
    <w:rsid w:val="003A4094"/>
    <w:rsid w:val="00423C13"/>
    <w:rsid w:val="00434D8E"/>
    <w:rsid w:val="004E6B68"/>
    <w:rsid w:val="00566D9C"/>
    <w:rsid w:val="005F6FDE"/>
    <w:rsid w:val="00612422"/>
    <w:rsid w:val="00614F72"/>
    <w:rsid w:val="00727E78"/>
    <w:rsid w:val="007A2A24"/>
    <w:rsid w:val="00800455"/>
    <w:rsid w:val="00830D78"/>
    <w:rsid w:val="00892F27"/>
    <w:rsid w:val="008F6729"/>
    <w:rsid w:val="00994D28"/>
    <w:rsid w:val="009E4F67"/>
    <w:rsid w:val="00A36E78"/>
    <w:rsid w:val="00A71AE0"/>
    <w:rsid w:val="00A75B95"/>
    <w:rsid w:val="00B70F91"/>
    <w:rsid w:val="00B77457"/>
    <w:rsid w:val="00BD70D5"/>
    <w:rsid w:val="00C5537F"/>
    <w:rsid w:val="00C66A9A"/>
    <w:rsid w:val="00D0340C"/>
    <w:rsid w:val="00D52F98"/>
    <w:rsid w:val="00E258D2"/>
    <w:rsid w:val="00E642F9"/>
    <w:rsid w:val="00E83CA0"/>
    <w:rsid w:val="00E90062"/>
    <w:rsid w:val="00F45751"/>
    <w:rsid w:val="00F64D88"/>
    <w:rsid w:val="00FA7B91"/>
    <w:rsid w:val="00FD2ABB"/>
    <w:rsid w:val="00FD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B660"/>
  <w15:chartTrackingRefBased/>
  <w15:docId w15:val="{1FCE7BC8-2222-4612-8366-E17B9028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85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52F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F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F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F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F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F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F9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6E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3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6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3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2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7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1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7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8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44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2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9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2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2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9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6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5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4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4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3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8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tcf.org/content/commentary/quick-look-congresss-ideas-improve-private-health-insurance/?agreed=1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www.congress.gov/bill/115th-congress/house-bill/374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www.congress.gov/bill/115th-congress/senate-bill/2001" TargetMode="External"/><Relationship Id="rId17" Type="http://schemas.openxmlformats.org/officeDocument/2006/relationships/hyperlink" Target="https://www.congress.gov/115/bills/s1742/BILLS-115s1742i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ngress.gov/115/bills/s194/BILLS-115s194is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www.congress.gov/bill/115th-congress/senate-bill/270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ngress.gov/115/bills/hr635/BILLS-115hr635ih.pdf" TargetMode="External"/><Relationship Id="rId10" Type="http://schemas.openxmlformats.org/officeDocument/2006/relationships/hyperlink" Target="https://www.congress.gov/bill/115th-congress/senate-bill/1970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www.warren.senate.gov/imo/media/doc/2018-03-21%20Consumer%20Health%20Insurance%20Protection%20Act%20bill%20text.pdf" TargetMode="External"/><Relationship Id="rId14" Type="http://schemas.openxmlformats.org/officeDocument/2006/relationships/hyperlink" Target="https://www.congress.gov/bill/115th-congress/senate-bill/18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F1239-45B0-430D-9EEC-47EE9F000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F. Haran</dc:creator>
  <cp:keywords/>
  <dc:description/>
  <cp:lastModifiedBy>Christine F. Haran</cp:lastModifiedBy>
  <cp:revision>3</cp:revision>
  <dcterms:created xsi:type="dcterms:W3CDTF">2019-02-05T17:20:00Z</dcterms:created>
  <dcterms:modified xsi:type="dcterms:W3CDTF">2019-02-08T17:50:00Z</dcterms:modified>
</cp:coreProperties>
</file>