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C38C" w14:textId="77777777" w:rsidR="0017299B" w:rsidRPr="00F23F57" w:rsidRDefault="0017299B" w:rsidP="0017299B">
      <w:pPr>
        <w:pStyle w:val="a5"/>
        <w:snapToGrid w:val="0"/>
        <w:jc w:val="center"/>
        <w:rPr>
          <w:b/>
          <w:sz w:val="44"/>
        </w:rPr>
      </w:pPr>
      <w:r w:rsidRPr="00F23F57">
        <w:rPr>
          <w:b/>
          <w:sz w:val="44"/>
        </w:rPr>
        <w:t>10</w:t>
      </w:r>
      <w:r>
        <w:rPr>
          <w:b/>
          <w:sz w:val="44"/>
        </w:rPr>
        <w:t>9</w:t>
      </w:r>
      <w:r w:rsidRPr="00F23F57">
        <w:rPr>
          <w:b/>
          <w:sz w:val="44"/>
        </w:rPr>
        <w:t>年能源供需概況</w:t>
      </w:r>
    </w:p>
    <w:p w14:paraId="332BBB96" w14:textId="77777777" w:rsidR="0017299B" w:rsidRPr="00F23F57" w:rsidRDefault="0017299B" w:rsidP="0017299B">
      <w:pPr>
        <w:numPr>
          <w:ilvl w:val="0"/>
          <w:numId w:val="1"/>
        </w:numPr>
        <w:rPr>
          <w:b/>
          <w:sz w:val="32"/>
        </w:rPr>
      </w:pPr>
      <w:bookmarkStart w:id="0" w:name="_Hlk41396302"/>
      <w:r w:rsidRPr="00F23F57">
        <w:rPr>
          <w:b/>
          <w:sz w:val="32"/>
        </w:rPr>
        <w:t>綜合能源部分</w:t>
      </w:r>
    </w:p>
    <w:p w14:paraId="2FC8285C" w14:textId="77777777" w:rsidR="0017299B" w:rsidRPr="00F23F57" w:rsidRDefault="0017299B" w:rsidP="0017299B">
      <w:pPr>
        <w:pStyle w:val="KK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）年能源總供給量為</w:t>
      </w:r>
      <w:r>
        <w:rPr>
          <w:rFonts w:ascii="Times New Roman"/>
        </w:rPr>
        <w:t>138,480.6</w:t>
      </w:r>
      <w:r w:rsidRPr="00F23F57">
        <w:rPr>
          <w:rFonts w:ascii="Times New Roman"/>
        </w:rPr>
        <w:t>千公秉油當量，較上年（</w:t>
      </w:r>
      <w:r>
        <w:rPr>
          <w:rFonts w:ascii="Times New Roman"/>
        </w:rPr>
        <w:t>148,400.4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減少</w:t>
      </w:r>
      <w:r>
        <w:rPr>
          <w:rFonts w:ascii="Times New Roman"/>
        </w:rPr>
        <w:t>6</w:t>
      </w:r>
      <w:r>
        <w:rPr>
          <w:rFonts w:ascii="Times New Roman" w:hint="eastAsia"/>
        </w:rPr>
        <w:t>.</w:t>
      </w:r>
      <w:r>
        <w:rPr>
          <w:rFonts w:ascii="Times New Roman"/>
        </w:rPr>
        <w:t>68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；其中自產能源為</w:t>
      </w:r>
      <w:r>
        <w:rPr>
          <w:rFonts w:ascii="Times New Roman"/>
        </w:rPr>
        <w:t>3,057.2</w:t>
      </w:r>
      <w:r w:rsidRPr="00F23F57">
        <w:rPr>
          <w:rFonts w:ascii="Times New Roman"/>
        </w:rPr>
        <w:t>千公秉油當量，占總供給量</w:t>
      </w:r>
      <w:r>
        <w:rPr>
          <w:rFonts w:ascii="Times New Roman"/>
        </w:rPr>
        <w:t>2.21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1.</w:t>
      </w:r>
      <w:r>
        <w:rPr>
          <w:rFonts w:ascii="Times New Roman"/>
        </w:rPr>
        <w:t>70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；而進口能源為</w:t>
      </w:r>
      <w:r>
        <w:rPr>
          <w:rFonts w:ascii="Times New Roman"/>
        </w:rPr>
        <w:t>135,423.4</w:t>
      </w:r>
      <w:r w:rsidRPr="00F23F57">
        <w:rPr>
          <w:rFonts w:ascii="Times New Roman"/>
        </w:rPr>
        <w:t>千公秉油當量，占總供給量</w:t>
      </w:r>
      <w:r>
        <w:rPr>
          <w:rFonts w:ascii="Times New Roman"/>
        </w:rPr>
        <w:t>97.79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6.</w:t>
      </w:r>
      <w:r>
        <w:rPr>
          <w:rFonts w:ascii="Times New Roman"/>
        </w:rPr>
        <w:t>79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。若按能源種類區分，</w:t>
      </w:r>
      <w:proofErr w:type="gramStart"/>
      <w:r w:rsidRPr="00F23F57">
        <w:rPr>
          <w:rFonts w:ascii="Times New Roman"/>
        </w:rPr>
        <w:t>則煤及</w:t>
      </w:r>
      <w:proofErr w:type="gramEnd"/>
      <w:r w:rsidRPr="00F23F57">
        <w:rPr>
          <w:rFonts w:ascii="Times New Roman"/>
        </w:rPr>
        <w:t>煤產品占</w:t>
      </w:r>
      <w:r>
        <w:rPr>
          <w:rFonts w:ascii="Times New Roman" w:hint="eastAsia"/>
        </w:rPr>
        <w:t>3</w:t>
      </w:r>
      <w:r>
        <w:rPr>
          <w:rFonts w:ascii="Times New Roman"/>
        </w:rPr>
        <w:t>0</w:t>
      </w:r>
      <w:r>
        <w:rPr>
          <w:rFonts w:ascii="Times New Roman" w:hint="eastAsia"/>
        </w:rPr>
        <w:t>.</w:t>
      </w:r>
      <w:r>
        <w:rPr>
          <w:rFonts w:ascii="Times New Roman"/>
        </w:rPr>
        <w:t>00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6.</w:t>
      </w:r>
      <w:r>
        <w:rPr>
          <w:rFonts w:ascii="Times New Roman"/>
        </w:rPr>
        <w:t>23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</w:t>
      </w:r>
      <w:r>
        <w:rPr>
          <w:rFonts w:ascii="Times New Roman" w:hint="eastAsia"/>
        </w:rPr>
        <w:t>原</w:t>
      </w:r>
      <w:r w:rsidRPr="00F23F57">
        <w:rPr>
          <w:rFonts w:ascii="Times New Roman"/>
        </w:rPr>
        <w:t>油</w:t>
      </w:r>
      <w:r>
        <w:rPr>
          <w:rFonts w:ascii="Times New Roman" w:hint="eastAsia"/>
        </w:rPr>
        <w:t>及石油產品</w:t>
      </w:r>
      <w:r w:rsidRPr="00F23F57">
        <w:rPr>
          <w:rFonts w:ascii="Times New Roman"/>
        </w:rPr>
        <w:t>占</w:t>
      </w:r>
      <w:r>
        <w:rPr>
          <w:rFonts w:ascii="Times New Roman" w:hint="eastAsia"/>
        </w:rPr>
        <w:t>4</w:t>
      </w:r>
      <w:r>
        <w:rPr>
          <w:rFonts w:ascii="Times New Roman"/>
        </w:rPr>
        <w:t>4</w:t>
      </w:r>
      <w:r>
        <w:rPr>
          <w:rFonts w:ascii="Times New Roman" w:hint="eastAsia"/>
        </w:rPr>
        <w:t>.</w:t>
      </w:r>
      <w:r>
        <w:rPr>
          <w:rFonts w:ascii="Times New Roman"/>
        </w:rPr>
        <w:t>17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12.</w:t>
      </w:r>
      <w:r>
        <w:rPr>
          <w:rFonts w:ascii="Times New Roman"/>
        </w:rPr>
        <w:t>14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；天然氣占</w:t>
      </w:r>
      <w:r>
        <w:rPr>
          <w:rFonts w:ascii="Times New Roman" w:hint="eastAsia"/>
        </w:rPr>
        <w:t>1</w:t>
      </w:r>
      <w:r>
        <w:rPr>
          <w:rFonts w:ascii="Times New Roman"/>
        </w:rPr>
        <w:t>7</w:t>
      </w:r>
      <w:r>
        <w:rPr>
          <w:rFonts w:ascii="Times New Roman" w:hint="eastAsia"/>
        </w:rPr>
        <w:t>.</w:t>
      </w:r>
      <w:r>
        <w:rPr>
          <w:rFonts w:ascii="Times New Roman"/>
        </w:rPr>
        <w:t>1</w:t>
      </w:r>
      <w:r>
        <w:rPr>
          <w:rFonts w:ascii="Times New Roman" w:hint="eastAsia"/>
        </w:rPr>
        <w:t>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/>
        </w:rPr>
        <w:t>6</w:t>
      </w:r>
      <w:r w:rsidRPr="00F23F57">
        <w:rPr>
          <w:rFonts w:ascii="Times New Roman"/>
        </w:rPr>
        <w:t>.</w:t>
      </w:r>
      <w:r>
        <w:rPr>
          <w:rFonts w:ascii="Times New Roman"/>
        </w:rPr>
        <w:t>98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；生質能及廢棄物占</w:t>
      </w:r>
      <w:r w:rsidRPr="00F23F57">
        <w:rPr>
          <w:rFonts w:ascii="Times New Roman"/>
        </w:rPr>
        <w:t>1.</w:t>
      </w:r>
      <w:r>
        <w:rPr>
          <w:rFonts w:ascii="Times New Roman"/>
        </w:rPr>
        <w:t>21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1.</w:t>
      </w:r>
      <w:r>
        <w:rPr>
          <w:rFonts w:ascii="Times New Roman"/>
        </w:rPr>
        <w:t>19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；核能占</w:t>
      </w:r>
      <w:r>
        <w:rPr>
          <w:rFonts w:ascii="Times New Roman" w:hint="eastAsia"/>
        </w:rPr>
        <w:t>6.</w:t>
      </w:r>
      <w:r>
        <w:rPr>
          <w:rFonts w:ascii="Times New Roman"/>
        </w:rPr>
        <w:t>57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2.7</w:t>
      </w:r>
      <w:r>
        <w:rPr>
          <w:rFonts w:ascii="Times New Roman"/>
        </w:rPr>
        <w:t>3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；水力占</w:t>
      </w:r>
      <w:r w:rsidRPr="00F23F57">
        <w:rPr>
          <w:rFonts w:ascii="Times New Roman"/>
        </w:rPr>
        <w:t>0.</w:t>
      </w:r>
      <w:r>
        <w:rPr>
          <w:rFonts w:ascii="Times New Roman"/>
        </w:rPr>
        <w:t>21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4</w:t>
      </w:r>
      <w:r>
        <w:rPr>
          <w:rFonts w:ascii="Times New Roman"/>
        </w:rPr>
        <w:t>5</w:t>
      </w:r>
      <w:r>
        <w:rPr>
          <w:rFonts w:ascii="Times New Roman" w:hint="eastAsia"/>
        </w:rPr>
        <w:t>.</w:t>
      </w:r>
      <w:r>
        <w:rPr>
          <w:rFonts w:ascii="Times New Roman"/>
        </w:rPr>
        <w:t>55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；地熱、太陽光電及風力占</w:t>
      </w:r>
      <w:r w:rsidRPr="00F23F57">
        <w:rPr>
          <w:rFonts w:ascii="Times New Roman"/>
        </w:rPr>
        <w:t>0.</w:t>
      </w:r>
      <w:r>
        <w:rPr>
          <w:rFonts w:ascii="Times New Roman" w:hint="eastAsia"/>
        </w:rPr>
        <w:t>5</w:t>
      </w:r>
      <w:r>
        <w:rPr>
          <w:rFonts w:ascii="Times New Roman"/>
        </w:rPr>
        <w:t>9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，較上年增加</w:t>
      </w:r>
      <w:r>
        <w:rPr>
          <w:rFonts w:ascii="Times New Roman" w:hint="eastAsia"/>
        </w:rPr>
        <w:t>4</w:t>
      </w:r>
      <w:r>
        <w:rPr>
          <w:rFonts w:ascii="Times New Roman"/>
        </w:rPr>
        <w:t>4</w:t>
      </w:r>
      <w:r>
        <w:rPr>
          <w:rFonts w:ascii="Times New Roman" w:hint="eastAsia"/>
        </w:rPr>
        <w:t>.</w:t>
      </w:r>
      <w:r>
        <w:rPr>
          <w:rFonts w:ascii="Times New Roman"/>
        </w:rPr>
        <w:t>53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；太陽熱能占</w:t>
      </w:r>
      <w:r w:rsidRPr="00F23F57">
        <w:rPr>
          <w:rFonts w:ascii="Times New Roman"/>
        </w:rPr>
        <w:t>0.0</w:t>
      </w:r>
      <w:r>
        <w:rPr>
          <w:rFonts w:ascii="Times New Roman"/>
        </w:rPr>
        <w:t>8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3.3</w:t>
      </w:r>
      <w:r>
        <w:rPr>
          <w:rFonts w:ascii="Times New Roman"/>
        </w:rPr>
        <w:t>4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2CC1141C" w14:textId="77777777" w:rsidR="0017299B" w:rsidRPr="00F23F57" w:rsidRDefault="0017299B" w:rsidP="0017299B">
      <w:pPr>
        <w:pStyle w:val="KK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）年國內能源消費量為</w:t>
      </w:r>
      <w:r>
        <w:rPr>
          <w:rFonts w:ascii="Times New Roman"/>
        </w:rPr>
        <w:t>85,400.1</w:t>
      </w:r>
      <w:r w:rsidRPr="00F23F57">
        <w:rPr>
          <w:rFonts w:ascii="Times New Roman"/>
        </w:rPr>
        <w:t>千公秉油當量，較上年（</w:t>
      </w:r>
      <w:r>
        <w:rPr>
          <w:rFonts w:ascii="Times New Roman"/>
        </w:rPr>
        <w:t>85,009.2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0.4</w:t>
      </w:r>
      <w:r>
        <w:rPr>
          <w:rFonts w:ascii="Times New Roman"/>
        </w:rPr>
        <w:t>6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；其中能源消費（燃料用）為</w:t>
      </w:r>
      <w:r>
        <w:rPr>
          <w:rFonts w:ascii="Times New Roman"/>
        </w:rPr>
        <w:t>53,906.0</w:t>
      </w:r>
      <w:r w:rsidRPr="00F23F57">
        <w:rPr>
          <w:rFonts w:ascii="Times New Roman"/>
        </w:rPr>
        <w:t>千公秉油當量，占國內能源消費</w:t>
      </w:r>
      <w:r>
        <w:rPr>
          <w:rFonts w:ascii="Times New Roman"/>
        </w:rPr>
        <w:t>63.12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/>
        </w:rPr>
        <w:t>0.90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；若按能源種類區分</w:t>
      </w:r>
      <w:r w:rsidRPr="00711D0C">
        <w:rPr>
          <w:rFonts w:ascii="Times New Roman"/>
        </w:rPr>
        <w:t>，</w:t>
      </w:r>
      <w:proofErr w:type="gramStart"/>
      <w:r w:rsidRPr="00711D0C">
        <w:rPr>
          <w:rFonts w:ascii="Times New Roman"/>
        </w:rPr>
        <w:t>則煤及</w:t>
      </w:r>
      <w:proofErr w:type="gramEnd"/>
      <w:r w:rsidRPr="00711D0C">
        <w:rPr>
          <w:rFonts w:ascii="Times New Roman"/>
        </w:rPr>
        <w:t>煤產品占</w:t>
      </w:r>
      <w:r w:rsidRPr="00711D0C">
        <w:rPr>
          <w:rFonts w:ascii="Times New Roman"/>
        </w:rPr>
        <w:t>8.22%</w:t>
      </w:r>
      <w:r w:rsidRPr="00711D0C">
        <w:rPr>
          <w:rFonts w:ascii="Times New Roman"/>
        </w:rPr>
        <w:t>，</w:t>
      </w:r>
      <w:r w:rsidRPr="00F23F57">
        <w:rPr>
          <w:rFonts w:ascii="Times New Roman"/>
        </w:rPr>
        <w:t>較上年減少</w:t>
      </w:r>
      <w:r>
        <w:rPr>
          <w:rFonts w:ascii="Times New Roman" w:hint="eastAsia"/>
        </w:rPr>
        <w:t>2</w:t>
      </w:r>
      <w:r>
        <w:rPr>
          <w:rFonts w:ascii="Times New Roman"/>
        </w:rPr>
        <w:t>.87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；石油產品占</w:t>
      </w:r>
      <w:r>
        <w:rPr>
          <w:rFonts w:ascii="Times New Roman"/>
        </w:rPr>
        <w:t>51.86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0</w:t>
      </w:r>
      <w:r>
        <w:rPr>
          <w:rFonts w:ascii="Times New Roman"/>
        </w:rPr>
        <w:t>.63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；天然氣占</w:t>
      </w:r>
      <w:r>
        <w:rPr>
          <w:rFonts w:ascii="Times New Roman" w:hint="eastAsia"/>
        </w:rPr>
        <w:t>6</w:t>
      </w:r>
      <w:r>
        <w:rPr>
          <w:rFonts w:ascii="Times New Roman"/>
        </w:rPr>
        <w:t>.01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，較上年增加</w:t>
      </w:r>
      <w:r>
        <w:rPr>
          <w:rFonts w:ascii="Times New Roman" w:hint="eastAsia"/>
        </w:rPr>
        <w:t>6</w:t>
      </w:r>
      <w:r>
        <w:rPr>
          <w:rFonts w:ascii="Times New Roman"/>
        </w:rPr>
        <w:t>.40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；生質能及廢棄物占</w:t>
      </w:r>
      <w:r>
        <w:rPr>
          <w:rFonts w:ascii="Times New Roman"/>
        </w:rPr>
        <w:t>0.50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0</w:t>
      </w:r>
      <w:r>
        <w:rPr>
          <w:rFonts w:ascii="Times New Roman"/>
        </w:rPr>
        <w:t>.02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；電力占</w:t>
      </w:r>
      <w:r>
        <w:rPr>
          <w:rFonts w:ascii="Times New Roman"/>
        </w:rPr>
        <w:t>30</w:t>
      </w:r>
      <w:r>
        <w:rPr>
          <w:rFonts w:ascii="Times New Roman" w:hint="eastAsia"/>
        </w:rPr>
        <w:t>.</w:t>
      </w:r>
      <w:r>
        <w:rPr>
          <w:rFonts w:ascii="Times New Roman"/>
        </w:rPr>
        <w:t>35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/>
        </w:rPr>
        <w:t>2</w:t>
      </w:r>
      <w:r>
        <w:rPr>
          <w:rFonts w:ascii="Times New Roman" w:hint="eastAsia"/>
        </w:rPr>
        <w:t>.</w:t>
      </w:r>
      <w:r>
        <w:rPr>
          <w:rFonts w:ascii="Times New Roman"/>
        </w:rPr>
        <w:t>08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；太陽熱能占</w:t>
      </w:r>
      <w:r>
        <w:rPr>
          <w:rFonts w:ascii="Times New Roman" w:hint="eastAsia"/>
        </w:rPr>
        <w:t>0.12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3.3</w:t>
      </w:r>
      <w:r>
        <w:rPr>
          <w:rFonts w:ascii="Times New Roman"/>
        </w:rPr>
        <w:t>4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；熱能占</w:t>
      </w:r>
      <w:r>
        <w:rPr>
          <w:rFonts w:ascii="Times New Roman" w:hint="eastAsia"/>
        </w:rPr>
        <w:t>2.9</w:t>
      </w:r>
      <w:r>
        <w:rPr>
          <w:rFonts w:ascii="Times New Roman"/>
        </w:rPr>
        <w:t>3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/>
        </w:rPr>
        <w:t>1</w:t>
      </w:r>
      <w:r>
        <w:rPr>
          <w:rFonts w:ascii="Times New Roman" w:hint="eastAsia"/>
        </w:rPr>
        <w:t>.</w:t>
      </w:r>
      <w:r>
        <w:rPr>
          <w:rFonts w:ascii="Times New Roman"/>
        </w:rPr>
        <w:t>50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。若按各經濟部門能源消費量區分，則能源部門自用占</w:t>
      </w:r>
      <w:r>
        <w:rPr>
          <w:rFonts w:ascii="Times New Roman" w:hint="eastAsia"/>
        </w:rPr>
        <w:t>8.</w:t>
      </w:r>
      <w:r>
        <w:rPr>
          <w:rFonts w:ascii="Times New Roman"/>
        </w:rPr>
        <w:t>27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5.</w:t>
      </w:r>
      <w:r>
        <w:rPr>
          <w:rFonts w:ascii="Times New Roman"/>
        </w:rPr>
        <w:t>42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；工業部門占</w:t>
      </w:r>
      <w:r>
        <w:rPr>
          <w:rFonts w:ascii="Times New Roman" w:hint="eastAsia"/>
        </w:rPr>
        <w:t>31.47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0</w:t>
      </w:r>
      <w:r>
        <w:rPr>
          <w:rFonts w:ascii="Times New Roman"/>
        </w:rPr>
        <w:t>.22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；運輸部門占</w:t>
      </w:r>
      <w:r>
        <w:rPr>
          <w:rFonts w:ascii="Times New Roman"/>
        </w:rPr>
        <w:t>15.82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0.</w:t>
      </w:r>
      <w:r>
        <w:rPr>
          <w:rFonts w:ascii="Times New Roman"/>
        </w:rPr>
        <w:t>79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；農業部門占</w:t>
      </w:r>
      <w:r>
        <w:rPr>
          <w:rFonts w:ascii="Times New Roman" w:hint="eastAsia"/>
        </w:rPr>
        <w:t>0.9</w:t>
      </w:r>
      <w:r>
        <w:rPr>
          <w:rFonts w:ascii="Times New Roman"/>
        </w:rPr>
        <w:t>2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減少</w:t>
      </w:r>
      <w:r>
        <w:rPr>
          <w:rFonts w:ascii="Times New Roman"/>
        </w:rPr>
        <w:t>5</w:t>
      </w:r>
      <w:r>
        <w:rPr>
          <w:rFonts w:ascii="Times New Roman" w:hint="eastAsia"/>
        </w:rPr>
        <w:t>.</w:t>
      </w:r>
      <w:r>
        <w:rPr>
          <w:rFonts w:ascii="Times New Roman"/>
        </w:rPr>
        <w:t>47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；服務業部門占</w:t>
      </w:r>
      <w:r w:rsidRPr="00F23F57">
        <w:rPr>
          <w:rFonts w:ascii="Times New Roman"/>
        </w:rPr>
        <w:t>6.8</w:t>
      </w:r>
      <w:r>
        <w:rPr>
          <w:rFonts w:ascii="Times New Roman"/>
        </w:rPr>
        <w:t>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0.</w:t>
      </w:r>
      <w:r>
        <w:rPr>
          <w:rFonts w:ascii="Times New Roman"/>
        </w:rPr>
        <w:t>15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；住宅部門占</w:t>
      </w:r>
      <w:r>
        <w:rPr>
          <w:rFonts w:ascii="Times New Roman" w:hint="eastAsia"/>
        </w:rPr>
        <w:t>8</w:t>
      </w:r>
      <w:r w:rsidRPr="00F23F57">
        <w:rPr>
          <w:rFonts w:ascii="Times New Roman"/>
        </w:rPr>
        <w:t>.</w:t>
      </w:r>
      <w:r>
        <w:rPr>
          <w:rFonts w:ascii="Times New Roman"/>
        </w:rPr>
        <w:t>11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/>
        </w:rPr>
        <w:t>5</w:t>
      </w:r>
      <w:r w:rsidRPr="00F23F57">
        <w:rPr>
          <w:rFonts w:ascii="Times New Roman"/>
        </w:rPr>
        <w:t>.</w:t>
      </w:r>
      <w:r>
        <w:rPr>
          <w:rFonts w:ascii="Times New Roman"/>
        </w:rPr>
        <w:t>40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；非能源消費占</w:t>
      </w:r>
      <w:r>
        <w:rPr>
          <w:rFonts w:ascii="Times New Roman" w:hint="eastAsia"/>
        </w:rPr>
        <w:t>28.</w:t>
      </w:r>
      <w:r>
        <w:rPr>
          <w:rFonts w:ascii="Times New Roman"/>
        </w:rPr>
        <w:t>61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>
        <w:rPr>
          <w:rFonts w:ascii="Times New Roman" w:hint="eastAsia"/>
        </w:rPr>
        <w:t>增加</w:t>
      </w:r>
      <w:r>
        <w:rPr>
          <w:rFonts w:ascii="Times New Roman"/>
        </w:rPr>
        <w:t>1</w:t>
      </w:r>
      <w:r>
        <w:rPr>
          <w:rFonts w:ascii="Times New Roman" w:hint="eastAsia"/>
        </w:rPr>
        <w:t>.</w:t>
      </w:r>
      <w:r>
        <w:rPr>
          <w:rFonts w:ascii="Times New Roman"/>
        </w:rPr>
        <w:t>3</w:t>
      </w:r>
      <w:r>
        <w:rPr>
          <w:rFonts w:ascii="Times New Roman" w:hint="eastAsia"/>
        </w:rPr>
        <w:t>0</w:t>
      </w:r>
      <w:r w:rsidRPr="00F23F57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062D42FA" w14:textId="77777777" w:rsidR="0017299B" w:rsidRPr="00A6664A" w:rsidRDefault="0017299B" w:rsidP="0017299B">
      <w:pPr>
        <w:pStyle w:val="KK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 w:hint="eastAsia"/>
        </w:rPr>
        <w:t>9</w:t>
      </w:r>
      <w:r w:rsidRPr="00F23F57">
        <w:rPr>
          <w:rFonts w:ascii="Times New Roman"/>
        </w:rPr>
        <w:t>）年能源出口量為</w:t>
      </w:r>
      <w:r>
        <w:rPr>
          <w:rFonts w:ascii="Times New Roman"/>
        </w:rPr>
        <w:t>14,511.4</w:t>
      </w:r>
      <w:r w:rsidRPr="00F23F57">
        <w:rPr>
          <w:rFonts w:ascii="Times New Roman"/>
        </w:rPr>
        <w:t>千公秉油當量，較上年（</w:t>
      </w:r>
      <w:r>
        <w:rPr>
          <w:rFonts w:ascii="Times New Roman"/>
        </w:rPr>
        <w:t>21,799.2</w:t>
      </w:r>
      <w:r w:rsidRPr="00F23F57">
        <w:rPr>
          <w:rFonts w:ascii="Times New Roman"/>
        </w:rPr>
        <w:t>千公秉油當量）</w:t>
      </w:r>
      <w:r w:rsidRPr="00A6664A">
        <w:rPr>
          <w:rFonts w:ascii="Times New Roman" w:hint="eastAsia"/>
        </w:rPr>
        <w:t>減少</w:t>
      </w:r>
      <w:r w:rsidRPr="00A6664A">
        <w:rPr>
          <w:rFonts w:ascii="Times New Roman"/>
        </w:rPr>
        <w:t>33.43%</w:t>
      </w:r>
      <w:r w:rsidRPr="00A6664A">
        <w:rPr>
          <w:rFonts w:ascii="Times New Roman"/>
        </w:rPr>
        <w:t>。</w:t>
      </w:r>
    </w:p>
    <w:p w14:paraId="116F2B44" w14:textId="77777777" w:rsidR="0017299B" w:rsidRPr="00A6664A" w:rsidRDefault="0017299B" w:rsidP="0017299B">
      <w:pPr>
        <w:pStyle w:val="KK"/>
        <w:rPr>
          <w:rFonts w:ascii="Times New Roman"/>
        </w:rPr>
      </w:pPr>
      <w:r w:rsidRPr="00A6664A">
        <w:rPr>
          <w:rFonts w:ascii="Times New Roman"/>
        </w:rPr>
        <w:t>本（</w:t>
      </w:r>
      <w:r w:rsidRPr="00A6664A">
        <w:rPr>
          <w:rFonts w:ascii="Times New Roman"/>
        </w:rPr>
        <w:t>10</w:t>
      </w:r>
      <w:r w:rsidRPr="00A6664A">
        <w:rPr>
          <w:rFonts w:ascii="Times New Roman" w:hint="eastAsia"/>
        </w:rPr>
        <w:t>9</w:t>
      </w:r>
      <w:r w:rsidRPr="00A6664A">
        <w:rPr>
          <w:rFonts w:ascii="Times New Roman"/>
        </w:rPr>
        <w:t>）年每人平均能源消費量為</w:t>
      </w:r>
      <w:r w:rsidRPr="00A6664A">
        <w:rPr>
          <w:rFonts w:ascii="Times New Roman"/>
        </w:rPr>
        <w:t>3,621.4</w:t>
      </w:r>
      <w:r w:rsidRPr="00A6664A">
        <w:rPr>
          <w:rFonts w:ascii="Times New Roman"/>
        </w:rPr>
        <w:t>公升油當量，較上年（</w:t>
      </w:r>
      <w:r w:rsidRPr="00A6664A">
        <w:rPr>
          <w:rFonts w:ascii="Times New Roman"/>
        </w:rPr>
        <w:t>3,602.7</w:t>
      </w:r>
      <w:r w:rsidRPr="00A6664A">
        <w:rPr>
          <w:rFonts w:ascii="Times New Roman"/>
        </w:rPr>
        <w:t>公升油當量）</w:t>
      </w:r>
      <w:r w:rsidRPr="00A6664A">
        <w:rPr>
          <w:rFonts w:ascii="Times New Roman" w:hint="eastAsia"/>
        </w:rPr>
        <w:t>增加</w:t>
      </w:r>
      <w:r w:rsidRPr="00A6664A">
        <w:rPr>
          <w:rFonts w:ascii="Times New Roman" w:hint="eastAsia"/>
        </w:rPr>
        <w:t>0.</w:t>
      </w:r>
      <w:r w:rsidRPr="00A6664A">
        <w:rPr>
          <w:rFonts w:ascii="Times New Roman"/>
        </w:rPr>
        <w:t>52%</w:t>
      </w:r>
      <w:r w:rsidRPr="00A6664A">
        <w:rPr>
          <w:rFonts w:ascii="Times New Roman"/>
        </w:rPr>
        <w:t>。</w:t>
      </w:r>
    </w:p>
    <w:p w14:paraId="70DB9D40" w14:textId="77777777" w:rsidR="0017299B" w:rsidRPr="00A6664A" w:rsidRDefault="0017299B" w:rsidP="0017299B">
      <w:pPr>
        <w:autoSpaceDE w:val="0"/>
        <w:autoSpaceDN w:val="0"/>
        <w:adjustRightInd w:val="0"/>
        <w:jc w:val="both"/>
      </w:pPr>
    </w:p>
    <w:bookmarkEnd w:id="0"/>
    <w:p w14:paraId="342CA061" w14:textId="77777777" w:rsidR="0017299B" w:rsidRPr="00A6664A" w:rsidRDefault="0017299B" w:rsidP="0017299B">
      <w:pPr>
        <w:numPr>
          <w:ilvl w:val="0"/>
          <w:numId w:val="1"/>
        </w:numPr>
        <w:rPr>
          <w:b/>
          <w:sz w:val="32"/>
        </w:rPr>
      </w:pPr>
      <w:r w:rsidRPr="00A6664A">
        <w:rPr>
          <w:b/>
          <w:sz w:val="32"/>
        </w:rPr>
        <w:t>個別能源部分</w:t>
      </w:r>
    </w:p>
    <w:p w14:paraId="2F117418" w14:textId="77777777" w:rsidR="0017299B" w:rsidRPr="00A6664A" w:rsidRDefault="0017299B" w:rsidP="0017299B">
      <w:pPr>
        <w:numPr>
          <w:ilvl w:val="0"/>
          <w:numId w:val="2"/>
        </w:numPr>
        <w:tabs>
          <w:tab w:val="clear" w:pos="180"/>
          <w:tab w:val="num" w:pos="360"/>
        </w:tabs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A6664A">
        <w:rPr>
          <w:b/>
        </w:rPr>
        <w:t>煤及煤產品</w:t>
      </w:r>
    </w:p>
    <w:p w14:paraId="4B9F81CD" w14:textId="77777777" w:rsidR="0017299B" w:rsidRPr="00F23F57" w:rsidRDefault="0017299B" w:rsidP="0017299B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440" w:lineRule="exact"/>
        <w:ind w:left="714" w:hanging="357"/>
      </w:pPr>
      <w:r w:rsidRPr="00A6664A">
        <w:t>本（</w:t>
      </w:r>
      <w:r w:rsidRPr="00A6664A">
        <w:t>109</w:t>
      </w:r>
      <w:r w:rsidRPr="00A6664A">
        <w:t>）</w:t>
      </w:r>
      <w:proofErr w:type="gramStart"/>
      <w:r w:rsidRPr="00A6664A">
        <w:t>年煤及</w:t>
      </w:r>
      <w:proofErr w:type="gramEnd"/>
      <w:r w:rsidRPr="00A6664A">
        <w:t>煤產品總供給量為</w:t>
      </w:r>
      <w:r w:rsidRPr="00A6664A">
        <w:t>49,682.6</w:t>
      </w:r>
      <w:r w:rsidRPr="00A6664A">
        <w:t>千公秉油當量，</w:t>
      </w:r>
      <w:r w:rsidRPr="00A6664A">
        <w:t>41,544.5</w:t>
      </w:r>
      <w:r w:rsidRPr="00A6664A">
        <w:t>千公秉油</w:t>
      </w:r>
      <w:r w:rsidRPr="00F23F57">
        <w:t>當量為進口，</w:t>
      </w:r>
      <w:r w:rsidRPr="00027137">
        <w:t>8,</w:t>
      </w:r>
      <w:r>
        <w:t>138</w:t>
      </w:r>
      <w:r w:rsidRPr="00027137">
        <w:t>.</w:t>
      </w:r>
      <w:r>
        <w:t>2</w:t>
      </w:r>
      <w:r w:rsidRPr="00F23F57">
        <w:t>千公秉油當量為轉變產出，較上年（</w:t>
      </w:r>
      <w:r w:rsidRPr="00027137">
        <w:t>52,</w:t>
      </w:r>
      <w:r>
        <w:t>753</w:t>
      </w:r>
      <w:r w:rsidRPr="00027137">
        <w:t>.</w:t>
      </w:r>
      <w:r>
        <w:t>1</w:t>
      </w:r>
      <w:r w:rsidRPr="00F23F57">
        <w:t>千公秉油當量）</w:t>
      </w:r>
      <w:r>
        <w:rPr>
          <w:rFonts w:hint="eastAsia"/>
        </w:rPr>
        <w:t>減少</w:t>
      </w:r>
      <w:r>
        <w:rPr>
          <w:rFonts w:hint="eastAsia"/>
        </w:rPr>
        <w:t>5</w:t>
      </w:r>
      <w:r w:rsidRPr="00027137">
        <w:t>.</w:t>
      </w:r>
      <w:r>
        <w:t>82</w:t>
      </w:r>
      <w:r w:rsidRPr="00027137">
        <w:t>%</w:t>
      </w:r>
      <w:r w:rsidRPr="00F23F57">
        <w:t>。</w:t>
      </w:r>
    </w:p>
    <w:p w14:paraId="41438172" w14:textId="77777777" w:rsidR="0017299B" w:rsidRPr="00F23F57" w:rsidRDefault="0017299B" w:rsidP="0017299B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440" w:lineRule="exact"/>
        <w:ind w:left="714" w:hanging="357"/>
      </w:pPr>
      <w:r w:rsidRPr="00F23F57">
        <w:t>本（</w:t>
      </w:r>
      <w:r w:rsidRPr="00F23F57">
        <w:t>10</w:t>
      </w:r>
      <w:r>
        <w:t>9</w:t>
      </w:r>
      <w:r w:rsidRPr="00F23F57">
        <w:t>）年</w:t>
      </w:r>
      <w:proofErr w:type="gramStart"/>
      <w:r w:rsidRPr="00F23F57">
        <w:t>國內煤</w:t>
      </w:r>
      <w:proofErr w:type="gramEnd"/>
      <w:r w:rsidRPr="00F23F57">
        <w:t>及煤產品總需要量為</w:t>
      </w:r>
      <w:r>
        <w:rPr>
          <w:rFonts w:hint="eastAsia"/>
        </w:rPr>
        <w:t>4</w:t>
      </w:r>
      <w:r>
        <w:t>9</w:t>
      </w:r>
      <w:r w:rsidRPr="00591255">
        <w:t>,</w:t>
      </w:r>
      <w:r>
        <w:t>510</w:t>
      </w:r>
      <w:r w:rsidRPr="00591255">
        <w:t>.</w:t>
      </w:r>
      <w:r>
        <w:t>0</w:t>
      </w:r>
      <w:r w:rsidRPr="00F23F57">
        <w:t>千公秉油當量，較上年</w:t>
      </w:r>
      <w:r w:rsidRPr="00F23F57">
        <w:lastRenderedPageBreak/>
        <w:t>（</w:t>
      </w:r>
      <w:r w:rsidRPr="00591255">
        <w:t>5</w:t>
      </w:r>
      <w:r>
        <w:t>0</w:t>
      </w:r>
      <w:r w:rsidRPr="00591255">
        <w:t>,6</w:t>
      </w:r>
      <w:r>
        <w:t>04</w:t>
      </w:r>
      <w:r w:rsidRPr="00591255">
        <w:t>.</w:t>
      </w:r>
      <w:r>
        <w:t>6</w:t>
      </w:r>
      <w:r w:rsidRPr="00F23F57">
        <w:t>千公秉油當量）</w:t>
      </w:r>
      <w:r>
        <w:rPr>
          <w:rFonts w:hint="eastAsia"/>
        </w:rPr>
        <w:t>減少</w:t>
      </w:r>
      <w:r>
        <w:t>2</w:t>
      </w:r>
      <w:r w:rsidRPr="00591255">
        <w:t>.</w:t>
      </w:r>
      <w:r>
        <w:t>16</w:t>
      </w:r>
      <w:r w:rsidRPr="00591255">
        <w:t>%</w:t>
      </w:r>
      <w:r w:rsidRPr="00F23F57">
        <w:t>，其中能源轉變（即發電、煉焦等）為</w:t>
      </w:r>
      <w:r w:rsidRPr="00591255">
        <w:t>4</w:t>
      </w:r>
      <w:r>
        <w:t>2</w:t>
      </w:r>
      <w:r w:rsidRPr="00591255">
        <w:t>,3</w:t>
      </w:r>
      <w:r>
        <w:t>96</w:t>
      </w:r>
      <w:r w:rsidRPr="00591255">
        <w:t>.</w:t>
      </w:r>
      <w:r>
        <w:t>4</w:t>
      </w:r>
      <w:r w:rsidRPr="00F23F57">
        <w:t>千公秉油當量，較上年（</w:t>
      </w:r>
      <w:r w:rsidRPr="00591255">
        <w:t>4</w:t>
      </w:r>
      <w:r>
        <w:t>3</w:t>
      </w:r>
      <w:r w:rsidRPr="00591255">
        <w:t>,35</w:t>
      </w:r>
      <w:r>
        <w:t>9</w:t>
      </w:r>
      <w:r w:rsidRPr="00591255">
        <w:t>.</w:t>
      </w:r>
      <w:r>
        <w:t>2</w:t>
      </w:r>
      <w:r w:rsidRPr="00F23F57">
        <w:t>千公秉油當量）</w:t>
      </w:r>
      <w:r>
        <w:rPr>
          <w:rFonts w:hint="eastAsia"/>
        </w:rPr>
        <w:t>減少</w:t>
      </w:r>
      <w:r>
        <w:rPr>
          <w:rFonts w:hint="eastAsia"/>
        </w:rPr>
        <w:t>2</w:t>
      </w:r>
      <w:r w:rsidRPr="00591255">
        <w:t>.</w:t>
      </w:r>
      <w:r>
        <w:t>22</w:t>
      </w:r>
      <w:r w:rsidRPr="00591255">
        <w:t>%</w:t>
      </w:r>
      <w:r w:rsidRPr="00F23F57">
        <w:t>，而最終消費為</w:t>
      </w:r>
      <w:r w:rsidRPr="00591255">
        <w:t>5,</w:t>
      </w:r>
      <w:r>
        <w:t>766</w:t>
      </w:r>
      <w:r w:rsidRPr="00591255">
        <w:t>.9</w:t>
      </w:r>
      <w:r w:rsidRPr="00F23F57">
        <w:t>千公秉油當量，較上年（</w:t>
      </w:r>
      <w:r w:rsidRPr="00591255">
        <w:t>5,9</w:t>
      </w:r>
      <w:r>
        <w:t>17</w:t>
      </w:r>
      <w:r w:rsidRPr="00591255">
        <w:t>.</w:t>
      </w:r>
      <w:r>
        <w:t>6</w:t>
      </w:r>
      <w:r w:rsidRPr="00F23F57">
        <w:t>千</w:t>
      </w:r>
      <w:proofErr w:type="gramStart"/>
      <w:r w:rsidRPr="00F23F57">
        <w:t>秉</w:t>
      </w:r>
      <w:proofErr w:type="gramEnd"/>
      <w:r w:rsidRPr="00F23F57">
        <w:t>油當量）減少</w:t>
      </w:r>
      <w:r>
        <w:t>2</w:t>
      </w:r>
      <w:r w:rsidRPr="004A3542">
        <w:t>.</w:t>
      </w:r>
      <w:r>
        <w:t>55</w:t>
      </w:r>
      <w:r w:rsidRPr="004A3542">
        <w:t>%</w:t>
      </w:r>
      <w:r w:rsidRPr="00F23F57">
        <w:t>。</w:t>
      </w:r>
    </w:p>
    <w:p w14:paraId="55C9C270" w14:textId="77777777" w:rsidR="0017299B" w:rsidRPr="00E248C7" w:rsidRDefault="0017299B" w:rsidP="0017299B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E248C7">
        <w:rPr>
          <w:b/>
        </w:rPr>
        <w:t>石油</w:t>
      </w:r>
    </w:p>
    <w:p w14:paraId="38351C3A" w14:textId="77777777" w:rsidR="0017299B" w:rsidRPr="00B25EF3" w:rsidRDefault="0017299B" w:rsidP="0017299B">
      <w:pPr>
        <w:pStyle w:val="KK"/>
        <w:numPr>
          <w:ilvl w:val="0"/>
          <w:numId w:val="10"/>
        </w:numPr>
        <w:tabs>
          <w:tab w:val="num" w:pos="720"/>
        </w:tabs>
        <w:ind w:left="714" w:hanging="357"/>
        <w:rPr>
          <w:rFonts w:ascii="Times New Roman"/>
        </w:rPr>
      </w:pPr>
      <w:r w:rsidRPr="00B25EF3">
        <w:rPr>
          <w:rFonts w:ascii="Times New Roman"/>
        </w:rPr>
        <w:t>本（</w:t>
      </w:r>
      <w:r w:rsidRPr="00B25EF3">
        <w:rPr>
          <w:rFonts w:ascii="Times New Roman"/>
        </w:rPr>
        <w:t>109</w:t>
      </w:r>
      <w:r w:rsidRPr="00B25EF3">
        <w:rPr>
          <w:rFonts w:ascii="Times New Roman"/>
        </w:rPr>
        <w:t>）年石油供給量為</w:t>
      </w:r>
      <w:r w:rsidRPr="00B25EF3">
        <w:rPr>
          <w:rFonts w:ascii="Times New Roman"/>
        </w:rPr>
        <w:t>61,172.1</w:t>
      </w:r>
      <w:r w:rsidRPr="00B25EF3">
        <w:rPr>
          <w:rFonts w:ascii="Times New Roman"/>
        </w:rPr>
        <w:t>千公秉油當量，較上年（</w:t>
      </w:r>
      <w:r w:rsidRPr="00B25EF3">
        <w:rPr>
          <w:rFonts w:ascii="Times New Roman"/>
        </w:rPr>
        <w:t>69,622.6</w:t>
      </w:r>
      <w:r w:rsidRPr="00B25EF3">
        <w:rPr>
          <w:rFonts w:ascii="Times New Roman"/>
        </w:rPr>
        <w:t>千公秉油當量）</w:t>
      </w:r>
      <w:r w:rsidRPr="00B25EF3">
        <w:rPr>
          <w:rFonts w:ascii="Times New Roman" w:hint="eastAsia"/>
        </w:rPr>
        <w:t>減少</w:t>
      </w:r>
      <w:r w:rsidRPr="00B25EF3">
        <w:rPr>
          <w:rFonts w:ascii="Times New Roman"/>
        </w:rPr>
        <w:t>12</w:t>
      </w:r>
      <w:r w:rsidRPr="00B25EF3">
        <w:rPr>
          <w:rFonts w:ascii="Times New Roman" w:hint="eastAsia"/>
        </w:rPr>
        <w:t>.</w:t>
      </w:r>
      <w:r w:rsidRPr="00B25EF3">
        <w:rPr>
          <w:rFonts w:ascii="Times New Roman"/>
        </w:rPr>
        <w:t>14%</w:t>
      </w:r>
      <w:r w:rsidRPr="00B25EF3">
        <w:rPr>
          <w:rFonts w:ascii="Times New Roman"/>
        </w:rPr>
        <w:t>。其中自產原油</w:t>
      </w:r>
      <w:r w:rsidRPr="00B25EF3">
        <w:rPr>
          <w:rFonts w:ascii="Times New Roman"/>
        </w:rPr>
        <w:t>2.2</w:t>
      </w:r>
      <w:r w:rsidRPr="00B25EF3">
        <w:rPr>
          <w:rFonts w:ascii="Times New Roman"/>
        </w:rPr>
        <w:t>千公秉油當量，占總供給量</w:t>
      </w:r>
      <w:r w:rsidRPr="00B25EF3">
        <w:rPr>
          <w:rFonts w:ascii="Times New Roman"/>
        </w:rPr>
        <w:t>0.00%</w:t>
      </w:r>
      <w:r w:rsidRPr="00B25EF3">
        <w:rPr>
          <w:rFonts w:ascii="Times New Roman"/>
        </w:rPr>
        <w:t>，較上年（</w:t>
      </w:r>
      <w:r w:rsidRPr="00B25EF3">
        <w:rPr>
          <w:rFonts w:ascii="Times New Roman"/>
        </w:rPr>
        <w:t>3.9</w:t>
      </w:r>
      <w:r w:rsidRPr="00B25EF3">
        <w:rPr>
          <w:rFonts w:ascii="Times New Roman"/>
        </w:rPr>
        <w:t>千公秉油當量）減少</w:t>
      </w:r>
      <w:r w:rsidRPr="00B25EF3">
        <w:rPr>
          <w:rFonts w:ascii="Times New Roman" w:hint="eastAsia"/>
        </w:rPr>
        <w:t>4</w:t>
      </w:r>
      <w:r w:rsidRPr="00B25EF3">
        <w:rPr>
          <w:rFonts w:ascii="Times New Roman"/>
        </w:rPr>
        <w:t>3.65%</w:t>
      </w:r>
      <w:r w:rsidRPr="00B25EF3">
        <w:rPr>
          <w:rFonts w:ascii="Times New Roman"/>
        </w:rPr>
        <w:t>；煉油廠進料</w:t>
      </w:r>
      <w:r w:rsidRPr="00B25EF3">
        <w:rPr>
          <w:rFonts w:ascii="Times New Roman"/>
        </w:rPr>
        <w:t>79.7</w:t>
      </w:r>
      <w:r w:rsidRPr="00B25EF3">
        <w:rPr>
          <w:rFonts w:ascii="Times New Roman"/>
        </w:rPr>
        <w:t>千公秉油當量，占總供給量</w:t>
      </w:r>
      <w:r w:rsidRPr="009D0B7D">
        <w:rPr>
          <w:rFonts w:ascii="Times New Roman"/>
        </w:rPr>
        <w:t>0</w:t>
      </w:r>
      <w:r w:rsidRPr="009D0B7D">
        <w:rPr>
          <w:rFonts w:ascii="Times New Roman" w:hint="eastAsia"/>
        </w:rPr>
        <w:t>.</w:t>
      </w:r>
      <w:r w:rsidRPr="009D0B7D">
        <w:rPr>
          <w:rFonts w:ascii="Times New Roman"/>
        </w:rPr>
        <w:t>13%</w:t>
      </w:r>
      <w:r w:rsidRPr="00B25EF3">
        <w:rPr>
          <w:rFonts w:ascii="Times New Roman"/>
        </w:rPr>
        <w:t>，較上年（</w:t>
      </w:r>
      <w:r w:rsidRPr="00B25EF3">
        <w:rPr>
          <w:rFonts w:ascii="Times New Roman"/>
        </w:rPr>
        <w:t>72.6</w:t>
      </w:r>
      <w:r w:rsidRPr="00B25EF3">
        <w:rPr>
          <w:rFonts w:ascii="Times New Roman"/>
        </w:rPr>
        <w:t>千公秉油當量）</w:t>
      </w:r>
      <w:r w:rsidRPr="00B25EF3">
        <w:rPr>
          <w:rFonts w:ascii="Times New Roman" w:hint="eastAsia"/>
        </w:rPr>
        <w:t>增加</w:t>
      </w:r>
      <w:r w:rsidRPr="00B25EF3">
        <w:rPr>
          <w:rFonts w:ascii="Times New Roman" w:hint="eastAsia"/>
        </w:rPr>
        <w:t>9</w:t>
      </w:r>
      <w:r w:rsidRPr="00B25EF3">
        <w:rPr>
          <w:rFonts w:ascii="Times New Roman"/>
        </w:rPr>
        <w:t>.72%</w:t>
      </w:r>
      <w:r w:rsidRPr="00B25EF3">
        <w:rPr>
          <w:rFonts w:ascii="Times New Roman"/>
        </w:rPr>
        <w:t>；而進口原油為</w:t>
      </w:r>
      <w:r w:rsidRPr="00B25EF3">
        <w:rPr>
          <w:rFonts w:ascii="Times New Roman" w:hint="eastAsia"/>
        </w:rPr>
        <w:t>4</w:t>
      </w:r>
      <w:r w:rsidRPr="00B25EF3">
        <w:rPr>
          <w:rFonts w:ascii="Times New Roman"/>
        </w:rPr>
        <w:t>2,915.9</w:t>
      </w:r>
      <w:r w:rsidRPr="00B25EF3">
        <w:rPr>
          <w:rFonts w:ascii="Times New Roman"/>
        </w:rPr>
        <w:t>千公秉油當量，占總供給量</w:t>
      </w:r>
      <w:r w:rsidRPr="00B25EF3">
        <w:rPr>
          <w:rFonts w:ascii="Times New Roman"/>
        </w:rPr>
        <w:t>70.16%</w:t>
      </w:r>
      <w:r w:rsidRPr="00B25EF3">
        <w:rPr>
          <w:rFonts w:ascii="Times New Roman"/>
        </w:rPr>
        <w:t>，較上年（</w:t>
      </w:r>
      <w:r w:rsidRPr="00B25EF3">
        <w:rPr>
          <w:rFonts w:ascii="Times New Roman"/>
        </w:rPr>
        <w:t>51,570.4</w:t>
      </w:r>
      <w:r w:rsidRPr="00B25EF3">
        <w:rPr>
          <w:rFonts w:ascii="Times New Roman"/>
        </w:rPr>
        <w:t>千公秉油當量）</w:t>
      </w:r>
      <w:r w:rsidRPr="00B25EF3">
        <w:rPr>
          <w:rFonts w:ascii="Times New Roman" w:hint="eastAsia"/>
        </w:rPr>
        <w:t>減少</w:t>
      </w:r>
      <w:r w:rsidRPr="00B25EF3">
        <w:rPr>
          <w:rFonts w:ascii="Times New Roman"/>
        </w:rPr>
        <w:t>16.78%</w:t>
      </w:r>
      <w:r w:rsidRPr="00B25EF3">
        <w:rPr>
          <w:rFonts w:ascii="Times New Roman"/>
        </w:rPr>
        <w:t>；進口燃料油、柴油、液化石油氣等石油產品為</w:t>
      </w:r>
      <w:r w:rsidRPr="00B25EF3">
        <w:rPr>
          <w:rFonts w:ascii="Times New Roman"/>
        </w:rPr>
        <w:t>18,174.3</w:t>
      </w:r>
      <w:r w:rsidRPr="00B25EF3">
        <w:rPr>
          <w:rFonts w:ascii="Times New Roman"/>
        </w:rPr>
        <w:t>千公秉油當量，占總供給量</w:t>
      </w:r>
      <w:r w:rsidRPr="00B25EF3">
        <w:rPr>
          <w:rFonts w:ascii="Times New Roman"/>
        </w:rPr>
        <w:t>29.71%</w:t>
      </w:r>
      <w:r w:rsidRPr="00B25EF3">
        <w:rPr>
          <w:rFonts w:ascii="Times New Roman"/>
        </w:rPr>
        <w:t>，較上年（</w:t>
      </w:r>
      <w:r w:rsidRPr="00B25EF3">
        <w:rPr>
          <w:rFonts w:ascii="Times New Roman" w:hint="eastAsia"/>
        </w:rPr>
        <w:t>1</w:t>
      </w:r>
      <w:r w:rsidRPr="00B25EF3">
        <w:rPr>
          <w:rFonts w:ascii="Times New Roman"/>
        </w:rPr>
        <w:t>7,975.8</w:t>
      </w:r>
      <w:r w:rsidRPr="00B25EF3">
        <w:rPr>
          <w:rFonts w:ascii="Times New Roman"/>
        </w:rPr>
        <w:t>千公秉油當量）</w:t>
      </w:r>
      <w:r w:rsidRPr="00B25EF3">
        <w:rPr>
          <w:rFonts w:ascii="Times New Roman" w:hint="eastAsia"/>
        </w:rPr>
        <w:t>增加</w:t>
      </w:r>
      <w:r w:rsidRPr="00B25EF3">
        <w:rPr>
          <w:rFonts w:ascii="Times New Roman"/>
        </w:rPr>
        <w:t>1.10%</w:t>
      </w:r>
      <w:r w:rsidRPr="00B25EF3">
        <w:rPr>
          <w:rFonts w:ascii="Times New Roman"/>
        </w:rPr>
        <w:t>。</w:t>
      </w:r>
    </w:p>
    <w:p w14:paraId="6888B93B" w14:textId="77777777" w:rsidR="0017299B" w:rsidRPr="00F23F57" w:rsidRDefault="0017299B" w:rsidP="0017299B">
      <w:pPr>
        <w:pStyle w:val="KK"/>
        <w:numPr>
          <w:ilvl w:val="0"/>
          <w:numId w:val="10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 w:hint="eastAsia"/>
        </w:rPr>
        <w:t>9</w:t>
      </w:r>
      <w:r w:rsidRPr="00F23F57">
        <w:rPr>
          <w:rFonts w:ascii="Times New Roman"/>
        </w:rPr>
        <w:t>）年原油煉量為</w:t>
      </w:r>
      <w:r>
        <w:rPr>
          <w:rFonts w:ascii="Times New Roman"/>
        </w:rPr>
        <w:t>42</w:t>
      </w:r>
      <w:r w:rsidRPr="00792B65">
        <w:rPr>
          <w:rFonts w:ascii="Times New Roman"/>
        </w:rPr>
        <w:t>,</w:t>
      </w:r>
      <w:r>
        <w:rPr>
          <w:rFonts w:ascii="Times New Roman"/>
        </w:rPr>
        <w:t>216</w:t>
      </w:r>
      <w:r w:rsidRPr="00792B65">
        <w:rPr>
          <w:rFonts w:ascii="Times New Roman"/>
        </w:rPr>
        <w:t>.</w:t>
      </w:r>
      <w:r>
        <w:rPr>
          <w:rFonts w:ascii="Times New Roman"/>
        </w:rPr>
        <w:t>9</w:t>
      </w:r>
      <w:r w:rsidRPr="00F23F57">
        <w:rPr>
          <w:rFonts w:ascii="Times New Roman"/>
        </w:rPr>
        <w:t>千公秉，較上年（</w:t>
      </w:r>
      <w:r w:rsidRPr="00792B65">
        <w:rPr>
          <w:rFonts w:ascii="Times New Roman"/>
        </w:rPr>
        <w:t>51,674.7</w:t>
      </w:r>
      <w:r w:rsidRPr="00F23F57">
        <w:rPr>
          <w:rFonts w:ascii="Times New Roman"/>
        </w:rPr>
        <w:t>千公秉）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1</w:t>
      </w:r>
      <w:r>
        <w:rPr>
          <w:rFonts w:ascii="Times New Roman"/>
        </w:rPr>
        <w:t>8</w:t>
      </w:r>
      <w:r w:rsidRPr="00792B65">
        <w:rPr>
          <w:rFonts w:ascii="Times New Roman"/>
        </w:rPr>
        <w:t>.</w:t>
      </w:r>
      <w:r>
        <w:rPr>
          <w:rFonts w:ascii="Times New Roman"/>
        </w:rPr>
        <w:t>30</w:t>
      </w:r>
      <w:r w:rsidRPr="00792B65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6036F64E" w14:textId="77777777" w:rsidR="0017299B" w:rsidRPr="00F536D1" w:rsidRDefault="0017299B" w:rsidP="0017299B">
      <w:pPr>
        <w:pStyle w:val="KK"/>
        <w:numPr>
          <w:ilvl w:val="0"/>
          <w:numId w:val="10"/>
        </w:numPr>
        <w:tabs>
          <w:tab w:val="num" w:pos="720"/>
        </w:tabs>
        <w:ind w:left="714" w:hanging="357"/>
        <w:rPr>
          <w:rFonts w:ascii="Times New Roman"/>
        </w:rPr>
      </w:pPr>
      <w:r w:rsidRPr="00F536D1">
        <w:rPr>
          <w:rFonts w:ascii="Times New Roman"/>
        </w:rPr>
        <w:t>本（</w:t>
      </w:r>
      <w:r w:rsidRPr="00F536D1">
        <w:rPr>
          <w:rFonts w:ascii="Times New Roman"/>
        </w:rPr>
        <w:t>109</w:t>
      </w:r>
      <w:r w:rsidRPr="00F536D1">
        <w:rPr>
          <w:rFonts w:ascii="Times New Roman"/>
        </w:rPr>
        <w:t>）年石油產品之總供給量為</w:t>
      </w:r>
      <w:r w:rsidRPr="00F536D1">
        <w:rPr>
          <w:rFonts w:ascii="Times New Roman"/>
        </w:rPr>
        <w:t>63,485.6</w:t>
      </w:r>
      <w:r w:rsidRPr="00F536D1">
        <w:rPr>
          <w:rFonts w:ascii="Times New Roman"/>
        </w:rPr>
        <w:t>千公秉油當量，較上年（</w:t>
      </w:r>
      <w:r w:rsidRPr="00F536D1">
        <w:rPr>
          <w:rFonts w:ascii="Times New Roman"/>
        </w:rPr>
        <w:t>71,989.0</w:t>
      </w:r>
      <w:r w:rsidRPr="00F536D1">
        <w:rPr>
          <w:rFonts w:ascii="Times New Roman"/>
        </w:rPr>
        <w:t>千公秉油當量）</w:t>
      </w:r>
      <w:r w:rsidRPr="00F536D1">
        <w:rPr>
          <w:rFonts w:ascii="Times New Roman" w:hint="eastAsia"/>
        </w:rPr>
        <w:t>減少</w:t>
      </w:r>
      <w:r w:rsidRPr="00F536D1">
        <w:rPr>
          <w:rFonts w:ascii="Times New Roman"/>
        </w:rPr>
        <w:t>11.81%</w:t>
      </w:r>
      <w:r w:rsidRPr="00F536D1">
        <w:rPr>
          <w:rFonts w:ascii="Times New Roman"/>
        </w:rPr>
        <w:t>。其中自產之石油產品為</w:t>
      </w:r>
      <w:r w:rsidRPr="00F536D1">
        <w:rPr>
          <w:rFonts w:ascii="Times New Roman" w:hint="eastAsia"/>
        </w:rPr>
        <w:t>4</w:t>
      </w:r>
      <w:r w:rsidRPr="00F536D1">
        <w:rPr>
          <w:rFonts w:ascii="Times New Roman"/>
        </w:rPr>
        <w:t>9,429.2</w:t>
      </w:r>
      <w:r w:rsidRPr="00F536D1">
        <w:rPr>
          <w:rFonts w:ascii="Times New Roman"/>
        </w:rPr>
        <w:t>千公秉油當量，占總供給量</w:t>
      </w:r>
      <w:r w:rsidRPr="00F536D1">
        <w:rPr>
          <w:rFonts w:ascii="Times New Roman"/>
        </w:rPr>
        <w:t>77.86%</w:t>
      </w:r>
      <w:r w:rsidRPr="00F536D1">
        <w:rPr>
          <w:rFonts w:ascii="Times New Roman"/>
        </w:rPr>
        <w:t>，較上年（</w:t>
      </w:r>
      <w:r w:rsidRPr="00F536D1">
        <w:rPr>
          <w:rFonts w:ascii="Times New Roman"/>
        </w:rPr>
        <w:t>57,393.2</w:t>
      </w:r>
      <w:r w:rsidRPr="00F536D1">
        <w:rPr>
          <w:rFonts w:ascii="Times New Roman"/>
        </w:rPr>
        <w:t>千公秉油當量）</w:t>
      </w:r>
      <w:r w:rsidRPr="00F536D1">
        <w:rPr>
          <w:rFonts w:ascii="Times New Roman" w:hint="eastAsia"/>
        </w:rPr>
        <w:t>減少</w:t>
      </w:r>
      <w:r w:rsidRPr="00F536D1">
        <w:rPr>
          <w:rFonts w:ascii="Times New Roman"/>
        </w:rPr>
        <w:t>13.88%</w:t>
      </w:r>
      <w:r w:rsidRPr="00F536D1">
        <w:rPr>
          <w:rFonts w:ascii="Times New Roman"/>
        </w:rPr>
        <w:t>；進口石油產品為</w:t>
      </w:r>
      <w:r w:rsidRPr="00F536D1">
        <w:rPr>
          <w:rFonts w:ascii="Times New Roman"/>
        </w:rPr>
        <w:t>18,174.3</w:t>
      </w:r>
      <w:r w:rsidRPr="00F536D1">
        <w:rPr>
          <w:rFonts w:ascii="Times New Roman"/>
        </w:rPr>
        <w:t>千公秉油當量，占總供給量</w:t>
      </w:r>
      <w:r w:rsidRPr="00F536D1">
        <w:rPr>
          <w:rFonts w:ascii="Times New Roman"/>
        </w:rPr>
        <w:t>28.63%</w:t>
      </w:r>
      <w:r w:rsidRPr="00F536D1">
        <w:rPr>
          <w:rFonts w:ascii="Times New Roman"/>
        </w:rPr>
        <w:t>，較上年（</w:t>
      </w:r>
      <w:r w:rsidRPr="00F536D1">
        <w:rPr>
          <w:rFonts w:ascii="Times New Roman" w:hint="eastAsia"/>
        </w:rPr>
        <w:t>1</w:t>
      </w:r>
      <w:r w:rsidRPr="00F536D1">
        <w:rPr>
          <w:rFonts w:ascii="Times New Roman"/>
        </w:rPr>
        <w:t>7,975.8</w:t>
      </w:r>
      <w:r w:rsidRPr="00F536D1">
        <w:rPr>
          <w:rFonts w:ascii="Times New Roman"/>
        </w:rPr>
        <w:t>千公秉油當量）</w:t>
      </w:r>
      <w:r w:rsidRPr="00F536D1">
        <w:rPr>
          <w:rFonts w:ascii="Times New Roman" w:hint="eastAsia"/>
        </w:rPr>
        <w:t>增加</w:t>
      </w:r>
      <w:r w:rsidRPr="00F536D1">
        <w:rPr>
          <w:rFonts w:ascii="Times New Roman"/>
        </w:rPr>
        <w:t>1.10%</w:t>
      </w:r>
      <w:r w:rsidRPr="00F536D1">
        <w:rPr>
          <w:rFonts w:ascii="Times New Roman"/>
        </w:rPr>
        <w:t>。</w:t>
      </w:r>
    </w:p>
    <w:p w14:paraId="3794016D" w14:textId="77777777" w:rsidR="0017299B" w:rsidRPr="00F23F57" w:rsidRDefault="0017299B" w:rsidP="0017299B">
      <w:pPr>
        <w:pStyle w:val="KK"/>
        <w:numPr>
          <w:ilvl w:val="0"/>
          <w:numId w:val="10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）年石油產品之總需要量為</w:t>
      </w:r>
      <w:r>
        <w:rPr>
          <w:rFonts w:ascii="Times New Roman"/>
        </w:rPr>
        <w:t>63</w:t>
      </w:r>
      <w:r w:rsidRPr="005956D9">
        <w:rPr>
          <w:rFonts w:ascii="Times New Roman"/>
        </w:rPr>
        <w:t>,6</w:t>
      </w:r>
      <w:r>
        <w:rPr>
          <w:rFonts w:ascii="Times New Roman"/>
        </w:rPr>
        <w:t>68</w:t>
      </w:r>
      <w:r w:rsidRPr="005956D9">
        <w:rPr>
          <w:rFonts w:ascii="Times New Roman"/>
        </w:rPr>
        <w:t>.</w:t>
      </w:r>
      <w:r>
        <w:rPr>
          <w:rFonts w:ascii="Times New Roman"/>
        </w:rPr>
        <w:t>7</w:t>
      </w:r>
      <w:r w:rsidRPr="00F23F57">
        <w:rPr>
          <w:rFonts w:ascii="Times New Roman"/>
        </w:rPr>
        <w:t>千公秉油當量，較上年（</w:t>
      </w:r>
      <w:r w:rsidRPr="005956D9">
        <w:rPr>
          <w:rFonts w:ascii="Times New Roman"/>
        </w:rPr>
        <w:t>7</w:t>
      </w:r>
      <w:r>
        <w:rPr>
          <w:rFonts w:ascii="Times New Roman"/>
        </w:rPr>
        <w:t>3</w:t>
      </w:r>
      <w:r w:rsidRPr="005956D9">
        <w:rPr>
          <w:rFonts w:ascii="Times New Roman"/>
        </w:rPr>
        <w:t>,</w:t>
      </w:r>
      <w:r>
        <w:rPr>
          <w:rFonts w:ascii="Times New Roman"/>
        </w:rPr>
        <w:t>007</w:t>
      </w:r>
      <w:r w:rsidRPr="005956D9">
        <w:rPr>
          <w:rFonts w:ascii="Times New Roman"/>
        </w:rPr>
        <w:t>.1</w:t>
      </w:r>
      <w:r w:rsidRPr="00F23F57">
        <w:rPr>
          <w:rFonts w:ascii="Times New Roman"/>
        </w:rPr>
        <w:t>千公</w:t>
      </w:r>
      <w:r w:rsidRPr="005956D9">
        <w:rPr>
          <w:rFonts w:ascii="Times New Roman"/>
        </w:rPr>
        <w:t>秉油當量）</w:t>
      </w:r>
      <w:r w:rsidRPr="005956D9">
        <w:rPr>
          <w:rFonts w:ascii="Times New Roman" w:hint="eastAsia"/>
        </w:rPr>
        <w:t>減少</w:t>
      </w:r>
      <w:r>
        <w:rPr>
          <w:rFonts w:ascii="Times New Roman" w:hint="eastAsia"/>
        </w:rPr>
        <w:t>1</w:t>
      </w:r>
      <w:r w:rsidRPr="005956D9">
        <w:rPr>
          <w:rFonts w:ascii="Times New Roman"/>
        </w:rPr>
        <w:t>2.</w:t>
      </w:r>
      <w:r>
        <w:rPr>
          <w:rFonts w:ascii="Times New Roman"/>
        </w:rPr>
        <w:t>79</w:t>
      </w:r>
      <w:r w:rsidRPr="005956D9">
        <w:rPr>
          <w:rFonts w:ascii="Times New Roman"/>
        </w:rPr>
        <w:t>%</w:t>
      </w:r>
      <w:r w:rsidRPr="005956D9">
        <w:rPr>
          <w:rFonts w:ascii="Times New Roman"/>
        </w:rPr>
        <w:t>。其</w:t>
      </w:r>
      <w:r w:rsidRPr="00F23F57">
        <w:rPr>
          <w:rFonts w:ascii="Times New Roman"/>
        </w:rPr>
        <w:t>中國內消費量</w:t>
      </w:r>
      <w:r w:rsidRPr="00A05DD4">
        <w:rPr>
          <w:rFonts w:ascii="Times New Roman"/>
        </w:rPr>
        <w:t>4</w:t>
      </w:r>
      <w:r>
        <w:rPr>
          <w:rFonts w:ascii="Times New Roman"/>
        </w:rPr>
        <w:t>5</w:t>
      </w:r>
      <w:r w:rsidRPr="00A05DD4">
        <w:rPr>
          <w:rFonts w:ascii="Times New Roman"/>
        </w:rPr>
        <w:t>,</w:t>
      </w:r>
      <w:r>
        <w:rPr>
          <w:rFonts w:ascii="Times New Roman"/>
        </w:rPr>
        <w:t>846</w:t>
      </w:r>
      <w:r w:rsidRPr="00A05DD4">
        <w:rPr>
          <w:rFonts w:ascii="Times New Roman"/>
        </w:rPr>
        <w:t>.</w:t>
      </w:r>
      <w:r>
        <w:rPr>
          <w:rFonts w:ascii="Times New Roman"/>
        </w:rPr>
        <w:t>6</w:t>
      </w:r>
      <w:r w:rsidRPr="00F23F57">
        <w:rPr>
          <w:rFonts w:ascii="Times New Roman"/>
        </w:rPr>
        <w:t>千公秉油當量，占總需要量</w:t>
      </w:r>
      <w:r>
        <w:rPr>
          <w:rFonts w:ascii="Times New Roman" w:hint="eastAsia"/>
        </w:rPr>
        <w:t>7</w:t>
      </w:r>
      <w:r>
        <w:rPr>
          <w:rFonts w:ascii="Times New Roman"/>
        </w:rPr>
        <w:t>2</w:t>
      </w:r>
      <w:r w:rsidRPr="00A05DD4">
        <w:rPr>
          <w:rFonts w:ascii="Times New Roman"/>
        </w:rPr>
        <w:t>.</w:t>
      </w:r>
      <w:r>
        <w:rPr>
          <w:rFonts w:ascii="Times New Roman"/>
        </w:rPr>
        <w:t>01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 w:rsidRPr="00A05DD4">
        <w:rPr>
          <w:rFonts w:ascii="Times New Roman"/>
        </w:rPr>
        <w:t>4</w:t>
      </w:r>
      <w:r>
        <w:rPr>
          <w:rFonts w:ascii="Times New Roman"/>
        </w:rPr>
        <w:t>6</w:t>
      </w:r>
      <w:r w:rsidRPr="00A05DD4">
        <w:rPr>
          <w:rFonts w:ascii="Times New Roman"/>
        </w:rPr>
        <w:t>,</w:t>
      </w:r>
      <w:r>
        <w:rPr>
          <w:rFonts w:ascii="Times New Roman"/>
        </w:rPr>
        <w:t>436</w:t>
      </w:r>
      <w:r w:rsidRPr="00A05DD4">
        <w:rPr>
          <w:rFonts w:ascii="Times New Roman"/>
        </w:rPr>
        <w:t>.</w:t>
      </w:r>
      <w:r>
        <w:rPr>
          <w:rFonts w:ascii="Times New Roman"/>
        </w:rPr>
        <w:t>8</w:t>
      </w:r>
      <w:r w:rsidRPr="00F23F57">
        <w:rPr>
          <w:rFonts w:ascii="Times New Roman"/>
        </w:rPr>
        <w:t>千公秉油當量）減少</w:t>
      </w:r>
      <w:r>
        <w:rPr>
          <w:rFonts w:ascii="Times New Roman"/>
        </w:rPr>
        <w:t>1</w:t>
      </w:r>
      <w:r w:rsidRPr="00A05DD4">
        <w:rPr>
          <w:rFonts w:ascii="Times New Roman"/>
        </w:rPr>
        <w:t>.</w:t>
      </w:r>
      <w:r>
        <w:rPr>
          <w:rFonts w:ascii="Times New Roman"/>
        </w:rPr>
        <w:t>27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；而出口量為</w:t>
      </w:r>
      <w:r w:rsidRPr="00A05DD4">
        <w:rPr>
          <w:rFonts w:ascii="Times New Roman"/>
        </w:rPr>
        <w:t>1</w:t>
      </w:r>
      <w:r>
        <w:rPr>
          <w:rFonts w:ascii="Times New Roman"/>
        </w:rPr>
        <w:t>4</w:t>
      </w:r>
      <w:r w:rsidRPr="00A05DD4">
        <w:rPr>
          <w:rFonts w:ascii="Times New Roman"/>
        </w:rPr>
        <w:t>,</w:t>
      </w:r>
      <w:r>
        <w:rPr>
          <w:rFonts w:ascii="Times New Roman"/>
        </w:rPr>
        <w:t>419</w:t>
      </w:r>
      <w:r w:rsidRPr="00A05DD4">
        <w:rPr>
          <w:rFonts w:ascii="Times New Roman"/>
        </w:rPr>
        <w:t>.</w:t>
      </w:r>
      <w:r>
        <w:rPr>
          <w:rFonts w:ascii="Times New Roman"/>
        </w:rPr>
        <w:t>4</w:t>
      </w:r>
      <w:r w:rsidRPr="00F23F57">
        <w:rPr>
          <w:rFonts w:ascii="Times New Roman"/>
        </w:rPr>
        <w:t>千公秉油當量，占總需要量</w:t>
      </w:r>
      <w:r w:rsidRPr="00A05DD4">
        <w:rPr>
          <w:rFonts w:ascii="Times New Roman"/>
        </w:rPr>
        <w:t>2</w:t>
      </w:r>
      <w:r>
        <w:rPr>
          <w:rFonts w:ascii="Times New Roman"/>
        </w:rPr>
        <w:t>2</w:t>
      </w:r>
      <w:r w:rsidRPr="00A05DD4">
        <w:rPr>
          <w:rFonts w:ascii="Times New Roman"/>
        </w:rPr>
        <w:t>.6</w:t>
      </w:r>
      <w:r>
        <w:rPr>
          <w:rFonts w:ascii="Times New Roman"/>
        </w:rPr>
        <w:t>5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，較上年</w:t>
      </w:r>
      <w:r w:rsidRPr="00A6664A">
        <w:rPr>
          <w:rFonts w:ascii="Times New Roman"/>
        </w:rPr>
        <w:t>（</w:t>
      </w:r>
      <w:r w:rsidRPr="00A6664A">
        <w:rPr>
          <w:rFonts w:ascii="Times New Roman"/>
        </w:rPr>
        <w:t>21,783.1</w:t>
      </w:r>
      <w:r w:rsidRPr="00A6664A">
        <w:rPr>
          <w:rFonts w:ascii="Times New Roman"/>
        </w:rPr>
        <w:t>千公秉油當量）</w:t>
      </w:r>
      <w:r w:rsidRPr="00A6664A">
        <w:rPr>
          <w:rFonts w:ascii="Times New Roman" w:hint="eastAsia"/>
        </w:rPr>
        <w:t>減</w:t>
      </w:r>
      <w:r>
        <w:rPr>
          <w:rFonts w:ascii="Times New Roman" w:hint="eastAsia"/>
        </w:rPr>
        <w:t>少</w:t>
      </w:r>
      <w:r>
        <w:rPr>
          <w:rFonts w:ascii="Times New Roman" w:hint="eastAsia"/>
        </w:rPr>
        <w:t>3</w:t>
      </w:r>
      <w:r>
        <w:rPr>
          <w:rFonts w:ascii="Times New Roman"/>
        </w:rPr>
        <w:t>3.80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；國際海運為</w:t>
      </w:r>
      <w:r w:rsidRPr="00A05DD4">
        <w:rPr>
          <w:rFonts w:ascii="Times New Roman"/>
        </w:rPr>
        <w:t>1,</w:t>
      </w:r>
      <w:r>
        <w:rPr>
          <w:rFonts w:ascii="Times New Roman"/>
        </w:rPr>
        <w:t>328</w:t>
      </w:r>
      <w:r w:rsidRPr="00A05DD4">
        <w:rPr>
          <w:rFonts w:ascii="Times New Roman"/>
        </w:rPr>
        <w:t>.4</w:t>
      </w:r>
      <w:r w:rsidRPr="00F23F57">
        <w:rPr>
          <w:rFonts w:ascii="Times New Roman"/>
        </w:rPr>
        <w:t>千公秉油當量，占總需要量</w:t>
      </w:r>
      <w:r>
        <w:rPr>
          <w:rFonts w:ascii="Times New Roman"/>
        </w:rPr>
        <w:t>2</w:t>
      </w:r>
      <w:r w:rsidRPr="00A05DD4">
        <w:rPr>
          <w:rFonts w:ascii="Times New Roman"/>
        </w:rPr>
        <w:t>.</w:t>
      </w:r>
      <w:r>
        <w:rPr>
          <w:rFonts w:ascii="Times New Roman"/>
        </w:rPr>
        <w:t>09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 w:rsidRPr="00A05DD4">
        <w:rPr>
          <w:rFonts w:ascii="Times New Roman"/>
        </w:rPr>
        <w:t>1,</w:t>
      </w:r>
      <w:r>
        <w:rPr>
          <w:rFonts w:ascii="Times New Roman"/>
        </w:rPr>
        <w:t>444</w:t>
      </w:r>
      <w:r w:rsidRPr="00A05DD4">
        <w:rPr>
          <w:rFonts w:ascii="Times New Roman"/>
        </w:rPr>
        <w:t>.</w:t>
      </w:r>
      <w:r>
        <w:rPr>
          <w:rFonts w:ascii="Times New Roman"/>
        </w:rPr>
        <w:t>4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8</w:t>
      </w:r>
      <w:r w:rsidRPr="00A05DD4">
        <w:rPr>
          <w:rFonts w:ascii="Times New Roman"/>
        </w:rPr>
        <w:t>.</w:t>
      </w:r>
      <w:r>
        <w:rPr>
          <w:rFonts w:ascii="Times New Roman"/>
        </w:rPr>
        <w:t>03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；國際航空為</w:t>
      </w:r>
      <w:r>
        <w:rPr>
          <w:rFonts w:ascii="Times New Roman"/>
        </w:rPr>
        <w:t>2</w:t>
      </w:r>
      <w:r w:rsidRPr="00A05DD4">
        <w:rPr>
          <w:rFonts w:ascii="Times New Roman"/>
        </w:rPr>
        <w:t>,</w:t>
      </w:r>
      <w:r>
        <w:rPr>
          <w:rFonts w:ascii="Times New Roman"/>
        </w:rPr>
        <w:t>074.3</w:t>
      </w:r>
      <w:r w:rsidRPr="00F23F57">
        <w:rPr>
          <w:rFonts w:ascii="Times New Roman"/>
        </w:rPr>
        <w:t>千公秉油當量，占總需要量</w:t>
      </w:r>
      <w:r>
        <w:rPr>
          <w:rFonts w:ascii="Times New Roman" w:hint="eastAsia"/>
        </w:rPr>
        <w:t>3</w:t>
      </w:r>
      <w:r w:rsidRPr="00A05DD4">
        <w:rPr>
          <w:rFonts w:ascii="Times New Roman"/>
        </w:rPr>
        <w:t>.</w:t>
      </w:r>
      <w:r>
        <w:rPr>
          <w:rFonts w:ascii="Times New Roman"/>
        </w:rPr>
        <w:t>26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 w:rsidRPr="00A05DD4">
        <w:rPr>
          <w:rFonts w:ascii="Times New Roman"/>
        </w:rPr>
        <w:t>3,</w:t>
      </w:r>
      <w:r>
        <w:rPr>
          <w:rFonts w:ascii="Times New Roman"/>
        </w:rPr>
        <w:t>342</w:t>
      </w:r>
      <w:r w:rsidRPr="00A05DD4">
        <w:rPr>
          <w:rFonts w:ascii="Times New Roman"/>
        </w:rPr>
        <w:t>.</w:t>
      </w:r>
      <w:r>
        <w:rPr>
          <w:rFonts w:ascii="Times New Roman"/>
        </w:rPr>
        <w:t>8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減少</w:t>
      </w:r>
      <w:r w:rsidRPr="00A05DD4">
        <w:rPr>
          <w:rFonts w:ascii="Times New Roman"/>
        </w:rPr>
        <w:t>37</w:t>
      </w:r>
      <w:r>
        <w:rPr>
          <w:rFonts w:ascii="Times New Roman" w:hint="eastAsia"/>
        </w:rPr>
        <w:t>.</w:t>
      </w:r>
      <w:r>
        <w:rPr>
          <w:rFonts w:ascii="Times New Roman"/>
        </w:rPr>
        <w:t>95</w:t>
      </w:r>
      <w:r w:rsidRPr="00A05DD4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44078C70" w14:textId="77777777" w:rsidR="0017299B" w:rsidRPr="00F23F57" w:rsidRDefault="0017299B" w:rsidP="0017299B">
      <w:pPr>
        <w:pStyle w:val="KK"/>
        <w:numPr>
          <w:ilvl w:val="0"/>
          <w:numId w:val="10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）年石油產品國內消費量，若按能源轉變與最終消費予以區分，則石油產品轉變為發電及汽電共生之消費量為</w:t>
      </w:r>
      <w:r w:rsidRPr="00FC0BA2">
        <w:rPr>
          <w:rFonts w:ascii="Times New Roman"/>
        </w:rPr>
        <w:t>1,</w:t>
      </w:r>
      <w:r>
        <w:rPr>
          <w:rFonts w:ascii="Times New Roman"/>
        </w:rPr>
        <w:t>299</w:t>
      </w:r>
      <w:r w:rsidRPr="00FC0BA2">
        <w:rPr>
          <w:rFonts w:ascii="Times New Roman"/>
        </w:rPr>
        <w:t>.</w:t>
      </w:r>
      <w:r>
        <w:rPr>
          <w:rFonts w:ascii="Times New Roman"/>
        </w:rPr>
        <w:t>4</w:t>
      </w:r>
      <w:r w:rsidRPr="00F23F57">
        <w:rPr>
          <w:rFonts w:ascii="Times New Roman"/>
        </w:rPr>
        <w:t>千公秉油當量，占國內消費量</w:t>
      </w:r>
      <w:r>
        <w:rPr>
          <w:rFonts w:ascii="Times New Roman"/>
        </w:rPr>
        <w:t>2</w:t>
      </w:r>
      <w:r w:rsidRPr="00FC0BA2">
        <w:rPr>
          <w:rFonts w:ascii="Times New Roman"/>
        </w:rPr>
        <w:t>.</w:t>
      </w:r>
      <w:r>
        <w:rPr>
          <w:rFonts w:ascii="Times New Roman"/>
        </w:rPr>
        <w:t>83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>
        <w:rPr>
          <w:rFonts w:ascii="Times New Roman"/>
        </w:rPr>
        <w:t>1</w:t>
      </w:r>
      <w:r w:rsidRPr="00FC0BA2">
        <w:rPr>
          <w:rFonts w:ascii="Times New Roman"/>
        </w:rPr>
        <w:t>,</w:t>
      </w:r>
      <w:r>
        <w:rPr>
          <w:rFonts w:ascii="Times New Roman"/>
        </w:rPr>
        <w:t>666</w:t>
      </w:r>
      <w:r w:rsidRPr="00FC0BA2">
        <w:rPr>
          <w:rFonts w:ascii="Times New Roman"/>
        </w:rPr>
        <w:t>.</w:t>
      </w:r>
      <w:r>
        <w:rPr>
          <w:rFonts w:ascii="Times New Roman"/>
        </w:rPr>
        <w:t>1</w:t>
      </w:r>
      <w:r w:rsidRPr="00F23F57">
        <w:rPr>
          <w:rFonts w:ascii="Times New Roman"/>
        </w:rPr>
        <w:t>千公秉油當量）</w:t>
      </w:r>
      <w:r w:rsidRPr="00F23F57">
        <w:rPr>
          <w:rFonts w:ascii="Times New Roman" w:hint="eastAsia"/>
        </w:rPr>
        <w:t>減少</w:t>
      </w:r>
      <w:r w:rsidRPr="00FC0BA2">
        <w:rPr>
          <w:rFonts w:ascii="Times New Roman"/>
        </w:rPr>
        <w:t>2</w:t>
      </w:r>
      <w:r>
        <w:rPr>
          <w:rFonts w:ascii="Times New Roman"/>
        </w:rPr>
        <w:t>2</w:t>
      </w:r>
      <w:r w:rsidRPr="00FC0BA2">
        <w:rPr>
          <w:rFonts w:ascii="Times New Roman"/>
        </w:rPr>
        <w:t>.0</w:t>
      </w:r>
      <w:r>
        <w:rPr>
          <w:rFonts w:ascii="Times New Roman"/>
        </w:rPr>
        <w:t>1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；又石油產品轉變為其他石化產品為</w:t>
      </w:r>
      <w:r w:rsidRPr="00FC0BA2">
        <w:rPr>
          <w:rFonts w:ascii="Times New Roman"/>
        </w:rPr>
        <w:t>2</w:t>
      </w:r>
      <w:r>
        <w:rPr>
          <w:rFonts w:ascii="Times New Roman"/>
        </w:rPr>
        <w:t>56</w:t>
      </w:r>
      <w:r w:rsidRPr="00FC0BA2">
        <w:rPr>
          <w:rFonts w:ascii="Times New Roman"/>
        </w:rPr>
        <w:t>.</w:t>
      </w:r>
      <w:r>
        <w:rPr>
          <w:rFonts w:ascii="Times New Roman"/>
        </w:rPr>
        <w:t>4</w:t>
      </w:r>
      <w:r w:rsidRPr="00F23F57">
        <w:rPr>
          <w:rFonts w:ascii="Times New Roman"/>
        </w:rPr>
        <w:t>千公秉油當量，占國內消費量</w:t>
      </w:r>
      <w:r w:rsidRPr="00FC0BA2">
        <w:rPr>
          <w:rFonts w:ascii="Times New Roman"/>
        </w:rPr>
        <w:t>0.</w:t>
      </w:r>
      <w:r>
        <w:rPr>
          <w:rFonts w:ascii="Times New Roman"/>
        </w:rPr>
        <w:t>56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>
        <w:rPr>
          <w:rFonts w:ascii="Times New Roman"/>
        </w:rPr>
        <w:t>200</w:t>
      </w:r>
      <w:r w:rsidRPr="00FC0BA2">
        <w:rPr>
          <w:rFonts w:ascii="Times New Roman"/>
        </w:rPr>
        <w:t>.</w:t>
      </w:r>
      <w:r>
        <w:rPr>
          <w:rFonts w:ascii="Times New Roman"/>
        </w:rPr>
        <w:t>9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增加</w:t>
      </w:r>
      <w:r>
        <w:rPr>
          <w:rFonts w:ascii="Times New Roman"/>
        </w:rPr>
        <w:t>27</w:t>
      </w:r>
      <w:r w:rsidRPr="00FC0BA2">
        <w:rPr>
          <w:rFonts w:ascii="Times New Roman"/>
        </w:rPr>
        <w:t>.</w:t>
      </w:r>
      <w:r>
        <w:rPr>
          <w:rFonts w:ascii="Times New Roman"/>
        </w:rPr>
        <w:t>6</w:t>
      </w:r>
      <w:r w:rsidRPr="00FC0BA2">
        <w:rPr>
          <w:rFonts w:ascii="Times New Roman"/>
        </w:rPr>
        <w:t>1%</w:t>
      </w:r>
      <w:r w:rsidRPr="00F23F57">
        <w:rPr>
          <w:rFonts w:ascii="Times New Roman"/>
        </w:rPr>
        <w:t>；能源部門自用為</w:t>
      </w:r>
      <w:r>
        <w:rPr>
          <w:rFonts w:ascii="Times New Roman" w:hint="eastAsia"/>
        </w:rPr>
        <w:t>2</w:t>
      </w:r>
      <w:r w:rsidRPr="00FC0BA2">
        <w:rPr>
          <w:rFonts w:ascii="Times New Roman"/>
        </w:rPr>
        <w:t>,</w:t>
      </w:r>
      <w:r>
        <w:rPr>
          <w:rFonts w:ascii="Times New Roman"/>
        </w:rPr>
        <w:t>858</w:t>
      </w:r>
      <w:r w:rsidRPr="00FC0BA2">
        <w:rPr>
          <w:rFonts w:ascii="Times New Roman"/>
        </w:rPr>
        <w:t>.</w:t>
      </w:r>
      <w:r>
        <w:rPr>
          <w:rFonts w:ascii="Times New Roman"/>
        </w:rPr>
        <w:t>7</w:t>
      </w:r>
      <w:r w:rsidRPr="00F23F57">
        <w:rPr>
          <w:rFonts w:ascii="Times New Roman"/>
        </w:rPr>
        <w:t>千公秉油當量，占國內消費量</w:t>
      </w:r>
      <w:r>
        <w:rPr>
          <w:rFonts w:ascii="Times New Roman" w:hint="eastAsia"/>
        </w:rPr>
        <w:t>6</w:t>
      </w:r>
      <w:r w:rsidRPr="00FC0BA2">
        <w:rPr>
          <w:rFonts w:ascii="Times New Roman"/>
        </w:rPr>
        <w:t>.2</w:t>
      </w:r>
      <w:r>
        <w:rPr>
          <w:rFonts w:ascii="Times New Roman"/>
        </w:rPr>
        <w:t>4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 w:rsidRPr="00FC0BA2">
        <w:rPr>
          <w:rFonts w:ascii="Times New Roman"/>
        </w:rPr>
        <w:t>3,</w:t>
      </w:r>
      <w:r>
        <w:rPr>
          <w:rFonts w:ascii="Times New Roman"/>
        </w:rPr>
        <w:t>33</w:t>
      </w:r>
      <w:r w:rsidRPr="00FC0BA2">
        <w:rPr>
          <w:rFonts w:ascii="Times New Roman"/>
        </w:rPr>
        <w:t>9.</w:t>
      </w:r>
      <w:r>
        <w:rPr>
          <w:rFonts w:ascii="Times New Roman"/>
        </w:rPr>
        <w:t>8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減少</w:t>
      </w:r>
      <w:r w:rsidRPr="00FC0BA2">
        <w:rPr>
          <w:rFonts w:ascii="Times New Roman"/>
        </w:rPr>
        <w:t>1</w:t>
      </w:r>
      <w:r>
        <w:rPr>
          <w:rFonts w:ascii="Times New Roman"/>
        </w:rPr>
        <w:t>4</w:t>
      </w:r>
      <w:r w:rsidRPr="00FC0BA2">
        <w:rPr>
          <w:rFonts w:ascii="Times New Roman"/>
        </w:rPr>
        <w:t>.</w:t>
      </w:r>
      <w:r>
        <w:rPr>
          <w:rFonts w:ascii="Times New Roman"/>
        </w:rPr>
        <w:t>40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；而最終消費量為</w:t>
      </w:r>
      <w:r w:rsidRPr="00FC0BA2">
        <w:rPr>
          <w:rFonts w:ascii="Times New Roman"/>
        </w:rPr>
        <w:t>41,</w:t>
      </w:r>
      <w:r>
        <w:rPr>
          <w:rFonts w:ascii="Times New Roman"/>
        </w:rPr>
        <w:t>432</w:t>
      </w:r>
      <w:r w:rsidRPr="00FC0BA2">
        <w:rPr>
          <w:rFonts w:ascii="Times New Roman"/>
        </w:rPr>
        <w:t>.</w:t>
      </w:r>
      <w:r>
        <w:rPr>
          <w:rFonts w:ascii="Times New Roman"/>
        </w:rPr>
        <w:t>1</w:t>
      </w:r>
      <w:r w:rsidRPr="00F23F57">
        <w:rPr>
          <w:rFonts w:ascii="Times New Roman"/>
        </w:rPr>
        <w:t>千公秉油當量，占國內消費量</w:t>
      </w:r>
      <w:r>
        <w:rPr>
          <w:rFonts w:ascii="Times New Roman"/>
        </w:rPr>
        <w:t>90</w:t>
      </w:r>
      <w:r w:rsidRPr="00FC0BA2">
        <w:rPr>
          <w:rFonts w:ascii="Times New Roman"/>
        </w:rPr>
        <w:t>.7</w:t>
      </w:r>
      <w:r>
        <w:rPr>
          <w:rFonts w:ascii="Times New Roman"/>
        </w:rPr>
        <w:t>3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，較上年（</w:t>
      </w:r>
      <w:r w:rsidRPr="00FC0BA2">
        <w:rPr>
          <w:rFonts w:ascii="Times New Roman"/>
        </w:rPr>
        <w:t>4</w:t>
      </w:r>
      <w:r>
        <w:rPr>
          <w:rFonts w:ascii="Times New Roman"/>
        </w:rPr>
        <w:t>1</w:t>
      </w:r>
      <w:r w:rsidRPr="00FC0BA2">
        <w:rPr>
          <w:rFonts w:ascii="Times New Roman"/>
        </w:rPr>
        <w:t>,</w:t>
      </w:r>
      <w:r>
        <w:rPr>
          <w:rFonts w:ascii="Times New Roman"/>
        </w:rPr>
        <w:t>2</w:t>
      </w:r>
      <w:r w:rsidRPr="00FC0BA2">
        <w:rPr>
          <w:rFonts w:ascii="Times New Roman"/>
        </w:rPr>
        <w:t>3</w:t>
      </w:r>
      <w:r>
        <w:rPr>
          <w:rFonts w:ascii="Times New Roman"/>
        </w:rPr>
        <w:t>0</w:t>
      </w:r>
      <w:r w:rsidRPr="00FC0BA2">
        <w:rPr>
          <w:rFonts w:ascii="Times New Roman"/>
        </w:rPr>
        <w:t>.</w:t>
      </w:r>
      <w:r>
        <w:rPr>
          <w:rFonts w:ascii="Times New Roman"/>
        </w:rPr>
        <w:t>0</w:t>
      </w:r>
      <w:r w:rsidRPr="00F23F57">
        <w:rPr>
          <w:rFonts w:ascii="Times New Roman"/>
        </w:rPr>
        <w:t>千公秉油當量）</w:t>
      </w:r>
      <w:r>
        <w:rPr>
          <w:rFonts w:ascii="Times New Roman" w:hint="eastAsia"/>
        </w:rPr>
        <w:t>增加</w:t>
      </w:r>
      <w:r>
        <w:rPr>
          <w:rFonts w:ascii="Times New Roman"/>
        </w:rPr>
        <w:t>0</w:t>
      </w:r>
      <w:r w:rsidRPr="00FC0BA2">
        <w:rPr>
          <w:rFonts w:ascii="Times New Roman"/>
        </w:rPr>
        <w:t>.</w:t>
      </w:r>
      <w:r>
        <w:rPr>
          <w:rFonts w:ascii="Times New Roman"/>
        </w:rPr>
        <w:t>49</w:t>
      </w:r>
      <w:r w:rsidRPr="00FC0BA2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70A3765B" w14:textId="77777777" w:rsidR="0017299B" w:rsidRPr="00F23F57" w:rsidRDefault="0017299B" w:rsidP="0017299B">
      <w:pPr>
        <w:pStyle w:val="KK"/>
        <w:numPr>
          <w:ilvl w:val="0"/>
          <w:numId w:val="10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）年石油產品最終消費量中，若按使用部門予以區分，各部門所占的百分率如下：工業部門占</w:t>
      </w:r>
      <w:r w:rsidRPr="009E149E">
        <w:rPr>
          <w:rFonts w:ascii="Times New Roman"/>
        </w:rPr>
        <w:t>3.</w:t>
      </w:r>
      <w:r>
        <w:rPr>
          <w:rFonts w:ascii="Times New Roman"/>
        </w:rPr>
        <w:t>25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，運輸部門占</w:t>
      </w:r>
      <w:r w:rsidRPr="009E149E">
        <w:rPr>
          <w:rFonts w:ascii="Times New Roman"/>
        </w:rPr>
        <w:t>32.2</w:t>
      </w:r>
      <w:r>
        <w:rPr>
          <w:rFonts w:ascii="Times New Roman"/>
        </w:rPr>
        <w:t>6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，農業部門占</w:t>
      </w:r>
      <w:r w:rsidRPr="009E149E">
        <w:rPr>
          <w:rFonts w:ascii="Times New Roman"/>
        </w:rPr>
        <w:t>1.1</w:t>
      </w:r>
      <w:r>
        <w:rPr>
          <w:rFonts w:ascii="Times New Roman"/>
        </w:rPr>
        <w:t>4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，服務業</w:t>
      </w:r>
      <w:r w:rsidRPr="00F23F57">
        <w:rPr>
          <w:rFonts w:ascii="Times New Roman"/>
        </w:rPr>
        <w:lastRenderedPageBreak/>
        <w:t>部門占</w:t>
      </w:r>
      <w:r w:rsidRPr="009E149E">
        <w:rPr>
          <w:rFonts w:ascii="Times New Roman"/>
        </w:rPr>
        <w:t>2.</w:t>
      </w:r>
      <w:r>
        <w:rPr>
          <w:rFonts w:ascii="Times New Roman"/>
        </w:rPr>
        <w:t>23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，住宅部門占</w:t>
      </w:r>
      <w:r w:rsidRPr="009E149E">
        <w:rPr>
          <w:rFonts w:ascii="Times New Roman"/>
        </w:rPr>
        <w:t>2.</w:t>
      </w:r>
      <w:r>
        <w:rPr>
          <w:rFonts w:ascii="Times New Roman"/>
        </w:rPr>
        <w:t>92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，非能源消費占</w:t>
      </w:r>
      <w:r w:rsidRPr="009E149E">
        <w:rPr>
          <w:rFonts w:ascii="Times New Roman"/>
        </w:rPr>
        <w:t>5</w:t>
      </w:r>
      <w:r>
        <w:rPr>
          <w:rFonts w:ascii="Times New Roman"/>
        </w:rPr>
        <w:t>8</w:t>
      </w:r>
      <w:r w:rsidRPr="009E149E">
        <w:rPr>
          <w:rFonts w:ascii="Times New Roman"/>
        </w:rPr>
        <w:t>.2</w:t>
      </w:r>
      <w:r>
        <w:rPr>
          <w:rFonts w:ascii="Times New Roman"/>
        </w:rPr>
        <w:t>1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。如與上年之消費比較，則其增減情形如下：工業部門減少</w:t>
      </w:r>
      <w:r>
        <w:rPr>
          <w:rFonts w:ascii="Times New Roman" w:hint="eastAsia"/>
        </w:rPr>
        <w:t>1</w:t>
      </w:r>
      <w:r>
        <w:rPr>
          <w:rFonts w:ascii="Times New Roman"/>
        </w:rPr>
        <w:t>7</w:t>
      </w:r>
      <w:r w:rsidRPr="009E149E">
        <w:rPr>
          <w:rFonts w:ascii="Times New Roman"/>
        </w:rPr>
        <w:t>.</w:t>
      </w:r>
      <w:r>
        <w:rPr>
          <w:rFonts w:ascii="Times New Roman"/>
        </w:rPr>
        <w:t>0</w:t>
      </w:r>
      <w:r w:rsidRPr="009E149E">
        <w:rPr>
          <w:rFonts w:ascii="Times New Roman"/>
        </w:rPr>
        <w:t>5%</w:t>
      </w:r>
      <w:r w:rsidRPr="00F23F57">
        <w:rPr>
          <w:rFonts w:ascii="Times New Roman"/>
        </w:rPr>
        <w:t>，運輸部門</w:t>
      </w:r>
      <w:r>
        <w:rPr>
          <w:rFonts w:ascii="Times New Roman" w:hint="eastAsia"/>
        </w:rPr>
        <w:t>增加</w:t>
      </w:r>
      <w:r w:rsidRPr="009E149E">
        <w:rPr>
          <w:rFonts w:ascii="Times New Roman"/>
        </w:rPr>
        <w:t>0.</w:t>
      </w:r>
      <w:r>
        <w:rPr>
          <w:rFonts w:ascii="Times New Roman"/>
        </w:rPr>
        <w:t>81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，農業部門</w:t>
      </w:r>
      <w:r>
        <w:rPr>
          <w:rFonts w:ascii="Times New Roman" w:hint="eastAsia"/>
        </w:rPr>
        <w:t>減少</w:t>
      </w:r>
      <w:r>
        <w:rPr>
          <w:rFonts w:ascii="Times New Roman"/>
        </w:rPr>
        <w:t>12</w:t>
      </w:r>
      <w:r w:rsidRPr="009E149E">
        <w:rPr>
          <w:rFonts w:ascii="Times New Roman"/>
        </w:rPr>
        <w:t>.</w:t>
      </w:r>
      <w:r>
        <w:rPr>
          <w:rFonts w:ascii="Times New Roman"/>
        </w:rPr>
        <w:t>49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，服務業部門增加</w:t>
      </w:r>
      <w:r>
        <w:rPr>
          <w:rFonts w:ascii="Times New Roman"/>
        </w:rPr>
        <w:t>7</w:t>
      </w:r>
      <w:r w:rsidRPr="009E149E">
        <w:rPr>
          <w:rFonts w:ascii="Times New Roman"/>
        </w:rPr>
        <w:t>.</w:t>
      </w:r>
      <w:r>
        <w:rPr>
          <w:rFonts w:ascii="Times New Roman"/>
        </w:rPr>
        <w:t>65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，住宅部門</w:t>
      </w:r>
      <w:r>
        <w:rPr>
          <w:rFonts w:ascii="Times New Roman" w:hint="eastAsia"/>
        </w:rPr>
        <w:t>增加</w:t>
      </w:r>
      <w:r>
        <w:rPr>
          <w:rFonts w:ascii="Times New Roman"/>
        </w:rPr>
        <w:t>1</w:t>
      </w:r>
      <w:r w:rsidRPr="009E149E">
        <w:rPr>
          <w:rFonts w:ascii="Times New Roman"/>
        </w:rPr>
        <w:t>.</w:t>
      </w:r>
      <w:r>
        <w:rPr>
          <w:rFonts w:ascii="Times New Roman"/>
        </w:rPr>
        <w:t>52</w:t>
      </w:r>
      <w:r w:rsidRPr="009E149E">
        <w:rPr>
          <w:rFonts w:ascii="Times New Roman"/>
        </w:rPr>
        <w:t>%</w:t>
      </w:r>
      <w:r w:rsidRPr="00F23F57">
        <w:rPr>
          <w:rFonts w:ascii="Times New Roman"/>
        </w:rPr>
        <w:t>，非能源消費</w:t>
      </w:r>
      <w:r>
        <w:rPr>
          <w:rFonts w:ascii="Times New Roman" w:hint="eastAsia"/>
        </w:rPr>
        <w:t>增加</w:t>
      </w:r>
      <w:r>
        <w:rPr>
          <w:rFonts w:ascii="Times New Roman"/>
        </w:rPr>
        <w:t>1</w:t>
      </w:r>
      <w:r w:rsidRPr="009E149E">
        <w:rPr>
          <w:rFonts w:ascii="Times New Roman"/>
        </w:rPr>
        <w:t>.49%</w:t>
      </w:r>
      <w:r w:rsidRPr="00F23F57">
        <w:rPr>
          <w:rFonts w:ascii="Times New Roman"/>
        </w:rPr>
        <w:t>。</w:t>
      </w:r>
      <w:bookmarkStart w:id="1" w:name="_Hlk41997677"/>
    </w:p>
    <w:p w14:paraId="4A0080D0" w14:textId="77777777" w:rsidR="0017299B" w:rsidRPr="00F23F57" w:rsidRDefault="0017299B" w:rsidP="0017299B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>液化天然氣</w:t>
      </w:r>
    </w:p>
    <w:p w14:paraId="105A79DE" w14:textId="77777777" w:rsidR="0017299B" w:rsidRPr="00F23F57" w:rsidRDefault="0017299B" w:rsidP="0017299B">
      <w:pPr>
        <w:pStyle w:val="KK"/>
        <w:numPr>
          <w:ilvl w:val="0"/>
          <w:numId w:val="15"/>
        </w:numPr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）年液化天然氣供給量為</w:t>
      </w:r>
      <w:r w:rsidRPr="00E248C7">
        <w:rPr>
          <w:rFonts w:ascii="Times New Roman"/>
        </w:rPr>
        <w:t>2</w:t>
      </w:r>
      <w:r>
        <w:rPr>
          <w:rFonts w:ascii="Times New Roman"/>
        </w:rPr>
        <w:t>3</w:t>
      </w:r>
      <w:r w:rsidRPr="00E248C7">
        <w:rPr>
          <w:rFonts w:ascii="Times New Roman"/>
        </w:rPr>
        <w:t>,</w:t>
      </w:r>
      <w:r>
        <w:rPr>
          <w:rFonts w:ascii="Times New Roman"/>
        </w:rPr>
        <w:t>680</w:t>
      </w:r>
      <w:r w:rsidRPr="00E248C7">
        <w:rPr>
          <w:rFonts w:ascii="Times New Roman"/>
        </w:rPr>
        <w:t>.</w:t>
      </w:r>
      <w:r>
        <w:rPr>
          <w:rFonts w:ascii="Times New Roman"/>
        </w:rPr>
        <w:t>6</w:t>
      </w:r>
      <w:proofErr w:type="gramStart"/>
      <w:r w:rsidRPr="00F23F57">
        <w:rPr>
          <w:rFonts w:ascii="Times New Roman"/>
        </w:rPr>
        <w:t>百萬</w:t>
      </w:r>
      <w:proofErr w:type="gramEnd"/>
      <w:r w:rsidRPr="00F23F57">
        <w:rPr>
          <w:rFonts w:ascii="Times New Roman"/>
        </w:rPr>
        <w:t>立方公尺，較上年（</w:t>
      </w:r>
      <w:r w:rsidRPr="00E248C7">
        <w:rPr>
          <w:rFonts w:ascii="Times New Roman"/>
        </w:rPr>
        <w:t>22,</w:t>
      </w:r>
      <w:r>
        <w:rPr>
          <w:rFonts w:ascii="Times New Roman"/>
        </w:rPr>
        <w:t>073</w:t>
      </w:r>
      <w:r w:rsidRPr="00E248C7">
        <w:rPr>
          <w:rFonts w:ascii="Times New Roman"/>
        </w:rPr>
        <w:t>.</w:t>
      </w:r>
      <w:r>
        <w:rPr>
          <w:rFonts w:ascii="Times New Roman"/>
        </w:rPr>
        <w:t>4</w:t>
      </w:r>
      <w:proofErr w:type="gramStart"/>
      <w:r w:rsidRPr="00F23F57">
        <w:rPr>
          <w:rFonts w:ascii="Times New Roman"/>
        </w:rPr>
        <w:t>百萬</w:t>
      </w:r>
      <w:proofErr w:type="gramEnd"/>
      <w:r w:rsidRPr="00F23F57">
        <w:rPr>
          <w:rFonts w:ascii="Times New Roman"/>
        </w:rPr>
        <w:t>立方公尺）</w:t>
      </w:r>
      <w:r>
        <w:rPr>
          <w:rFonts w:ascii="Times New Roman" w:hint="eastAsia"/>
        </w:rPr>
        <w:t>增加</w:t>
      </w:r>
      <w:r>
        <w:rPr>
          <w:rFonts w:ascii="Times New Roman"/>
        </w:rPr>
        <w:t>7</w:t>
      </w:r>
      <w:r w:rsidRPr="00E248C7">
        <w:rPr>
          <w:rFonts w:ascii="Times New Roman"/>
        </w:rPr>
        <w:t>.</w:t>
      </w:r>
      <w:r>
        <w:rPr>
          <w:rFonts w:ascii="Times New Roman"/>
        </w:rPr>
        <w:t>28</w:t>
      </w:r>
      <w:r w:rsidRPr="00E248C7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7A01E601" w14:textId="77777777" w:rsidR="0017299B" w:rsidRPr="000848F5" w:rsidRDefault="0017299B" w:rsidP="0017299B">
      <w:pPr>
        <w:pStyle w:val="KK"/>
        <w:numPr>
          <w:ilvl w:val="0"/>
          <w:numId w:val="15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）年液化天然氣國內消費量為</w:t>
      </w:r>
      <w:r w:rsidRPr="00092777">
        <w:rPr>
          <w:rFonts w:ascii="Times New Roman"/>
        </w:rPr>
        <w:t>2</w:t>
      </w:r>
      <w:r>
        <w:rPr>
          <w:rFonts w:ascii="Times New Roman"/>
        </w:rPr>
        <w:t>2</w:t>
      </w:r>
      <w:r w:rsidRPr="00092777">
        <w:rPr>
          <w:rFonts w:ascii="Times New Roman"/>
        </w:rPr>
        <w:t>,</w:t>
      </w:r>
      <w:r>
        <w:rPr>
          <w:rFonts w:ascii="Times New Roman"/>
        </w:rPr>
        <w:t>286</w:t>
      </w:r>
      <w:r w:rsidRPr="00092777">
        <w:rPr>
          <w:rFonts w:ascii="Times New Roman"/>
        </w:rPr>
        <w:t>.</w:t>
      </w:r>
      <w:r>
        <w:rPr>
          <w:rFonts w:ascii="Times New Roman"/>
        </w:rPr>
        <w:t>0</w:t>
      </w:r>
      <w:proofErr w:type="gramStart"/>
      <w:r w:rsidRPr="00F23F57">
        <w:rPr>
          <w:rFonts w:ascii="Times New Roman"/>
        </w:rPr>
        <w:t>百萬</w:t>
      </w:r>
      <w:proofErr w:type="gramEnd"/>
      <w:r w:rsidRPr="00F23F57">
        <w:rPr>
          <w:rFonts w:ascii="Times New Roman"/>
        </w:rPr>
        <w:t>立方公尺，其中</w:t>
      </w:r>
      <w:r>
        <w:rPr>
          <w:rFonts w:ascii="Times New Roman" w:hint="eastAsia"/>
        </w:rPr>
        <w:t>石油煉製、</w:t>
      </w:r>
      <w:r w:rsidRPr="00F23F57">
        <w:rPr>
          <w:rFonts w:ascii="Times New Roman"/>
        </w:rPr>
        <w:t>發電及汽電共生占</w:t>
      </w:r>
      <w:r w:rsidRPr="00082E2F">
        <w:rPr>
          <w:rFonts w:ascii="Times New Roman"/>
        </w:rPr>
        <w:t>84.</w:t>
      </w:r>
      <w:r>
        <w:rPr>
          <w:rFonts w:ascii="Times New Roman"/>
        </w:rPr>
        <w:t>70</w:t>
      </w:r>
      <w:r w:rsidRPr="00082E2F">
        <w:rPr>
          <w:rFonts w:ascii="Times New Roman"/>
        </w:rPr>
        <w:t>%</w:t>
      </w:r>
      <w:r w:rsidRPr="00F23F57">
        <w:rPr>
          <w:rFonts w:ascii="Times New Roman"/>
        </w:rPr>
        <w:t>，能源及工業用占</w:t>
      </w:r>
      <w:r w:rsidRPr="00082E2F">
        <w:rPr>
          <w:rFonts w:ascii="Times New Roman"/>
        </w:rPr>
        <w:t>14.</w:t>
      </w:r>
      <w:r>
        <w:rPr>
          <w:rFonts w:ascii="Times New Roman"/>
        </w:rPr>
        <w:t>4</w:t>
      </w:r>
      <w:r w:rsidRPr="00082E2F">
        <w:rPr>
          <w:rFonts w:ascii="Times New Roman"/>
        </w:rPr>
        <w:t>2%</w:t>
      </w:r>
      <w:r w:rsidRPr="00F23F57">
        <w:rPr>
          <w:rFonts w:ascii="Times New Roman"/>
        </w:rPr>
        <w:t>，服務業用占</w:t>
      </w:r>
      <w:r w:rsidRPr="00E248C7">
        <w:rPr>
          <w:rFonts w:ascii="Times New Roman"/>
        </w:rPr>
        <w:t>0.</w:t>
      </w:r>
      <w:r>
        <w:rPr>
          <w:rFonts w:ascii="Times New Roman"/>
        </w:rPr>
        <w:t>57</w:t>
      </w:r>
      <w:r w:rsidRPr="00E248C7">
        <w:rPr>
          <w:rFonts w:ascii="Times New Roman"/>
        </w:rPr>
        <w:t>%</w:t>
      </w:r>
      <w:r w:rsidRPr="00F23F57">
        <w:rPr>
          <w:rFonts w:ascii="Times New Roman"/>
        </w:rPr>
        <w:t>，住宅用占</w:t>
      </w:r>
      <w:r w:rsidRPr="00E248C7">
        <w:rPr>
          <w:rFonts w:ascii="Times New Roman"/>
        </w:rPr>
        <w:t>0.30%</w:t>
      </w:r>
      <w:r>
        <w:rPr>
          <w:rFonts w:ascii="Times New Roman" w:hint="eastAsia"/>
        </w:rPr>
        <w:t>，農業</w:t>
      </w:r>
      <w:r>
        <w:rPr>
          <w:rFonts w:ascii="Times New Roman" w:hint="eastAsia"/>
        </w:rPr>
        <w:t>0.02%</w:t>
      </w:r>
      <w:r w:rsidRPr="000848F5">
        <w:rPr>
          <w:rFonts w:ascii="Times New Roman"/>
        </w:rPr>
        <w:t>。</w:t>
      </w:r>
    </w:p>
    <w:p w14:paraId="35E1A295" w14:textId="77777777" w:rsidR="0017299B" w:rsidRPr="00F23F57" w:rsidRDefault="0017299B" w:rsidP="0017299B">
      <w:pPr>
        <w:pStyle w:val="KK"/>
        <w:numPr>
          <w:ilvl w:val="0"/>
          <w:numId w:val="2"/>
        </w:numPr>
        <w:spacing w:line="440" w:lineRule="exact"/>
        <w:ind w:left="408" w:hanging="181"/>
        <w:rPr>
          <w:rFonts w:ascii="Times New Roman"/>
          <w:b/>
        </w:rPr>
      </w:pPr>
      <w:r w:rsidRPr="00F23F57">
        <w:rPr>
          <w:rFonts w:ascii="Times New Roman"/>
          <w:b/>
        </w:rPr>
        <w:t>天然氣</w:t>
      </w:r>
    </w:p>
    <w:p w14:paraId="2C270F76" w14:textId="77777777" w:rsidR="0017299B" w:rsidRPr="00F23F57" w:rsidRDefault="0017299B" w:rsidP="0017299B">
      <w:pPr>
        <w:pStyle w:val="KK"/>
        <w:numPr>
          <w:ilvl w:val="0"/>
          <w:numId w:val="17"/>
        </w:numPr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）年自產天然氣產量為</w:t>
      </w:r>
      <w:r w:rsidRPr="00D3680F">
        <w:rPr>
          <w:rFonts w:ascii="Times New Roman"/>
        </w:rPr>
        <w:t>1</w:t>
      </w:r>
      <w:r>
        <w:rPr>
          <w:rFonts w:ascii="Times New Roman"/>
        </w:rPr>
        <w:t>05</w:t>
      </w:r>
      <w:r w:rsidRPr="00D3680F">
        <w:rPr>
          <w:rFonts w:ascii="Times New Roman"/>
        </w:rPr>
        <w:t>.</w:t>
      </w:r>
      <w:r>
        <w:rPr>
          <w:rFonts w:ascii="Times New Roman"/>
        </w:rPr>
        <w:t>3</w:t>
      </w:r>
      <w:proofErr w:type="gramStart"/>
      <w:r w:rsidRPr="00F23F57">
        <w:rPr>
          <w:rFonts w:ascii="Times New Roman"/>
        </w:rPr>
        <w:t>百萬</w:t>
      </w:r>
      <w:proofErr w:type="gramEnd"/>
      <w:r w:rsidRPr="00F23F57">
        <w:rPr>
          <w:rFonts w:ascii="Times New Roman"/>
        </w:rPr>
        <w:t>立方公尺，較上年（</w:t>
      </w:r>
      <w:r w:rsidRPr="00D3680F">
        <w:rPr>
          <w:rFonts w:ascii="Times New Roman"/>
        </w:rPr>
        <w:t>1</w:t>
      </w:r>
      <w:r>
        <w:rPr>
          <w:rFonts w:ascii="Times New Roman"/>
        </w:rPr>
        <w:t>6</w:t>
      </w:r>
      <w:r w:rsidRPr="00D3680F">
        <w:rPr>
          <w:rFonts w:ascii="Times New Roman"/>
        </w:rPr>
        <w:t>7.</w:t>
      </w:r>
      <w:r>
        <w:rPr>
          <w:rFonts w:ascii="Times New Roman"/>
        </w:rPr>
        <w:t>2</w:t>
      </w:r>
      <w:proofErr w:type="gramStart"/>
      <w:r w:rsidRPr="00F23F57">
        <w:rPr>
          <w:rFonts w:ascii="Times New Roman"/>
        </w:rPr>
        <w:t>百萬</w:t>
      </w:r>
      <w:proofErr w:type="gramEnd"/>
      <w:r w:rsidRPr="00F23F57">
        <w:rPr>
          <w:rFonts w:ascii="Times New Roman"/>
        </w:rPr>
        <w:t>立方公尺）減少</w:t>
      </w:r>
      <w:r>
        <w:rPr>
          <w:rFonts w:ascii="Times New Roman"/>
        </w:rPr>
        <w:t>37</w:t>
      </w:r>
      <w:r w:rsidRPr="00D3680F">
        <w:rPr>
          <w:rFonts w:ascii="Times New Roman"/>
        </w:rPr>
        <w:t>.</w:t>
      </w:r>
      <w:r>
        <w:rPr>
          <w:rFonts w:ascii="Times New Roman"/>
        </w:rPr>
        <w:t>01</w:t>
      </w:r>
      <w:r w:rsidRPr="00D3680F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7188F9D5" w14:textId="77777777" w:rsidR="0017299B" w:rsidRPr="00F23F57" w:rsidRDefault="0017299B" w:rsidP="0017299B">
      <w:pPr>
        <w:pStyle w:val="KK"/>
        <w:numPr>
          <w:ilvl w:val="0"/>
          <w:numId w:val="17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）年自產天然氣國內消費量為</w:t>
      </w:r>
      <w:r w:rsidRPr="00D3680F">
        <w:rPr>
          <w:rFonts w:ascii="Times New Roman"/>
        </w:rPr>
        <w:t>1,</w:t>
      </w:r>
      <w:r>
        <w:rPr>
          <w:rFonts w:ascii="Times New Roman"/>
        </w:rPr>
        <w:t>941</w:t>
      </w:r>
      <w:r w:rsidRPr="00D3680F">
        <w:rPr>
          <w:rFonts w:ascii="Times New Roman"/>
        </w:rPr>
        <w:t>.</w:t>
      </w:r>
      <w:r>
        <w:rPr>
          <w:rFonts w:ascii="Times New Roman"/>
        </w:rPr>
        <w:t>8</w:t>
      </w:r>
      <w:proofErr w:type="gramStart"/>
      <w:r w:rsidRPr="00F23F57">
        <w:rPr>
          <w:rFonts w:ascii="Times New Roman"/>
        </w:rPr>
        <w:t>百萬</w:t>
      </w:r>
      <w:proofErr w:type="gramEnd"/>
      <w:r w:rsidRPr="00F23F57">
        <w:rPr>
          <w:rFonts w:ascii="Times New Roman"/>
        </w:rPr>
        <w:t>立方公尺，其中發電及汽電共生占</w:t>
      </w:r>
      <w:r w:rsidRPr="00D3680F">
        <w:rPr>
          <w:rFonts w:ascii="Times New Roman"/>
        </w:rPr>
        <w:t>0.</w:t>
      </w:r>
      <w:r>
        <w:rPr>
          <w:rFonts w:ascii="Times New Roman"/>
        </w:rPr>
        <w:t>09</w:t>
      </w:r>
      <w:r w:rsidRPr="00D3680F">
        <w:rPr>
          <w:rFonts w:ascii="Times New Roman"/>
        </w:rPr>
        <w:t>%</w:t>
      </w:r>
      <w:r w:rsidRPr="00F23F57">
        <w:rPr>
          <w:rFonts w:ascii="Times New Roman"/>
        </w:rPr>
        <w:t>，能源及工業用占</w:t>
      </w:r>
      <w:r w:rsidRPr="00D3680F">
        <w:rPr>
          <w:rFonts w:ascii="Times New Roman"/>
        </w:rPr>
        <w:t>3</w:t>
      </w:r>
      <w:r>
        <w:rPr>
          <w:rFonts w:ascii="Times New Roman"/>
        </w:rPr>
        <w:t>7</w:t>
      </w:r>
      <w:r w:rsidRPr="00D3680F">
        <w:rPr>
          <w:rFonts w:ascii="Times New Roman"/>
        </w:rPr>
        <w:t>.</w:t>
      </w:r>
      <w:r>
        <w:rPr>
          <w:rFonts w:ascii="Times New Roman"/>
        </w:rPr>
        <w:t>0</w:t>
      </w:r>
      <w:r w:rsidRPr="00D3680F">
        <w:rPr>
          <w:rFonts w:ascii="Times New Roman"/>
        </w:rPr>
        <w:t>8%</w:t>
      </w:r>
      <w:r w:rsidRPr="00F23F57">
        <w:rPr>
          <w:rFonts w:ascii="Times New Roman"/>
        </w:rPr>
        <w:t>，服務業用占</w:t>
      </w:r>
      <w:r>
        <w:rPr>
          <w:rFonts w:ascii="Times New Roman" w:hint="eastAsia"/>
        </w:rPr>
        <w:t>1</w:t>
      </w:r>
      <w:r>
        <w:rPr>
          <w:rFonts w:ascii="Times New Roman"/>
        </w:rPr>
        <w:t>9</w:t>
      </w:r>
      <w:r w:rsidRPr="00D3680F">
        <w:rPr>
          <w:rFonts w:ascii="Times New Roman"/>
        </w:rPr>
        <w:t>.</w:t>
      </w:r>
      <w:r>
        <w:rPr>
          <w:rFonts w:ascii="Times New Roman"/>
        </w:rPr>
        <w:t>2</w:t>
      </w:r>
      <w:r w:rsidRPr="00D3680F">
        <w:rPr>
          <w:rFonts w:ascii="Times New Roman"/>
        </w:rPr>
        <w:t>4%</w:t>
      </w:r>
      <w:r w:rsidRPr="00F23F57">
        <w:rPr>
          <w:rFonts w:ascii="Times New Roman"/>
        </w:rPr>
        <w:t>，住宅用占</w:t>
      </w:r>
      <w:r w:rsidRPr="00D3680F">
        <w:rPr>
          <w:rFonts w:ascii="Times New Roman"/>
        </w:rPr>
        <w:t>43.</w:t>
      </w:r>
      <w:r>
        <w:rPr>
          <w:rFonts w:ascii="Times New Roman"/>
        </w:rPr>
        <w:t>58</w:t>
      </w:r>
      <w:r w:rsidRPr="00D3680F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bookmarkEnd w:id="1"/>
    <w:p w14:paraId="2EE543A9" w14:textId="77777777" w:rsidR="0017299B" w:rsidRPr="00F23F57" w:rsidRDefault="0017299B" w:rsidP="0017299B">
      <w:pPr>
        <w:numPr>
          <w:ilvl w:val="0"/>
          <w:numId w:val="2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>電力</w:t>
      </w:r>
    </w:p>
    <w:p w14:paraId="2C6177CC" w14:textId="77777777" w:rsidR="0017299B" w:rsidRPr="00F23F57" w:rsidRDefault="0017299B" w:rsidP="0017299B">
      <w:pPr>
        <w:pStyle w:val="KK"/>
        <w:numPr>
          <w:ilvl w:val="0"/>
          <w:numId w:val="21"/>
        </w:numPr>
        <w:ind w:left="714" w:rightChars="50" w:right="120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</w:t>
      </w:r>
      <w:proofErr w:type="gramStart"/>
      <w:r w:rsidRPr="00F23F57">
        <w:rPr>
          <w:rFonts w:ascii="Times New Roman"/>
        </w:rPr>
        <w:t>總毛發</w:t>
      </w:r>
      <w:proofErr w:type="gramEnd"/>
      <w:r w:rsidRPr="00F23F57">
        <w:rPr>
          <w:rFonts w:ascii="Times New Roman"/>
        </w:rPr>
        <w:t>電量為</w:t>
      </w:r>
      <w:r w:rsidRPr="00F240DB">
        <w:rPr>
          <w:rFonts w:ascii="Times New Roman"/>
        </w:rPr>
        <w:t>2</w:t>
      </w:r>
      <w:r>
        <w:rPr>
          <w:rFonts w:ascii="Times New Roman"/>
        </w:rPr>
        <w:t>80</w:t>
      </w:r>
      <w:r w:rsidRPr="00F240DB">
        <w:rPr>
          <w:rFonts w:ascii="Times New Roman"/>
        </w:rPr>
        <w:t>,</w:t>
      </w:r>
      <w:r>
        <w:rPr>
          <w:rFonts w:ascii="Times New Roman"/>
        </w:rPr>
        <w:t>139</w:t>
      </w:r>
      <w:r w:rsidRPr="00F240DB">
        <w:rPr>
          <w:rFonts w:ascii="Times New Roman"/>
        </w:rPr>
        <w:t>.</w:t>
      </w:r>
      <w:r>
        <w:rPr>
          <w:rFonts w:ascii="Times New Roman"/>
        </w:rPr>
        <w:t>9</w:t>
      </w:r>
      <w:r w:rsidRPr="00F23F57">
        <w:rPr>
          <w:rFonts w:ascii="Times New Roman"/>
        </w:rPr>
        <w:t>百萬度，較上年（</w:t>
      </w:r>
      <w:r w:rsidRPr="00F240DB">
        <w:rPr>
          <w:rFonts w:ascii="Times New Roman"/>
        </w:rPr>
        <w:t>27</w:t>
      </w:r>
      <w:r>
        <w:rPr>
          <w:rFonts w:ascii="Times New Roman"/>
        </w:rPr>
        <w:t>4</w:t>
      </w:r>
      <w:r w:rsidRPr="00F240DB">
        <w:rPr>
          <w:rFonts w:ascii="Times New Roman"/>
        </w:rPr>
        <w:t>,</w:t>
      </w:r>
      <w:r>
        <w:rPr>
          <w:rFonts w:ascii="Times New Roman"/>
        </w:rPr>
        <w:t>190</w:t>
      </w:r>
      <w:r w:rsidRPr="00F240DB">
        <w:rPr>
          <w:rFonts w:ascii="Times New Roman"/>
        </w:rPr>
        <w:t>.9</w:t>
      </w:r>
      <w:r w:rsidRPr="00F23F57">
        <w:rPr>
          <w:rFonts w:ascii="Times New Roman"/>
        </w:rPr>
        <w:t>百萬度）</w:t>
      </w:r>
      <w:r>
        <w:rPr>
          <w:rFonts w:ascii="Times New Roman" w:hint="eastAsia"/>
        </w:rPr>
        <w:t>增加</w:t>
      </w:r>
      <w:r>
        <w:rPr>
          <w:rFonts w:ascii="Times New Roman"/>
        </w:rPr>
        <w:t>2</w:t>
      </w:r>
      <w:r w:rsidRPr="00F240DB">
        <w:rPr>
          <w:rFonts w:ascii="Times New Roman"/>
        </w:rPr>
        <w:t>.</w:t>
      </w:r>
      <w:r>
        <w:rPr>
          <w:rFonts w:ascii="Times New Roman"/>
        </w:rPr>
        <w:t>17</w:t>
      </w:r>
      <w:r w:rsidRPr="00F240DB">
        <w:rPr>
          <w:rFonts w:ascii="Times New Roman"/>
        </w:rPr>
        <w:t>%</w:t>
      </w:r>
      <w:r w:rsidRPr="00F23F57">
        <w:rPr>
          <w:rFonts w:ascii="Times New Roman"/>
        </w:rPr>
        <w:t>；其中抽</w:t>
      </w:r>
      <w:proofErr w:type="gramStart"/>
      <w:r w:rsidRPr="00F23F57">
        <w:rPr>
          <w:rFonts w:ascii="Times New Roman"/>
        </w:rPr>
        <w:t>蓄水力占</w:t>
      </w:r>
      <w:proofErr w:type="gramEnd"/>
      <w:r w:rsidRPr="00F240DB">
        <w:rPr>
          <w:rFonts w:ascii="Times New Roman"/>
        </w:rPr>
        <w:t>1.1</w:t>
      </w:r>
      <w:r>
        <w:rPr>
          <w:rFonts w:ascii="Times New Roman"/>
        </w:rPr>
        <w:t>3</w:t>
      </w:r>
      <w:r w:rsidRPr="00F240DB">
        <w:rPr>
          <w:rFonts w:ascii="Times New Roman"/>
        </w:rPr>
        <w:t>%</w:t>
      </w:r>
      <w:r w:rsidRPr="00F23F57">
        <w:rPr>
          <w:rFonts w:ascii="Times New Roman"/>
        </w:rPr>
        <w:t>，火力占</w:t>
      </w:r>
      <w:r w:rsidRPr="00F240DB">
        <w:rPr>
          <w:rFonts w:ascii="Times New Roman"/>
        </w:rPr>
        <w:t>8</w:t>
      </w:r>
      <w:r>
        <w:rPr>
          <w:rFonts w:ascii="Times New Roman"/>
        </w:rPr>
        <w:t>2</w:t>
      </w:r>
      <w:r w:rsidRPr="00F240DB">
        <w:rPr>
          <w:rFonts w:ascii="Times New Roman"/>
        </w:rPr>
        <w:t>.</w:t>
      </w:r>
      <w:r>
        <w:rPr>
          <w:rFonts w:ascii="Times New Roman"/>
        </w:rPr>
        <w:t>18</w:t>
      </w:r>
      <w:r w:rsidRPr="00F240DB">
        <w:rPr>
          <w:rFonts w:ascii="Times New Roman"/>
        </w:rPr>
        <w:t>%</w:t>
      </w:r>
      <w:r w:rsidRPr="00F23F57">
        <w:rPr>
          <w:rFonts w:ascii="Times New Roman"/>
        </w:rPr>
        <w:t>，核能占</w:t>
      </w:r>
      <w:r w:rsidRPr="00F240DB">
        <w:rPr>
          <w:rFonts w:ascii="Times New Roman"/>
        </w:rPr>
        <w:t>11.</w:t>
      </w:r>
      <w:r>
        <w:rPr>
          <w:rFonts w:ascii="Times New Roman"/>
        </w:rPr>
        <w:t>22</w:t>
      </w:r>
      <w:r w:rsidRPr="00F240DB">
        <w:rPr>
          <w:rFonts w:ascii="Times New Roman"/>
        </w:rPr>
        <w:t>%</w:t>
      </w:r>
      <w:r w:rsidRPr="00F23F57">
        <w:rPr>
          <w:rFonts w:ascii="Times New Roman"/>
        </w:rPr>
        <w:t>，慣常水力</w:t>
      </w:r>
      <w:r>
        <w:rPr>
          <w:rFonts w:ascii="Times New Roman" w:hint="eastAsia"/>
        </w:rPr>
        <w:t>、地熱</w:t>
      </w:r>
      <w:r w:rsidRPr="00F23F57">
        <w:rPr>
          <w:rFonts w:ascii="Times New Roman"/>
        </w:rPr>
        <w:t>、太陽光電、風力、生質能及廢棄物占</w:t>
      </w:r>
      <w:r w:rsidRPr="00F240DB">
        <w:rPr>
          <w:rFonts w:ascii="Times New Roman"/>
        </w:rPr>
        <w:t>5.</w:t>
      </w:r>
      <w:r>
        <w:rPr>
          <w:rFonts w:ascii="Times New Roman"/>
        </w:rPr>
        <w:t>47</w:t>
      </w:r>
      <w:r w:rsidRPr="00F240DB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323D98F0" w14:textId="77777777" w:rsidR="0017299B" w:rsidRPr="00FC5BA1" w:rsidRDefault="0017299B" w:rsidP="0017299B">
      <w:pPr>
        <w:pStyle w:val="KK"/>
        <w:numPr>
          <w:ilvl w:val="0"/>
          <w:numId w:val="21"/>
        </w:numPr>
        <w:tabs>
          <w:tab w:val="num" w:pos="720"/>
        </w:tabs>
        <w:ind w:left="714" w:hanging="357"/>
        <w:rPr>
          <w:rFonts w:ascii="Times New Roman"/>
        </w:rPr>
      </w:pPr>
      <w:r w:rsidRPr="00FC5BA1">
        <w:rPr>
          <w:rFonts w:ascii="Times New Roman"/>
        </w:rPr>
        <w:t>本（</w:t>
      </w:r>
      <w:r w:rsidRPr="00FC5BA1">
        <w:rPr>
          <w:rFonts w:ascii="Times New Roman"/>
        </w:rPr>
        <w:t>109</w:t>
      </w:r>
      <w:r w:rsidRPr="00FC5BA1">
        <w:rPr>
          <w:rFonts w:ascii="Times New Roman"/>
        </w:rPr>
        <w:t>）年台電公司火力發電廠燃料耗用量為</w:t>
      </w:r>
      <w:r w:rsidRPr="00FC5BA1">
        <w:rPr>
          <w:rFonts w:ascii="Times New Roman"/>
        </w:rPr>
        <w:t>32,051.2</w:t>
      </w:r>
      <w:r w:rsidRPr="00FC5BA1">
        <w:rPr>
          <w:rFonts w:ascii="Times New Roman"/>
        </w:rPr>
        <w:t>千公秉油當量，較上年（</w:t>
      </w:r>
      <w:r w:rsidRPr="00FC5BA1">
        <w:rPr>
          <w:rFonts w:ascii="Times New Roman"/>
        </w:rPr>
        <w:t>31,110.2</w:t>
      </w:r>
      <w:r w:rsidRPr="00FC5BA1">
        <w:rPr>
          <w:rFonts w:ascii="Times New Roman"/>
        </w:rPr>
        <w:t>千公秉油當量）</w:t>
      </w:r>
      <w:r w:rsidRPr="00FC5BA1">
        <w:rPr>
          <w:rFonts w:ascii="Times New Roman" w:hint="eastAsia"/>
        </w:rPr>
        <w:t>增加</w:t>
      </w:r>
      <w:r w:rsidRPr="00FC5BA1">
        <w:rPr>
          <w:rFonts w:ascii="Times New Roman" w:hint="eastAsia"/>
        </w:rPr>
        <w:t>3</w:t>
      </w:r>
      <w:r w:rsidRPr="00FC5BA1">
        <w:rPr>
          <w:rFonts w:ascii="Times New Roman"/>
        </w:rPr>
        <w:t>.02%</w:t>
      </w:r>
      <w:r w:rsidRPr="00FC5BA1">
        <w:rPr>
          <w:rFonts w:ascii="Times New Roman"/>
        </w:rPr>
        <w:t>；</w:t>
      </w:r>
      <w:proofErr w:type="gramStart"/>
      <w:r w:rsidRPr="00FC5BA1">
        <w:rPr>
          <w:rFonts w:ascii="Times New Roman"/>
        </w:rPr>
        <w:t>其中煤</w:t>
      </w:r>
      <w:proofErr w:type="gramEnd"/>
      <w:r w:rsidRPr="00FC5BA1">
        <w:rPr>
          <w:rFonts w:ascii="Times New Roman"/>
        </w:rPr>
        <w:t>及煤產品占</w:t>
      </w:r>
      <w:r w:rsidRPr="00FC5BA1">
        <w:rPr>
          <w:rFonts w:ascii="Times New Roman"/>
        </w:rPr>
        <w:t>50.27%</w:t>
      </w:r>
      <w:r w:rsidRPr="00FC5BA1">
        <w:rPr>
          <w:rFonts w:ascii="Times New Roman"/>
        </w:rPr>
        <w:t>，柴油占</w:t>
      </w:r>
      <w:r w:rsidRPr="00FC5BA1">
        <w:rPr>
          <w:rFonts w:ascii="Times New Roman"/>
        </w:rPr>
        <w:t>0.17%</w:t>
      </w:r>
      <w:r w:rsidRPr="00FC5BA1">
        <w:rPr>
          <w:rFonts w:ascii="Times New Roman"/>
        </w:rPr>
        <w:t>，燃料油占</w:t>
      </w:r>
      <w:r w:rsidRPr="00FC5BA1">
        <w:rPr>
          <w:rFonts w:ascii="Times New Roman"/>
        </w:rPr>
        <w:t>2.52%</w:t>
      </w:r>
      <w:r w:rsidRPr="00FC5BA1">
        <w:rPr>
          <w:rFonts w:ascii="Times New Roman"/>
        </w:rPr>
        <w:t>，液化天然氣占</w:t>
      </w:r>
      <w:r w:rsidRPr="00FC5BA1">
        <w:rPr>
          <w:rFonts w:ascii="Times New Roman"/>
        </w:rPr>
        <w:t>47.03%</w:t>
      </w:r>
      <w:r w:rsidRPr="00FC5BA1">
        <w:rPr>
          <w:rFonts w:ascii="Times New Roman"/>
        </w:rPr>
        <w:t>。</w:t>
      </w:r>
    </w:p>
    <w:p w14:paraId="00210223" w14:textId="77777777" w:rsidR="0017299B" w:rsidRPr="00F23F57" w:rsidRDefault="0017299B" w:rsidP="0017299B">
      <w:pPr>
        <w:pStyle w:val="KK"/>
        <w:numPr>
          <w:ilvl w:val="0"/>
          <w:numId w:val="21"/>
        </w:numPr>
        <w:tabs>
          <w:tab w:val="num" w:pos="720"/>
        </w:tabs>
        <w:ind w:left="714" w:hanging="357"/>
        <w:rPr>
          <w:rFonts w:ascii="Times New Roman"/>
        </w:rPr>
      </w:pPr>
      <w:r w:rsidRPr="00F23F57">
        <w:rPr>
          <w:rFonts w:ascii="Times New Roman"/>
        </w:rPr>
        <w:t>本（</w:t>
      </w:r>
      <w:r w:rsidRPr="00F23F57">
        <w:rPr>
          <w:rFonts w:ascii="Times New Roman"/>
        </w:rPr>
        <w:t>10</w:t>
      </w:r>
      <w:r>
        <w:rPr>
          <w:rFonts w:ascii="Times New Roman"/>
        </w:rPr>
        <w:t>9</w:t>
      </w:r>
      <w:r w:rsidRPr="00F23F57">
        <w:rPr>
          <w:rFonts w:ascii="Times New Roman"/>
        </w:rPr>
        <w:t>）年電力各部門消</w:t>
      </w:r>
      <w:r w:rsidRPr="00A6664A">
        <w:rPr>
          <w:rFonts w:ascii="Times New Roman"/>
        </w:rPr>
        <w:t>費</w:t>
      </w:r>
      <w:r w:rsidRPr="00A6664A">
        <w:rPr>
          <w:rFonts w:ascii="Times New Roman" w:hint="eastAsia"/>
        </w:rPr>
        <w:t>占總需要（含線路損失及統計差異）之比率</w:t>
      </w:r>
      <w:r w:rsidRPr="00A6664A">
        <w:rPr>
          <w:rFonts w:ascii="Times New Roman"/>
        </w:rPr>
        <w:t>如下</w:t>
      </w:r>
      <w:r w:rsidRPr="00F23F57">
        <w:rPr>
          <w:rFonts w:ascii="Times New Roman"/>
        </w:rPr>
        <w:t>：能源部門自用占</w:t>
      </w:r>
      <w:r>
        <w:rPr>
          <w:rFonts w:ascii="Times New Roman"/>
        </w:rPr>
        <w:t>6</w:t>
      </w:r>
      <w:r w:rsidRPr="005621ED">
        <w:rPr>
          <w:rFonts w:ascii="Times New Roman"/>
        </w:rPr>
        <w:t>.</w:t>
      </w:r>
      <w:r>
        <w:rPr>
          <w:rFonts w:ascii="Times New Roman"/>
        </w:rPr>
        <w:t>89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，工業部門占</w:t>
      </w:r>
      <w:r w:rsidRPr="005621ED">
        <w:rPr>
          <w:rFonts w:ascii="Times New Roman"/>
        </w:rPr>
        <w:t>53.8</w:t>
      </w:r>
      <w:r>
        <w:rPr>
          <w:rFonts w:ascii="Times New Roman"/>
        </w:rPr>
        <w:t>1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，運輸部門占</w:t>
      </w:r>
      <w:r w:rsidRPr="005621ED">
        <w:rPr>
          <w:rFonts w:ascii="Times New Roman"/>
        </w:rPr>
        <w:t>0.5</w:t>
      </w:r>
      <w:r>
        <w:rPr>
          <w:rFonts w:ascii="Times New Roman"/>
        </w:rPr>
        <w:t>3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，農業部門占</w:t>
      </w:r>
      <w:r w:rsidRPr="005621ED">
        <w:rPr>
          <w:rFonts w:ascii="Times New Roman"/>
        </w:rPr>
        <w:t>1.1</w:t>
      </w:r>
      <w:r>
        <w:rPr>
          <w:rFonts w:ascii="Times New Roman"/>
        </w:rPr>
        <w:t>7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，服務業部門占</w:t>
      </w:r>
      <w:r w:rsidRPr="005621ED">
        <w:rPr>
          <w:rFonts w:ascii="Times New Roman"/>
        </w:rPr>
        <w:t>1</w:t>
      </w:r>
      <w:r>
        <w:rPr>
          <w:rFonts w:ascii="Times New Roman"/>
        </w:rPr>
        <w:t>6</w:t>
      </w:r>
      <w:r w:rsidRPr="005621ED">
        <w:rPr>
          <w:rFonts w:ascii="Times New Roman"/>
        </w:rPr>
        <w:t>.</w:t>
      </w:r>
      <w:r>
        <w:rPr>
          <w:rFonts w:ascii="Times New Roman"/>
        </w:rPr>
        <w:t>51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，住宅部門占</w:t>
      </w:r>
      <w:r w:rsidRPr="005621ED">
        <w:rPr>
          <w:rFonts w:ascii="Times New Roman"/>
        </w:rPr>
        <w:t>17.</w:t>
      </w:r>
      <w:r>
        <w:rPr>
          <w:rFonts w:ascii="Times New Roman"/>
        </w:rPr>
        <w:t>9</w:t>
      </w:r>
      <w:r w:rsidRPr="005621ED">
        <w:rPr>
          <w:rFonts w:ascii="Times New Roman"/>
        </w:rPr>
        <w:t>2%</w:t>
      </w:r>
      <w:r w:rsidRPr="00F23F57">
        <w:rPr>
          <w:rFonts w:ascii="Times New Roman"/>
        </w:rPr>
        <w:t>；而與上年消費量比較，則其增減情形如下：能源部門自用</w:t>
      </w:r>
      <w:r>
        <w:rPr>
          <w:rFonts w:ascii="Times New Roman" w:hint="eastAsia"/>
        </w:rPr>
        <w:t>減少</w:t>
      </w:r>
      <w:r>
        <w:rPr>
          <w:rFonts w:ascii="Times New Roman" w:hint="eastAsia"/>
        </w:rPr>
        <w:t>1</w:t>
      </w:r>
      <w:r w:rsidRPr="005621ED">
        <w:rPr>
          <w:rFonts w:ascii="Times New Roman"/>
        </w:rPr>
        <w:t>.</w:t>
      </w:r>
      <w:r>
        <w:rPr>
          <w:rFonts w:ascii="Times New Roman"/>
        </w:rPr>
        <w:t>37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，工業部門</w:t>
      </w:r>
      <w:r>
        <w:rPr>
          <w:rFonts w:ascii="Times New Roman" w:hint="eastAsia"/>
        </w:rPr>
        <w:t>增加</w:t>
      </w:r>
      <w:r>
        <w:rPr>
          <w:rFonts w:ascii="Times New Roman"/>
        </w:rPr>
        <w:t>2</w:t>
      </w:r>
      <w:r w:rsidRPr="005621ED">
        <w:rPr>
          <w:rFonts w:ascii="Times New Roman"/>
        </w:rPr>
        <w:t>.</w:t>
      </w:r>
      <w:r>
        <w:rPr>
          <w:rFonts w:ascii="Times New Roman"/>
        </w:rPr>
        <w:t>08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，運輸部門</w:t>
      </w:r>
      <w:r>
        <w:rPr>
          <w:rFonts w:ascii="Times New Roman" w:hint="eastAsia"/>
        </w:rPr>
        <w:t>減少</w:t>
      </w:r>
      <w:r w:rsidRPr="005621ED">
        <w:rPr>
          <w:rFonts w:ascii="Times New Roman"/>
        </w:rPr>
        <w:t>1.</w:t>
      </w:r>
      <w:r>
        <w:rPr>
          <w:rFonts w:ascii="Times New Roman" w:hint="eastAsia"/>
        </w:rPr>
        <w:t>2</w:t>
      </w:r>
      <w:r>
        <w:rPr>
          <w:rFonts w:ascii="Times New Roman"/>
        </w:rPr>
        <w:t>1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，農業部門</w:t>
      </w:r>
      <w:r>
        <w:rPr>
          <w:rFonts w:ascii="Times New Roman" w:hint="eastAsia"/>
        </w:rPr>
        <w:t>增加</w:t>
      </w:r>
      <w:r>
        <w:rPr>
          <w:rFonts w:ascii="Times New Roman"/>
        </w:rPr>
        <w:t>7</w:t>
      </w:r>
      <w:r w:rsidRPr="005621ED">
        <w:rPr>
          <w:rFonts w:ascii="Times New Roman"/>
        </w:rPr>
        <w:t>.</w:t>
      </w:r>
      <w:r>
        <w:rPr>
          <w:rFonts w:ascii="Times New Roman"/>
        </w:rPr>
        <w:t>49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，服務業部門</w:t>
      </w:r>
      <w:r w:rsidRPr="00F23F57">
        <w:rPr>
          <w:rFonts w:ascii="Times New Roman" w:hint="eastAsia"/>
        </w:rPr>
        <w:t>減少</w:t>
      </w:r>
      <w:r>
        <w:rPr>
          <w:rFonts w:ascii="Times New Roman"/>
        </w:rPr>
        <w:t>1</w:t>
      </w:r>
      <w:r w:rsidRPr="005621ED">
        <w:rPr>
          <w:rFonts w:ascii="Times New Roman"/>
        </w:rPr>
        <w:t>.</w:t>
      </w:r>
      <w:r>
        <w:rPr>
          <w:rFonts w:ascii="Times New Roman"/>
        </w:rPr>
        <w:t>07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，住宅部門</w:t>
      </w:r>
      <w:r>
        <w:rPr>
          <w:rFonts w:ascii="Times New Roman" w:hint="eastAsia"/>
        </w:rPr>
        <w:t>增加</w:t>
      </w:r>
      <w:r>
        <w:rPr>
          <w:rFonts w:ascii="Times New Roman"/>
        </w:rPr>
        <w:t>6</w:t>
      </w:r>
      <w:r w:rsidRPr="005621ED">
        <w:rPr>
          <w:rFonts w:ascii="Times New Roman"/>
        </w:rPr>
        <w:t>.</w:t>
      </w:r>
      <w:r>
        <w:rPr>
          <w:rFonts w:ascii="Times New Roman"/>
        </w:rPr>
        <w:t>39</w:t>
      </w:r>
      <w:r w:rsidRPr="005621ED">
        <w:rPr>
          <w:rFonts w:ascii="Times New Roman"/>
        </w:rPr>
        <w:t>%</w:t>
      </w:r>
      <w:r w:rsidRPr="00F23F57">
        <w:rPr>
          <w:rFonts w:ascii="Times New Roman"/>
        </w:rPr>
        <w:t>。</w:t>
      </w:r>
    </w:p>
    <w:p w14:paraId="0D5BAF1E" w14:textId="77777777" w:rsidR="0017299B" w:rsidRPr="00A6664A" w:rsidRDefault="0017299B" w:rsidP="0017299B">
      <w:pPr>
        <w:pStyle w:val="KK"/>
        <w:numPr>
          <w:ilvl w:val="0"/>
          <w:numId w:val="21"/>
        </w:numPr>
        <w:tabs>
          <w:tab w:val="num" w:pos="720"/>
        </w:tabs>
        <w:ind w:left="714" w:hanging="357"/>
        <w:rPr>
          <w:rFonts w:ascii="Times New Roman"/>
        </w:rPr>
      </w:pPr>
      <w:r w:rsidRPr="00A6664A">
        <w:rPr>
          <w:rFonts w:ascii="Times New Roman"/>
        </w:rPr>
        <w:t>本（</w:t>
      </w:r>
      <w:r w:rsidRPr="00A6664A">
        <w:rPr>
          <w:rFonts w:ascii="Times New Roman"/>
        </w:rPr>
        <w:t>109</w:t>
      </w:r>
      <w:r w:rsidRPr="00A6664A">
        <w:rPr>
          <w:rFonts w:ascii="Times New Roman"/>
        </w:rPr>
        <w:t>）年平均每人用電量為</w:t>
      </w:r>
      <w:r w:rsidRPr="00A6664A">
        <w:rPr>
          <w:rFonts w:ascii="Times New Roman"/>
        </w:rPr>
        <w:t>11,502.2</w:t>
      </w:r>
      <w:r w:rsidRPr="00A6664A">
        <w:rPr>
          <w:rFonts w:ascii="Times New Roman"/>
        </w:rPr>
        <w:t>度，較上年（</w:t>
      </w:r>
      <w:r w:rsidRPr="00A6664A">
        <w:rPr>
          <w:rFonts w:ascii="Times New Roman"/>
        </w:rPr>
        <w:t>11,261.2</w:t>
      </w:r>
      <w:r w:rsidRPr="00A6664A">
        <w:rPr>
          <w:rFonts w:ascii="Times New Roman"/>
        </w:rPr>
        <w:t>度）約</w:t>
      </w:r>
      <w:r w:rsidRPr="00A6664A">
        <w:rPr>
          <w:rFonts w:ascii="Times New Roman" w:hint="eastAsia"/>
        </w:rPr>
        <w:t>增加</w:t>
      </w:r>
      <w:r w:rsidRPr="00A6664A">
        <w:rPr>
          <w:rFonts w:ascii="Times New Roman"/>
        </w:rPr>
        <w:t>2.14%</w:t>
      </w:r>
      <w:r w:rsidRPr="00A6664A">
        <w:rPr>
          <w:rFonts w:ascii="Times New Roman"/>
        </w:rPr>
        <w:t>。</w:t>
      </w:r>
    </w:p>
    <w:p w14:paraId="1159C06F" w14:textId="77777777" w:rsidR="0017299B" w:rsidRPr="00F23F57" w:rsidRDefault="0017299B" w:rsidP="0017299B">
      <w:pPr>
        <w:autoSpaceDE w:val="0"/>
        <w:autoSpaceDN w:val="0"/>
        <w:adjustRightInd w:val="0"/>
      </w:pPr>
      <w:r w:rsidRPr="00F23F57">
        <w:rPr>
          <w:sz w:val="18"/>
        </w:rPr>
        <w:t xml:space="preserve">  </w:t>
      </w:r>
    </w:p>
    <w:p w14:paraId="3B381C73" w14:textId="77777777" w:rsidR="0017299B" w:rsidRPr="00F23F57" w:rsidRDefault="0017299B" w:rsidP="0017299B">
      <w:pPr>
        <w:pStyle w:val="a6"/>
        <w:jc w:val="left"/>
        <w:rPr>
          <w:rFonts w:ascii="Times New Roman" w:eastAsia="新細明體"/>
          <w:color w:val="auto"/>
        </w:rPr>
      </w:pPr>
      <w:r w:rsidRPr="00F23F57">
        <w:rPr>
          <w:rFonts w:ascii="Times New Roman" w:eastAsia="新細明體"/>
          <w:color w:val="auto"/>
        </w:rPr>
        <w:br w:type="page"/>
      </w:r>
    </w:p>
    <w:p w14:paraId="200709C4" w14:textId="6AA4969D" w:rsidR="005C5935" w:rsidRPr="00F23F57" w:rsidRDefault="005C5935" w:rsidP="005C5935">
      <w:pPr>
        <w:pStyle w:val="a6"/>
        <w:rPr>
          <w:rFonts w:ascii="Times New Roman" w:eastAsia="新細明體"/>
          <w:b/>
          <w:color w:val="auto"/>
        </w:rPr>
      </w:pPr>
      <w:r w:rsidRPr="00F23F57">
        <w:rPr>
          <w:rFonts w:ascii="Times New Roman" w:eastAsia="新細明體"/>
          <w:b/>
          <w:color w:val="auto"/>
        </w:rPr>
        <w:lastRenderedPageBreak/>
        <w:t>Energy Supply and Dem</w:t>
      </w:r>
      <w:r w:rsidR="00C1395B" w:rsidRPr="00F23F57">
        <w:rPr>
          <w:rFonts w:ascii="Times New Roman" w:eastAsia="新細明體"/>
          <w:b/>
          <w:color w:val="auto"/>
        </w:rPr>
        <w:t xml:space="preserve">and </w:t>
      </w:r>
      <w:r w:rsidR="00C1395B" w:rsidRPr="00F23F57">
        <w:rPr>
          <w:rFonts w:ascii="Times New Roman" w:eastAsia="新細明體"/>
          <w:b/>
          <w:color w:val="auto"/>
        </w:rPr>
        <w:br/>
        <w:t xml:space="preserve">Situation of Taiwan in </w:t>
      </w:r>
      <w:r w:rsidR="00341321">
        <w:rPr>
          <w:rFonts w:ascii="Times New Roman" w:eastAsia="新細明體" w:hint="eastAsia"/>
          <w:b/>
          <w:color w:val="auto"/>
        </w:rPr>
        <w:t>2</w:t>
      </w:r>
      <w:r w:rsidR="00341321">
        <w:rPr>
          <w:rFonts w:ascii="Times New Roman" w:eastAsia="新細明體"/>
          <w:b/>
          <w:color w:val="auto"/>
        </w:rPr>
        <w:t>020</w:t>
      </w:r>
    </w:p>
    <w:p w14:paraId="490E7A72" w14:textId="77777777" w:rsidR="005C5935" w:rsidRPr="00F23F57" w:rsidRDefault="005C5935" w:rsidP="005C5935">
      <w:pPr>
        <w:pStyle w:val="2"/>
        <w:snapToGrid w:val="0"/>
        <w:spacing w:line="520" w:lineRule="exact"/>
        <w:rPr>
          <w:rFonts w:ascii="Times New Roman"/>
          <w:b/>
          <w:color w:val="auto"/>
        </w:rPr>
      </w:pPr>
      <w:r w:rsidRPr="00F23F57">
        <w:rPr>
          <w:rFonts w:ascii="Times New Roman"/>
          <w:b/>
          <w:color w:val="auto"/>
        </w:rPr>
        <w:t>General Situation</w:t>
      </w:r>
    </w:p>
    <w:p w14:paraId="4B7C43E0" w14:textId="5F030147" w:rsidR="005C5935" w:rsidRPr="00F23F57" w:rsidRDefault="006E68F4" w:rsidP="005C5935">
      <w:pPr>
        <w:pStyle w:val="KK"/>
        <w:numPr>
          <w:ilvl w:val="0"/>
          <w:numId w:val="0"/>
        </w:numPr>
        <w:ind w:left="408" w:hanging="181"/>
        <w:rPr>
          <w:rFonts w:ascii="Times New Roman"/>
        </w:rPr>
      </w:pPr>
      <w:r w:rsidRPr="00F23F57">
        <w:rPr>
          <w:rFonts w:ascii="Times New Roman"/>
        </w:rPr>
        <w:t xml:space="preserve">1.In </w:t>
      </w:r>
      <w:r w:rsidR="00FF55D9" w:rsidRPr="00F23F57">
        <w:rPr>
          <w:rFonts w:ascii="Times New Roman"/>
        </w:rPr>
        <w:t>20</w:t>
      </w:r>
      <w:r w:rsidR="005C32A7">
        <w:rPr>
          <w:rFonts w:ascii="Times New Roman" w:hint="eastAsia"/>
        </w:rPr>
        <w:t>2</w:t>
      </w:r>
      <w:r w:rsidR="005C32A7">
        <w:rPr>
          <w:rFonts w:ascii="Times New Roman"/>
        </w:rPr>
        <w:t>0</w:t>
      </w:r>
      <w:r w:rsidR="005C5935" w:rsidRPr="00F23F57">
        <w:rPr>
          <w:rFonts w:ascii="Times New Roman"/>
        </w:rPr>
        <w:t xml:space="preserve"> the total supply of primary energy amounted to </w:t>
      </w:r>
      <w:r w:rsidR="0017299B">
        <w:rPr>
          <w:rFonts w:ascii="Times New Roman"/>
        </w:rPr>
        <w:t>138,480.6</w:t>
      </w:r>
      <w:r w:rsidR="005C5935" w:rsidRPr="00F23F57">
        <w:rPr>
          <w:rFonts w:ascii="Times New Roman"/>
        </w:rPr>
        <w:t xml:space="preserve"> 10</w:t>
      </w:r>
      <w:r w:rsidR="005C5935" w:rsidRPr="00F23F57">
        <w:rPr>
          <w:rFonts w:ascii="Times New Roman"/>
          <w:vertAlign w:val="superscript"/>
        </w:rPr>
        <w:t>3</w:t>
      </w:r>
      <w:r w:rsidR="005C5935" w:rsidRPr="00F23F57">
        <w:rPr>
          <w:rFonts w:ascii="Times New Roman"/>
        </w:rPr>
        <w:t xml:space="preserve"> </w:t>
      </w:r>
      <w:r w:rsidR="00B64A53" w:rsidRPr="00F23F57">
        <w:rPr>
          <w:rFonts w:ascii="Times New Roman"/>
        </w:rPr>
        <w:t>KLOEs</w:t>
      </w:r>
      <w:r w:rsidRPr="00F23F57">
        <w:rPr>
          <w:rFonts w:ascii="Times New Roman"/>
        </w:rPr>
        <w:t xml:space="preserve">, marking a </w:t>
      </w:r>
      <w:r w:rsidR="00B64A53">
        <w:rPr>
          <w:rFonts w:ascii="Times New Roman"/>
        </w:rPr>
        <w:t>de</w:t>
      </w:r>
      <w:r w:rsidR="005C5935" w:rsidRPr="00F23F57">
        <w:rPr>
          <w:rFonts w:ascii="Times New Roman"/>
        </w:rPr>
        <w:t xml:space="preserve">crease of </w:t>
      </w:r>
      <w:r w:rsidR="0017299B">
        <w:rPr>
          <w:rFonts w:ascii="Times New Roman"/>
        </w:rPr>
        <w:t>6</w:t>
      </w:r>
      <w:r w:rsidR="0017299B">
        <w:rPr>
          <w:rFonts w:ascii="Times New Roman" w:hint="eastAsia"/>
        </w:rPr>
        <w:t>.</w:t>
      </w:r>
      <w:r w:rsidR="0017299B">
        <w:rPr>
          <w:rFonts w:ascii="Times New Roman"/>
        </w:rPr>
        <w:t>68</w:t>
      </w:r>
      <w:r w:rsidR="005C5935" w:rsidRPr="00F23F57">
        <w:rPr>
          <w:rFonts w:ascii="Times New Roman"/>
        </w:rPr>
        <w:t>% over</w:t>
      </w:r>
      <w:r w:rsidR="0017299B">
        <w:rPr>
          <w:rFonts w:ascii="Times New Roman" w:hint="eastAsia"/>
        </w:rPr>
        <w:t xml:space="preserve"> </w:t>
      </w:r>
      <w:r w:rsidR="0017299B">
        <w:rPr>
          <w:rFonts w:ascii="Times New Roman"/>
        </w:rPr>
        <w:t>148,400.4</w:t>
      </w:r>
      <w:r w:rsidR="00F71257" w:rsidRPr="00F23F57">
        <w:rPr>
          <w:rFonts w:ascii="Times New Roman"/>
        </w:rPr>
        <w:t xml:space="preserve"> 10</w:t>
      </w:r>
      <w:r w:rsidR="005C5935" w:rsidRPr="00F23F57">
        <w:rPr>
          <w:rFonts w:ascii="Times New Roman"/>
          <w:vertAlign w:val="superscript"/>
        </w:rPr>
        <w:t>3</w:t>
      </w:r>
      <w:r w:rsidRPr="00F23F57">
        <w:rPr>
          <w:rFonts w:ascii="Times New Roman"/>
        </w:rPr>
        <w:t xml:space="preserve"> KLOEs in </w:t>
      </w:r>
      <w:r w:rsidR="00FF55D9" w:rsidRPr="00F23F57">
        <w:rPr>
          <w:rFonts w:ascii="Times New Roman"/>
        </w:rPr>
        <w:t>201</w:t>
      </w:r>
      <w:r w:rsidR="002C59C9">
        <w:rPr>
          <w:rFonts w:ascii="Times New Roman"/>
        </w:rPr>
        <w:t>9</w:t>
      </w:r>
      <w:r w:rsidR="005C5935" w:rsidRPr="00F23F57">
        <w:rPr>
          <w:rFonts w:ascii="Times New Roman"/>
        </w:rPr>
        <w:t xml:space="preserve">. Of this total, indigenous energy contributed </w:t>
      </w:r>
      <w:r w:rsidR="0017299B">
        <w:rPr>
          <w:rFonts w:ascii="Times New Roman"/>
        </w:rPr>
        <w:t>3,057.2</w:t>
      </w:r>
      <w:r w:rsidR="005C5935" w:rsidRPr="00F23F57">
        <w:rPr>
          <w:rFonts w:ascii="Times New Roman"/>
        </w:rPr>
        <w:t xml:space="preserve"> 10</w:t>
      </w:r>
      <w:r w:rsidR="005C5935" w:rsidRPr="00F23F57">
        <w:rPr>
          <w:rFonts w:ascii="Times New Roman"/>
          <w:vertAlign w:val="superscript"/>
        </w:rPr>
        <w:t>3</w:t>
      </w:r>
      <w:r w:rsidR="00D53D71" w:rsidRPr="00F23F57">
        <w:rPr>
          <w:rFonts w:ascii="Times New Roman"/>
        </w:rPr>
        <w:t xml:space="preserve"> KLOEs or </w:t>
      </w:r>
      <w:r w:rsidR="0017299B">
        <w:rPr>
          <w:rFonts w:ascii="Times New Roman"/>
        </w:rPr>
        <w:t>2.21</w:t>
      </w:r>
      <w:r w:rsidR="005C5935" w:rsidRPr="00F23F57">
        <w:rPr>
          <w:rFonts w:ascii="Times New Roman"/>
        </w:rPr>
        <w:t xml:space="preserve">%, representing </w:t>
      </w:r>
      <w:r w:rsidR="008A61AA" w:rsidRPr="00F23F57">
        <w:rPr>
          <w:rFonts w:ascii="Times New Roman"/>
        </w:rPr>
        <w:t>a</w:t>
      </w:r>
      <w:r w:rsidR="00DD3AE9">
        <w:rPr>
          <w:rFonts w:ascii="Times New Roman"/>
        </w:rPr>
        <w:t xml:space="preserve"> de</w:t>
      </w:r>
      <w:r w:rsidR="008A61AA" w:rsidRPr="00F23F57">
        <w:rPr>
          <w:rFonts w:ascii="Times New Roman"/>
        </w:rPr>
        <w:t>crease</w:t>
      </w:r>
      <w:r w:rsidR="005C5935" w:rsidRPr="00F23F57">
        <w:rPr>
          <w:rFonts w:ascii="Times New Roman"/>
        </w:rPr>
        <w:t xml:space="preserve"> of </w:t>
      </w:r>
      <w:r w:rsidR="0017299B">
        <w:rPr>
          <w:rFonts w:ascii="Times New Roman" w:hint="eastAsia"/>
        </w:rPr>
        <w:t>1.</w:t>
      </w:r>
      <w:r w:rsidR="0017299B">
        <w:rPr>
          <w:rFonts w:ascii="Times New Roman"/>
        </w:rPr>
        <w:t>70</w:t>
      </w:r>
      <w:r w:rsidR="005C5935" w:rsidRPr="00F23F57">
        <w:rPr>
          <w:rFonts w:ascii="Times New Roman"/>
        </w:rPr>
        <w:t>% over the previous year, and th</w:t>
      </w:r>
      <w:r w:rsidR="00D53D71" w:rsidRPr="00F23F57">
        <w:rPr>
          <w:rFonts w:ascii="Times New Roman"/>
        </w:rPr>
        <w:t xml:space="preserve">e imported energy occupied </w:t>
      </w:r>
      <w:r w:rsidR="0017299B">
        <w:rPr>
          <w:rFonts w:ascii="Times New Roman"/>
        </w:rPr>
        <w:t>97.79</w:t>
      </w:r>
      <w:r w:rsidR="005C5935" w:rsidRPr="00F23F57">
        <w:rPr>
          <w:rFonts w:ascii="Times New Roman"/>
        </w:rPr>
        <w:t xml:space="preserve">%, or </w:t>
      </w:r>
      <w:r w:rsidR="0017299B">
        <w:rPr>
          <w:rFonts w:ascii="Times New Roman"/>
        </w:rPr>
        <w:t>135,423.4</w:t>
      </w:r>
      <w:r w:rsidR="005C5935" w:rsidRPr="00F23F57">
        <w:rPr>
          <w:rFonts w:ascii="Times New Roman"/>
        </w:rPr>
        <w:t xml:space="preserve"> 10</w:t>
      </w:r>
      <w:r w:rsidR="005C5935" w:rsidRPr="00F23F57">
        <w:rPr>
          <w:rFonts w:ascii="Times New Roman"/>
          <w:vertAlign w:val="superscript"/>
        </w:rPr>
        <w:t>3</w:t>
      </w:r>
      <w:r w:rsidR="00566B16" w:rsidRPr="00F23F57">
        <w:rPr>
          <w:rFonts w:ascii="Times New Roman"/>
        </w:rPr>
        <w:t xml:space="preserve"> KLOEs, representing a </w:t>
      </w:r>
      <w:r w:rsidR="0017299B">
        <w:rPr>
          <w:rFonts w:ascii="Times New Roman" w:hint="eastAsia"/>
        </w:rPr>
        <w:t>6.</w:t>
      </w:r>
      <w:r w:rsidR="0017299B">
        <w:rPr>
          <w:rFonts w:ascii="Times New Roman"/>
        </w:rPr>
        <w:t>79</w:t>
      </w:r>
      <w:r w:rsidR="005C5935" w:rsidRPr="00F23F57">
        <w:rPr>
          <w:rFonts w:ascii="Times New Roman"/>
        </w:rPr>
        <w:t xml:space="preserve">% </w:t>
      </w:r>
      <w:r w:rsidR="00B64A53">
        <w:rPr>
          <w:rFonts w:ascii="Times New Roman"/>
        </w:rPr>
        <w:t>de</w:t>
      </w:r>
      <w:r w:rsidR="005C5935" w:rsidRPr="00F23F57">
        <w:rPr>
          <w:rFonts w:ascii="Times New Roman"/>
        </w:rPr>
        <w:t xml:space="preserve">crease over </w:t>
      </w:r>
      <w:r w:rsidR="00FF55D9" w:rsidRPr="00F23F57">
        <w:rPr>
          <w:rFonts w:ascii="Times New Roman"/>
        </w:rPr>
        <w:t>201</w:t>
      </w:r>
      <w:r w:rsidR="00DD3AE9">
        <w:rPr>
          <w:rFonts w:ascii="Times New Roman"/>
        </w:rPr>
        <w:t>9</w:t>
      </w:r>
      <w:r w:rsidR="005C5935" w:rsidRPr="00F23F57">
        <w:rPr>
          <w:rFonts w:ascii="Times New Roman"/>
        </w:rPr>
        <w:t>. Classified by form o</w:t>
      </w:r>
      <w:r w:rsidR="00566B16" w:rsidRPr="00F23F57">
        <w:rPr>
          <w:rFonts w:ascii="Times New Roman"/>
        </w:rPr>
        <w:t xml:space="preserve">f energy, coal contributed </w:t>
      </w:r>
      <w:r w:rsidR="0017299B">
        <w:rPr>
          <w:rFonts w:ascii="Times New Roman" w:hint="eastAsia"/>
        </w:rPr>
        <w:t>3</w:t>
      </w:r>
      <w:r w:rsidR="0017299B">
        <w:rPr>
          <w:rFonts w:ascii="Times New Roman"/>
        </w:rPr>
        <w:t>0</w:t>
      </w:r>
      <w:r w:rsidR="0017299B">
        <w:rPr>
          <w:rFonts w:ascii="Times New Roman" w:hint="eastAsia"/>
        </w:rPr>
        <w:t>.</w:t>
      </w:r>
      <w:r w:rsidR="0017299B">
        <w:rPr>
          <w:rFonts w:ascii="Times New Roman"/>
        </w:rPr>
        <w:t>00</w:t>
      </w:r>
      <w:r w:rsidR="00566B16" w:rsidRPr="00F23F57">
        <w:rPr>
          <w:rFonts w:ascii="Times New Roman"/>
        </w:rPr>
        <w:t xml:space="preserve">%, </w:t>
      </w:r>
      <w:r w:rsidR="00FF55D9" w:rsidRPr="00F23F57">
        <w:rPr>
          <w:rFonts w:ascii="Times New Roman"/>
        </w:rPr>
        <w:t xml:space="preserve">a </w:t>
      </w:r>
      <w:r w:rsidR="00DD3AE9">
        <w:rPr>
          <w:rFonts w:ascii="Times New Roman"/>
        </w:rPr>
        <w:t>de</w:t>
      </w:r>
      <w:r w:rsidR="008A61AA" w:rsidRPr="00F23F57">
        <w:rPr>
          <w:rFonts w:ascii="Times New Roman"/>
        </w:rPr>
        <w:t>crease</w:t>
      </w:r>
      <w:r w:rsidR="00566B16" w:rsidRPr="00F23F57">
        <w:rPr>
          <w:rFonts w:ascii="Times New Roman"/>
        </w:rPr>
        <w:t xml:space="preserve"> of </w:t>
      </w:r>
      <w:r w:rsidR="0017299B">
        <w:rPr>
          <w:rFonts w:ascii="Times New Roman" w:hint="eastAsia"/>
        </w:rPr>
        <w:t>6.</w:t>
      </w:r>
      <w:r w:rsidR="0017299B">
        <w:rPr>
          <w:rFonts w:ascii="Times New Roman"/>
        </w:rPr>
        <w:t>23</w:t>
      </w:r>
      <w:r w:rsidR="005C5935" w:rsidRPr="00F23F57">
        <w:rPr>
          <w:rFonts w:ascii="Times New Roman"/>
        </w:rPr>
        <w:t xml:space="preserve">% over </w:t>
      </w:r>
      <w:r w:rsidR="00FF55D9" w:rsidRPr="00F23F57">
        <w:rPr>
          <w:rFonts w:ascii="Times New Roman"/>
        </w:rPr>
        <w:t>201</w:t>
      </w:r>
      <w:r w:rsidR="00DD3AE9">
        <w:rPr>
          <w:rFonts w:ascii="Times New Roman"/>
        </w:rPr>
        <w:t>9</w:t>
      </w:r>
      <w:r w:rsidR="00566B16" w:rsidRPr="00F23F57">
        <w:rPr>
          <w:rFonts w:ascii="Times New Roman"/>
        </w:rPr>
        <w:t xml:space="preserve">; </w:t>
      </w:r>
      <w:r w:rsidR="00465C65">
        <w:rPr>
          <w:rFonts w:ascii="Times New Roman"/>
        </w:rPr>
        <w:t xml:space="preserve">crude </w:t>
      </w:r>
      <w:r w:rsidR="00566B16" w:rsidRPr="00F23F57">
        <w:rPr>
          <w:rFonts w:ascii="Times New Roman"/>
        </w:rPr>
        <w:t>oil</w:t>
      </w:r>
      <w:r w:rsidR="00465C65">
        <w:rPr>
          <w:rFonts w:ascii="Times New Roman"/>
        </w:rPr>
        <w:t xml:space="preserve"> &amp; petroleum products</w:t>
      </w:r>
      <w:r w:rsidR="00566B16" w:rsidRPr="00F23F57">
        <w:rPr>
          <w:rFonts w:ascii="Times New Roman"/>
        </w:rPr>
        <w:t xml:space="preserve"> con</w:t>
      </w:r>
      <w:r w:rsidR="00576193" w:rsidRPr="00F23F57">
        <w:rPr>
          <w:rFonts w:ascii="Times New Roman"/>
        </w:rPr>
        <w:t>tr</w:t>
      </w:r>
      <w:r w:rsidR="00566B16" w:rsidRPr="00F23F57">
        <w:rPr>
          <w:rFonts w:ascii="Times New Roman"/>
        </w:rPr>
        <w:t>i</w:t>
      </w:r>
      <w:r w:rsidR="00576193" w:rsidRPr="00F23F57">
        <w:rPr>
          <w:rFonts w:ascii="Times New Roman"/>
        </w:rPr>
        <w:t>b</w:t>
      </w:r>
      <w:r w:rsidR="00566B16" w:rsidRPr="00F23F57">
        <w:rPr>
          <w:rFonts w:ascii="Times New Roman"/>
        </w:rPr>
        <w:t xml:space="preserve">uted </w:t>
      </w:r>
      <w:r w:rsidR="0017299B">
        <w:rPr>
          <w:rFonts w:ascii="Times New Roman" w:hint="eastAsia"/>
        </w:rPr>
        <w:t>4</w:t>
      </w:r>
      <w:r w:rsidR="0017299B">
        <w:rPr>
          <w:rFonts w:ascii="Times New Roman"/>
        </w:rPr>
        <w:t>4</w:t>
      </w:r>
      <w:r w:rsidR="0017299B">
        <w:rPr>
          <w:rFonts w:ascii="Times New Roman" w:hint="eastAsia"/>
        </w:rPr>
        <w:t>.</w:t>
      </w:r>
      <w:r w:rsidR="0017299B">
        <w:rPr>
          <w:rFonts w:ascii="Times New Roman"/>
        </w:rPr>
        <w:t>17</w:t>
      </w:r>
      <w:r w:rsidR="00566B16" w:rsidRPr="00F23F57">
        <w:rPr>
          <w:rFonts w:ascii="Times New Roman"/>
        </w:rPr>
        <w:t xml:space="preserve">% which was a </w:t>
      </w:r>
      <w:r w:rsidR="0017299B">
        <w:rPr>
          <w:rFonts w:ascii="Times New Roman" w:hint="eastAsia"/>
        </w:rPr>
        <w:t>12.</w:t>
      </w:r>
      <w:r w:rsidR="0017299B">
        <w:rPr>
          <w:rFonts w:ascii="Times New Roman"/>
        </w:rPr>
        <w:t>14</w:t>
      </w:r>
      <w:r w:rsidR="00566B16" w:rsidRPr="00F23F57">
        <w:rPr>
          <w:rFonts w:ascii="Times New Roman"/>
        </w:rPr>
        <w:t xml:space="preserve">% </w:t>
      </w:r>
      <w:r w:rsidR="00B64A53">
        <w:rPr>
          <w:rFonts w:ascii="Times New Roman"/>
        </w:rPr>
        <w:t>de</w:t>
      </w:r>
      <w:r w:rsidR="00566B16" w:rsidRPr="00F23F57">
        <w:rPr>
          <w:rFonts w:ascii="Times New Roman"/>
        </w:rPr>
        <w:t xml:space="preserve">crease; natural gas shared </w:t>
      </w:r>
      <w:r w:rsidR="0017299B">
        <w:rPr>
          <w:rFonts w:ascii="Times New Roman" w:hint="eastAsia"/>
        </w:rPr>
        <w:t>1</w:t>
      </w:r>
      <w:r w:rsidR="0017299B">
        <w:rPr>
          <w:rFonts w:ascii="Times New Roman"/>
        </w:rPr>
        <w:t>7</w:t>
      </w:r>
      <w:r w:rsidR="0017299B">
        <w:rPr>
          <w:rFonts w:ascii="Times New Roman" w:hint="eastAsia"/>
        </w:rPr>
        <w:t>.</w:t>
      </w:r>
      <w:r w:rsidR="0017299B">
        <w:rPr>
          <w:rFonts w:ascii="Times New Roman"/>
        </w:rPr>
        <w:t>1</w:t>
      </w:r>
      <w:r w:rsidR="0017299B">
        <w:rPr>
          <w:rFonts w:ascii="Times New Roman" w:hint="eastAsia"/>
        </w:rPr>
        <w:t>7</w:t>
      </w:r>
      <w:r w:rsidR="00566B16" w:rsidRPr="00F23F57">
        <w:rPr>
          <w:rFonts w:ascii="Times New Roman"/>
        </w:rPr>
        <w:t xml:space="preserve">%, marking a </w:t>
      </w:r>
      <w:r w:rsidR="0017299B">
        <w:rPr>
          <w:rFonts w:ascii="Times New Roman"/>
        </w:rPr>
        <w:t>6</w:t>
      </w:r>
      <w:r w:rsidR="0017299B" w:rsidRPr="00F23F57">
        <w:rPr>
          <w:rFonts w:ascii="Times New Roman"/>
        </w:rPr>
        <w:t>.</w:t>
      </w:r>
      <w:r w:rsidR="0017299B">
        <w:rPr>
          <w:rFonts w:ascii="Times New Roman"/>
        </w:rPr>
        <w:t>98</w:t>
      </w:r>
      <w:r w:rsidR="005C5935" w:rsidRPr="00F23F57">
        <w:rPr>
          <w:rFonts w:ascii="Times New Roman"/>
        </w:rPr>
        <w:t xml:space="preserve">% </w:t>
      </w:r>
      <w:r w:rsidR="00DD3AE9">
        <w:rPr>
          <w:rFonts w:ascii="Times New Roman"/>
        </w:rPr>
        <w:t>in</w:t>
      </w:r>
      <w:r w:rsidR="005C5935" w:rsidRPr="00F23F57">
        <w:rPr>
          <w:rFonts w:ascii="Times New Roman"/>
        </w:rPr>
        <w:t>crease;</w:t>
      </w:r>
      <w:r w:rsidR="0095546F" w:rsidRPr="00F23F57">
        <w:rPr>
          <w:rFonts w:ascii="Times New Roman"/>
        </w:rPr>
        <w:t xml:space="preserve"> Biomass and Waste constituted </w:t>
      </w:r>
      <w:r w:rsidR="0017299B" w:rsidRPr="00F23F57">
        <w:rPr>
          <w:rFonts w:ascii="Times New Roman"/>
        </w:rPr>
        <w:t>1.</w:t>
      </w:r>
      <w:r w:rsidR="0017299B">
        <w:rPr>
          <w:rFonts w:ascii="Times New Roman"/>
        </w:rPr>
        <w:t>21</w:t>
      </w:r>
      <w:r w:rsidR="0095546F" w:rsidRPr="00F23F57">
        <w:rPr>
          <w:rFonts w:ascii="Times New Roman"/>
        </w:rPr>
        <w:t>%</w:t>
      </w:r>
      <w:r w:rsidR="00DD3AE9">
        <w:rPr>
          <w:rFonts w:ascii="Times New Roman"/>
        </w:rPr>
        <w:t>,</w:t>
      </w:r>
      <w:r w:rsidR="0095546F" w:rsidRPr="00F23F57">
        <w:rPr>
          <w:rFonts w:ascii="Times New Roman"/>
        </w:rPr>
        <w:t xml:space="preserve"> a </w:t>
      </w:r>
      <w:r w:rsidR="00DD3AE9">
        <w:rPr>
          <w:rFonts w:ascii="Times New Roman"/>
        </w:rPr>
        <w:t>de</w:t>
      </w:r>
      <w:r w:rsidR="0095546F" w:rsidRPr="00F23F57">
        <w:rPr>
          <w:rFonts w:ascii="Times New Roman"/>
        </w:rPr>
        <w:t xml:space="preserve">crease of </w:t>
      </w:r>
      <w:r w:rsidR="0017299B">
        <w:rPr>
          <w:rFonts w:ascii="Times New Roman" w:hint="eastAsia"/>
        </w:rPr>
        <w:t>1.</w:t>
      </w:r>
      <w:r w:rsidR="0017299B">
        <w:rPr>
          <w:rFonts w:ascii="Times New Roman"/>
        </w:rPr>
        <w:t>19</w:t>
      </w:r>
      <w:r w:rsidR="0095546F" w:rsidRPr="00F23F57">
        <w:rPr>
          <w:rFonts w:ascii="Times New Roman"/>
        </w:rPr>
        <w:t>% over 201</w:t>
      </w:r>
      <w:r w:rsidR="00DD3AE9">
        <w:rPr>
          <w:rFonts w:ascii="Times New Roman"/>
        </w:rPr>
        <w:t>9</w:t>
      </w:r>
      <w:r w:rsidR="0095546F" w:rsidRPr="00F23F57">
        <w:rPr>
          <w:rFonts w:ascii="Times New Roman"/>
        </w:rPr>
        <w:t xml:space="preserve">; Nuclear constituted </w:t>
      </w:r>
      <w:r w:rsidR="0017299B">
        <w:rPr>
          <w:rFonts w:ascii="Times New Roman" w:hint="eastAsia"/>
        </w:rPr>
        <w:t>6.</w:t>
      </w:r>
      <w:r w:rsidR="0017299B">
        <w:rPr>
          <w:rFonts w:ascii="Times New Roman"/>
        </w:rPr>
        <w:t>57</w:t>
      </w:r>
      <w:r w:rsidR="0095546F" w:rsidRPr="00F23F57">
        <w:rPr>
          <w:rFonts w:ascii="Times New Roman"/>
        </w:rPr>
        <w:t xml:space="preserve">%, a </w:t>
      </w:r>
      <w:r w:rsidR="0017299B">
        <w:rPr>
          <w:rFonts w:ascii="Times New Roman" w:hint="eastAsia"/>
        </w:rPr>
        <w:t>2.7</w:t>
      </w:r>
      <w:r w:rsidR="0017299B">
        <w:rPr>
          <w:rFonts w:ascii="Times New Roman"/>
        </w:rPr>
        <w:t>3</w:t>
      </w:r>
      <w:r w:rsidR="0095546F" w:rsidRPr="00F23F57">
        <w:rPr>
          <w:rFonts w:ascii="Times New Roman"/>
        </w:rPr>
        <w:t xml:space="preserve">% </w:t>
      </w:r>
      <w:r w:rsidR="00DD3AE9">
        <w:rPr>
          <w:rFonts w:ascii="Times New Roman"/>
        </w:rPr>
        <w:t>de</w:t>
      </w:r>
      <w:r w:rsidR="0095546F" w:rsidRPr="00F23F57">
        <w:rPr>
          <w:rFonts w:ascii="Times New Roman"/>
        </w:rPr>
        <w:t>crease over 201</w:t>
      </w:r>
      <w:r w:rsidR="00DD3AE9">
        <w:rPr>
          <w:rFonts w:ascii="Times New Roman"/>
        </w:rPr>
        <w:t>9</w:t>
      </w:r>
      <w:r w:rsidR="0095546F" w:rsidRPr="00F23F57">
        <w:rPr>
          <w:rFonts w:ascii="Times New Roman"/>
        </w:rPr>
        <w:t>;</w:t>
      </w:r>
      <w:r w:rsidR="0095546F" w:rsidRPr="00F23F57">
        <w:rPr>
          <w:rFonts w:ascii="Times New Roman" w:hint="eastAsia"/>
        </w:rPr>
        <w:t xml:space="preserve"> </w:t>
      </w:r>
      <w:r w:rsidR="005C5935" w:rsidRPr="00F23F57">
        <w:rPr>
          <w:rFonts w:ascii="Times New Roman"/>
        </w:rPr>
        <w:t>h</w:t>
      </w:r>
      <w:r w:rsidR="00566B16" w:rsidRPr="00F23F57">
        <w:rPr>
          <w:rFonts w:ascii="Times New Roman"/>
        </w:rPr>
        <w:t xml:space="preserve">ydro </w:t>
      </w:r>
      <w:r w:rsidR="00FF55D9" w:rsidRPr="00F23F57">
        <w:rPr>
          <w:rFonts w:ascii="Times New Roman"/>
        </w:rPr>
        <w:t xml:space="preserve">provided </w:t>
      </w:r>
      <w:r w:rsidR="0017299B" w:rsidRPr="00F23F57">
        <w:rPr>
          <w:rFonts w:ascii="Times New Roman"/>
        </w:rPr>
        <w:t>0.</w:t>
      </w:r>
      <w:r w:rsidR="0017299B">
        <w:rPr>
          <w:rFonts w:ascii="Times New Roman"/>
        </w:rPr>
        <w:t>21</w:t>
      </w:r>
      <w:r w:rsidR="00ED2154" w:rsidRPr="00F23F57">
        <w:rPr>
          <w:rFonts w:ascii="Times New Roman"/>
        </w:rPr>
        <w:t xml:space="preserve">%, </w:t>
      </w:r>
      <w:r w:rsidR="00DD3AE9">
        <w:rPr>
          <w:rFonts w:ascii="Times New Roman"/>
        </w:rPr>
        <w:t>a</w:t>
      </w:r>
      <w:r w:rsidR="00FF55D9" w:rsidRPr="00F23F57">
        <w:rPr>
          <w:rFonts w:ascii="Times New Roman"/>
        </w:rPr>
        <w:t xml:space="preserve"> </w:t>
      </w:r>
      <w:r w:rsidR="00DD3AE9">
        <w:rPr>
          <w:rFonts w:ascii="Times New Roman"/>
        </w:rPr>
        <w:t>de</w:t>
      </w:r>
      <w:r w:rsidR="008A61AA" w:rsidRPr="00F23F57">
        <w:rPr>
          <w:rFonts w:ascii="Times New Roman"/>
        </w:rPr>
        <w:t>crease</w:t>
      </w:r>
      <w:r w:rsidR="00ED2154" w:rsidRPr="00F23F57">
        <w:rPr>
          <w:rFonts w:ascii="Times New Roman"/>
        </w:rPr>
        <w:t xml:space="preserve"> of </w:t>
      </w:r>
      <w:r w:rsidR="0017299B">
        <w:rPr>
          <w:rFonts w:ascii="Times New Roman" w:hint="eastAsia"/>
        </w:rPr>
        <w:t>4</w:t>
      </w:r>
      <w:r w:rsidR="0017299B">
        <w:rPr>
          <w:rFonts w:ascii="Times New Roman"/>
        </w:rPr>
        <w:t>5</w:t>
      </w:r>
      <w:r w:rsidR="0017299B">
        <w:rPr>
          <w:rFonts w:ascii="Times New Roman" w:hint="eastAsia"/>
        </w:rPr>
        <w:t>.</w:t>
      </w:r>
      <w:r w:rsidR="0017299B">
        <w:rPr>
          <w:rFonts w:ascii="Times New Roman"/>
        </w:rPr>
        <w:t>55</w:t>
      </w:r>
      <w:r w:rsidR="005C5935" w:rsidRPr="00F23F57">
        <w:rPr>
          <w:rFonts w:ascii="Times New Roman"/>
        </w:rPr>
        <w:t>% over the previous year;</w:t>
      </w:r>
      <w:r w:rsidR="0095546F" w:rsidRPr="00F23F57">
        <w:rPr>
          <w:rFonts w:ascii="Times New Roman" w:hint="eastAsia"/>
        </w:rPr>
        <w:t xml:space="preserve"> </w:t>
      </w:r>
      <w:r w:rsidR="005C5935" w:rsidRPr="00F23F57">
        <w:rPr>
          <w:rFonts w:ascii="Times New Roman"/>
        </w:rPr>
        <w:t>Solar</w:t>
      </w:r>
      <w:r w:rsidR="008A61AA" w:rsidRPr="00F23F57">
        <w:rPr>
          <w:rFonts w:ascii="Times New Roman"/>
        </w:rPr>
        <w:t xml:space="preserve"> PV and Wind</w:t>
      </w:r>
      <w:r w:rsidR="005C5935" w:rsidRPr="00F23F57">
        <w:rPr>
          <w:rFonts w:ascii="Times New Roman"/>
        </w:rPr>
        <w:t xml:space="preserve"> </w:t>
      </w:r>
      <w:r w:rsidR="004204BD" w:rsidRPr="00F23F57">
        <w:rPr>
          <w:rFonts w:ascii="Times New Roman"/>
        </w:rPr>
        <w:t xml:space="preserve">constituted </w:t>
      </w:r>
      <w:r w:rsidR="0017299B" w:rsidRPr="00F23F57">
        <w:rPr>
          <w:rFonts w:ascii="Times New Roman"/>
        </w:rPr>
        <w:t>0.</w:t>
      </w:r>
      <w:r w:rsidR="0017299B">
        <w:rPr>
          <w:rFonts w:ascii="Times New Roman" w:hint="eastAsia"/>
        </w:rPr>
        <w:t>5</w:t>
      </w:r>
      <w:r w:rsidR="0017299B">
        <w:rPr>
          <w:rFonts w:ascii="Times New Roman"/>
        </w:rPr>
        <w:t>9</w:t>
      </w:r>
      <w:r w:rsidR="004204BD" w:rsidRPr="00F23F57">
        <w:rPr>
          <w:rFonts w:ascii="Times New Roman"/>
        </w:rPr>
        <w:t xml:space="preserve">%, an increase of </w:t>
      </w:r>
      <w:r w:rsidR="0017299B">
        <w:rPr>
          <w:rFonts w:ascii="Times New Roman" w:hint="eastAsia"/>
        </w:rPr>
        <w:t>4</w:t>
      </w:r>
      <w:r w:rsidR="0017299B">
        <w:rPr>
          <w:rFonts w:ascii="Times New Roman"/>
        </w:rPr>
        <w:t>4</w:t>
      </w:r>
      <w:r w:rsidR="0017299B">
        <w:rPr>
          <w:rFonts w:ascii="Times New Roman" w:hint="eastAsia"/>
        </w:rPr>
        <w:t>.</w:t>
      </w:r>
      <w:r w:rsidR="0017299B">
        <w:rPr>
          <w:rFonts w:ascii="Times New Roman"/>
        </w:rPr>
        <w:t>53</w:t>
      </w:r>
      <w:r w:rsidR="005C5935" w:rsidRPr="00F23F57">
        <w:rPr>
          <w:rFonts w:ascii="Times New Roman"/>
        </w:rPr>
        <w:t>% over the previous year;</w:t>
      </w:r>
      <w:r w:rsidR="009739F7" w:rsidRPr="00F23F57">
        <w:rPr>
          <w:rFonts w:ascii="Times New Roman"/>
        </w:rPr>
        <w:t xml:space="preserve"> </w:t>
      </w:r>
      <w:r w:rsidR="0095546F" w:rsidRPr="00F23F57">
        <w:rPr>
          <w:rFonts w:ascii="Times New Roman"/>
        </w:rPr>
        <w:t xml:space="preserve">Solar Thermal constituted </w:t>
      </w:r>
      <w:r w:rsidR="0017299B" w:rsidRPr="00F23F57">
        <w:rPr>
          <w:rFonts w:ascii="Times New Roman"/>
        </w:rPr>
        <w:t>0.0</w:t>
      </w:r>
      <w:r w:rsidR="0017299B">
        <w:rPr>
          <w:rFonts w:ascii="Times New Roman"/>
        </w:rPr>
        <w:t>8</w:t>
      </w:r>
      <w:r w:rsidR="004204BD" w:rsidRPr="00F23F57">
        <w:rPr>
          <w:rFonts w:ascii="Times New Roman"/>
        </w:rPr>
        <w:t>%, a</w:t>
      </w:r>
      <w:r w:rsidR="00DD3AE9">
        <w:rPr>
          <w:rFonts w:ascii="Times New Roman"/>
        </w:rPr>
        <w:t>n</w:t>
      </w:r>
      <w:r w:rsidR="004204BD" w:rsidRPr="00F23F57">
        <w:rPr>
          <w:rFonts w:ascii="Times New Roman"/>
        </w:rPr>
        <w:t xml:space="preserve"> </w:t>
      </w:r>
      <w:r w:rsidR="00DD3AE9">
        <w:rPr>
          <w:rFonts w:ascii="Times New Roman"/>
        </w:rPr>
        <w:t>in</w:t>
      </w:r>
      <w:r w:rsidR="009739F7" w:rsidRPr="00F23F57">
        <w:rPr>
          <w:rFonts w:ascii="Times New Roman"/>
        </w:rPr>
        <w:t>crease o</w:t>
      </w:r>
      <w:r w:rsidR="004204BD" w:rsidRPr="00F23F57">
        <w:rPr>
          <w:rFonts w:ascii="Times New Roman"/>
        </w:rPr>
        <w:t xml:space="preserve">f </w:t>
      </w:r>
      <w:r w:rsidR="0017299B">
        <w:rPr>
          <w:rFonts w:ascii="Times New Roman" w:hint="eastAsia"/>
        </w:rPr>
        <w:t>3.3</w:t>
      </w:r>
      <w:r w:rsidR="0017299B">
        <w:rPr>
          <w:rFonts w:ascii="Times New Roman"/>
        </w:rPr>
        <w:t>4</w:t>
      </w:r>
      <w:r w:rsidR="0095546F" w:rsidRPr="00F23F57">
        <w:rPr>
          <w:rFonts w:ascii="Times New Roman"/>
        </w:rPr>
        <w:t>% over the previous year</w:t>
      </w:r>
      <w:r w:rsidR="005C5935" w:rsidRPr="00F23F57">
        <w:rPr>
          <w:rFonts w:ascii="Times New Roman"/>
        </w:rPr>
        <w:t>.</w:t>
      </w:r>
    </w:p>
    <w:p w14:paraId="7944C7C1" w14:textId="1E95B430" w:rsidR="005C5935" w:rsidRPr="00F23F57" w:rsidRDefault="005C5935" w:rsidP="005C5935">
      <w:pPr>
        <w:autoSpaceDE w:val="0"/>
        <w:autoSpaceDN w:val="0"/>
        <w:adjustRightInd w:val="0"/>
        <w:snapToGrid w:val="0"/>
        <w:spacing w:line="420" w:lineRule="exact"/>
        <w:ind w:left="468" w:hanging="240"/>
        <w:jc w:val="both"/>
      </w:pPr>
      <w:r w:rsidRPr="00F23F57">
        <w:t xml:space="preserve">2.The domestic </w:t>
      </w:r>
      <w:r w:rsidR="00341321">
        <w:t>energy</w:t>
      </w:r>
      <w:r w:rsidR="00AB7A48" w:rsidRPr="00F23F57">
        <w:t xml:space="preserve"> consumption in </w:t>
      </w:r>
      <w:r w:rsidR="00C154DF" w:rsidRPr="00F23F57">
        <w:t>20</w:t>
      </w:r>
      <w:r w:rsidR="00DD3AE9">
        <w:t>20</w:t>
      </w:r>
      <w:r w:rsidRPr="00F23F57">
        <w:t xml:space="preserve"> was </w:t>
      </w:r>
      <w:r w:rsidR="0017299B">
        <w:t>85,400.1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</w:t>
      </w:r>
      <w:r w:rsidR="00B64A53" w:rsidRPr="00F23F57">
        <w:t>KLOEs</w:t>
      </w:r>
      <w:r w:rsidRPr="00F23F57">
        <w:t>, marking a</w:t>
      </w:r>
      <w:r w:rsidR="00DD3AE9">
        <w:t>n</w:t>
      </w:r>
      <w:r w:rsidR="00AB7A48" w:rsidRPr="00F23F57">
        <w:t xml:space="preserve"> </w:t>
      </w:r>
      <w:r w:rsidR="00DD3AE9">
        <w:t>in</w:t>
      </w:r>
      <w:r w:rsidR="00AB7A48" w:rsidRPr="00F23F57">
        <w:t xml:space="preserve">crease of </w:t>
      </w:r>
      <w:r w:rsidR="0017299B">
        <w:rPr>
          <w:rFonts w:hint="eastAsia"/>
        </w:rPr>
        <w:t>0.4</w:t>
      </w:r>
      <w:r w:rsidR="0017299B">
        <w:t>6</w:t>
      </w:r>
      <w:r w:rsidRPr="00F23F57">
        <w:t xml:space="preserve">% over the </w:t>
      </w:r>
      <w:r w:rsidR="0017299B">
        <w:t>85,009.2</w:t>
      </w:r>
      <w:r w:rsidRPr="00F23F57">
        <w:t xml:space="preserve"> 10</w:t>
      </w:r>
      <w:r w:rsidRPr="00F23F57">
        <w:rPr>
          <w:vertAlign w:val="superscript"/>
        </w:rPr>
        <w:t>3</w:t>
      </w:r>
      <w:r w:rsidR="00AB7A48" w:rsidRPr="00F23F57">
        <w:t xml:space="preserve"> KLOEs of </w:t>
      </w:r>
      <w:r w:rsidR="00C154DF" w:rsidRPr="00F23F57">
        <w:t>201</w:t>
      </w:r>
      <w:r w:rsidR="00DD3AE9">
        <w:t>9</w:t>
      </w:r>
      <w:r w:rsidRPr="00F23F57">
        <w:t>. Of this total, combustible fuels consumed</w:t>
      </w:r>
      <w:r w:rsidR="00112DBB" w:rsidRPr="00F23F57">
        <w:t xml:space="preserve"> </w:t>
      </w:r>
      <w:r w:rsidR="0017299B">
        <w:t>53,906.0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KLOEs, or </w:t>
      </w:r>
      <w:r w:rsidR="0017299B">
        <w:t>63.12</w:t>
      </w:r>
      <w:r w:rsidR="00FA6EE1" w:rsidRPr="00F23F57">
        <w:t>%, which was a</w:t>
      </w:r>
      <w:r w:rsidR="00DD3AE9">
        <w:t>n</w:t>
      </w:r>
      <w:r w:rsidR="00FA6EE1" w:rsidRPr="00F23F57">
        <w:t xml:space="preserve"> </w:t>
      </w:r>
      <w:r w:rsidR="0017299B">
        <w:t>0.90</w:t>
      </w:r>
      <w:r w:rsidRPr="00F23F57">
        <w:t xml:space="preserve">% </w:t>
      </w:r>
      <w:r w:rsidR="00DD3AE9">
        <w:t>in</w:t>
      </w:r>
      <w:r w:rsidRPr="00F23F57">
        <w:t xml:space="preserve">crease over </w:t>
      </w:r>
      <w:r w:rsidR="00C154DF" w:rsidRPr="00F23F57">
        <w:t>201</w:t>
      </w:r>
      <w:r w:rsidR="00DD3AE9">
        <w:t>9</w:t>
      </w:r>
      <w:r w:rsidRPr="00F23F57">
        <w:t>. Classified by forms of energy, coal</w:t>
      </w:r>
      <w:r w:rsidR="00FA6EE1" w:rsidRPr="00F23F57">
        <w:t xml:space="preserve"> and coal products contributed </w:t>
      </w:r>
      <w:r w:rsidR="0017299B" w:rsidRPr="00711D0C">
        <w:t>8.22</w:t>
      </w:r>
      <w:r w:rsidR="00FA6EE1" w:rsidRPr="00F23F57">
        <w:t>%, which was a</w:t>
      </w:r>
      <w:r w:rsidRPr="00F23F57">
        <w:t xml:space="preserve"> </w:t>
      </w:r>
      <w:r w:rsidR="0017299B">
        <w:rPr>
          <w:rFonts w:hint="eastAsia"/>
        </w:rPr>
        <w:t>2</w:t>
      </w:r>
      <w:r w:rsidR="0017299B">
        <w:t>.87</w:t>
      </w:r>
      <w:r w:rsidR="00FA6EE1" w:rsidRPr="00F23F57">
        <w:t>% de</w:t>
      </w:r>
      <w:r w:rsidRPr="00F23F57">
        <w:t xml:space="preserve">crease over </w:t>
      </w:r>
      <w:r w:rsidR="00C154DF" w:rsidRPr="00F23F57">
        <w:t>201</w:t>
      </w:r>
      <w:r w:rsidR="00DD3AE9">
        <w:t>9</w:t>
      </w:r>
      <w:r w:rsidRPr="00F23F57">
        <w:t>; petr</w:t>
      </w:r>
      <w:r w:rsidR="00FA6EE1" w:rsidRPr="00F23F57">
        <w:t xml:space="preserve">oleum products constituted </w:t>
      </w:r>
      <w:r w:rsidR="0017299B">
        <w:t>51.86</w:t>
      </w:r>
      <w:r w:rsidR="00FA6EE1" w:rsidRPr="00F23F57">
        <w:t xml:space="preserve">%, which was a </w:t>
      </w:r>
      <w:r w:rsidR="0017299B">
        <w:rPr>
          <w:rFonts w:hint="eastAsia"/>
        </w:rPr>
        <w:t>0</w:t>
      </w:r>
      <w:r w:rsidR="0017299B">
        <w:t>.63</w:t>
      </w:r>
      <w:r w:rsidR="00C154DF" w:rsidRPr="00F23F57">
        <w:t xml:space="preserve">% </w:t>
      </w:r>
      <w:r w:rsidR="003F45CE">
        <w:t>de</w:t>
      </w:r>
      <w:r w:rsidRPr="00F23F57">
        <w:t>crea</w:t>
      </w:r>
      <w:r w:rsidR="00FA6EE1" w:rsidRPr="00F23F57">
        <w:t xml:space="preserve">se; natural gas constituted </w:t>
      </w:r>
      <w:r w:rsidR="0017299B">
        <w:rPr>
          <w:rFonts w:hint="eastAsia"/>
        </w:rPr>
        <w:t>6</w:t>
      </w:r>
      <w:r w:rsidR="0017299B">
        <w:t>.01</w:t>
      </w:r>
      <w:r w:rsidR="00FA6EE1" w:rsidRPr="00F23F57">
        <w:t xml:space="preserve">%, which was an </w:t>
      </w:r>
      <w:r w:rsidR="0017299B">
        <w:rPr>
          <w:rFonts w:hint="eastAsia"/>
        </w:rPr>
        <w:t>6</w:t>
      </w:r>
      <w:r w:rsidR="0017299B">
        <w:t>.40</w:t>
      </w:r>
      <w:r w:rsidRPr="00F23F57">
        <w:t>% increase; bi</w:t>
      </w:r>
      <w:r w:rsidR="00FA6EE1" w:rsidRPr="00F23F57">
        <w:t xml:space="preserve">omass and waste constituted </w:t>
      </w:r>
      <w:r w:rsidR="0017299B">
        <w:t>0.50</w:t>
      </w:r>
      <w:r w:rsidR="00FA6EE1" w:rsidRPr="00F23F57">
        <w:t xml:space="preserve">%, which was a </w:t>
      </w:r>
      <w:r w:rsidR="0017299B">
        <w:rPr>
          <w:rFonts w:hint="eastAsia"/>
        </w:rPr>
        <w:t>0</w:t>
      </w:r>
      <w:r w:rsidR="0017299B">
        <w:t>.02</w:t>
      </w:r>
      <w:r w:rsidR="0022098D" w:rsidRPr="00F23F57">
        <w:t xml:space="preserve">% </w:t>
      </w:r>
      <w:r w:rsidR="003F45CE">
        <w:t>de</w:t>
      </w:r>
      <w:r w:rsidRPr="00F23F57">
        <w:t>creas</w:t>
      </w:r>
      <w:r w:rsidR="00FA6EE1" w:rsidRPr="00F23F57">
        <w:t xml:space="preserve">e; electricity constituted </w:t>
      </w:r>
      <w:r w:rsidR="0017299B">
        <w:t>30</w:t>
      </w:r>
      <w:r w:rsidR="0017299B">
        <w:rPr>
          <w:rFonts w:hint="eastAsia"/>
        </w:rPr>
        <w:t>.</w:t>
      </w:r>
      <w:r w:rsidR="0017299B">
        <w:t>35</w:t>
      </w:r>
      <w:r w:rsidRPr="00F23F57">
        <w:t>%, marking a</w:t>
      </w:r>
      <w:r w:rsidR="00FA6EE1" w:rsidRPr="00F23F57">
        <w:t xml:space="preserve">n </w:t>
      </w:r>
      <w:r w:rsidR="00DD3AE9">
        <w:t>in</w:t>
      </w:r>
      <w:r w:rsidR="004236B9" w:rsidRPr="00F23F57">
        <w:t xml:space="preserve">crease of </w:t>
      </w:r>
      <w:r w:rsidR="0017299B">
        <w:t>2</w:t>
      </w:r>
      <w:r w:rsidR="0017299B">
        <w:rPr>
          <w:rFonts w:hint="eastAsia"/>
        </w:rPr>
        <w:t>.</w:t>
      </w:r>
      <w:r w:rsidR="0017299B">
        <w:t>08</w:t>
      </w:r>
      <w:r w:rsidRPr="00F23F57">
        <w:t xml:space="preserve">%; solar thermal constituted </w:t>
      </w:r>
      <w:r w:rsidR="0017299B">
        <w:rPr>
          <w:rFonts w:hint="eastAsia"/>
        </w:rPr>
        <w:t>0.12</w:t>
      </w:r>
      <w:r w:rsidRPr="00F23F57">
        <w:t>%, a</w:t>
      </w:r>
      <w:r w:rsidR="00DD3AE9">
        <w:t>n</w:t>
      </w:r>
      <w:r w:rsidR="003A64FD" w:rsidRPr="00F23F57">
        <w:t xml:space="preserve"> </w:t>
      </w:r>
      <w:r w:rsidR="00DD3AE9">
        <w:t>in</w:t>
      </w:r>
      <w:r w:rsidR="003A64FD" w:rsidRPr="00F23F57">
        <w:t xml:space="preserve">crease of </w:t>
      </w:r>
      <w:r w:rsidR="0017299B">
        <w:rPr>
          <w:rFonts w:hint="eastAsia"/>
        </w:rPr>
        <w:t>3.3</w:t>
      </w:r>
      <w:r w:rsidR="0017299B">
        <w:t>4</w:t>
      </w:r>
      <w:r w:rsidRPr="00F23F57">
        <w:t xml:space="preserve">%; heat constituted </w:t>
      </w:r>
      <w:r w:rsidR="0017299B">
        <w:rPr>
          <w:rFonts w:hint="eastAsia"/>
        </w:rPr>
        <w:t>2.9</w:t>
      </w:r>
      <w:r w:rsidR="0017299B">
        <w:t>3</w:t>
      </w:r>
      <w:r w:rsidRPr="00F23F57">
        <w:t>%, a</w:t>
      </w:r>
      <w:r w:rsidR="00E7332C">
        <w:t>n</w:t>
      </w:r>
      <w:r w:rsidR="003A64FD" w:rsidRPr="00F23F57">
        <w:t xml:space="preserve"> </w:t>
      </w:r>
      <w:r w:rsidR="00E7332C">
        <w:t>in</w:t>
      </w:r>
      <w:r w:rsidRPr="00F23F57">
        <w:t xml:space="preserve">crease of </w:t>
      </w:r>
      <w:r w:rsidR="0017299B">
        <w:t>1</w:t>
      </w:r>
      <w:r w:rsidR="0017299B">
        <w:rPr>
          <w:rFonts w:hint="eastAsia"/>
        </w:rPr>
        <w:t>.</w:t>
      </w:r>
      <w:r w:rsidR="0017299B">
        <w:t>50</w:t>
      </w:r>
      <w:r w:rsidRPr="00F23F57">
        <w:t xml:space="preserve">%. When classified by sector, the final consumption of energy for each sector in </w:t>
      </w:r>
      <w:r w:rsidR="0022098D" w:rsidRPr="00F23F57">
        <w:t>20</w:t>
      </w:r>
      <w:r w:rsidR="00E7332C">
        <w:t>20</w:t>
      </w:r>
      <w:r w:rsidRPr="00F23F57">
        <w:t xml:space="preserve"> and its comparison with that of </w:t>
      </w:r>
      <w:r w:rsidR="0022098D" w:rsidRPr="00F23F57">
        <w:t>20</w:t>
      </w:r>
      <w:r w:rsidR="00E7332C">
        <w:t>19</w:t>
      </w:r>
      <w:r w:rsidRPr="00F23F57">
        <w:t xml:space="preserve"> were as follows: the ene</w:t>
      </w:r>
      <w:r w:rsidR="003A64FD" w:rsidRPr="00F23F57">
        <w:t xml:space="preserve">rgy sector own use consumed </w:t>
      </w:r>
      <w:r w:rsidR="0017299B">
        <w:rPr>
          <w:rFonts w:hint="eastAsia"/>
        </w:rPr>
        <w:t>8.</w:t>
      </w:r>
      <w:r w:rsidR="0017299B">
        <w:t>27</w:t>
      </w:r>
      <w:r w:rsidR="0022098D" w:rsidRPr="00F23F57">
        <w:t xml:space="preserve">%, a </w:t>
      </w:r>
      <w:r w:rsidR="00E7332C">
        <w:t>de</w:t>
      </w:r>
      <w:r w:rsidRPr="00F23F57">
        <w:t xml:space="preserve">crease of </w:t>
      </w:r>
      <w:r w:rsidR="0017299B">
        <w:rPr>
          <w:rFonts w:hint="eastAsia"/>
        </w:rPr>
        <w:t>5.</w:t>
      </w:r>
      <w:r w:rsidR="0017299B">
        <w:t>42</w:t>
      </w:r>
      <w:r w:rsidRPr="00F23F57">
        <w:t xml:space="preserve">%; the industrial sector, </w:t>
      </w:r>
      <w:r w:rsidR="0017299B">
        <w:rPr>
          <w:rFonts w:hint="eastAsia"/>
        </w:rPr>
        <w:t>31.47</w:t>
      </w:r>
      <w:r w:rsidR="003A64FD" w:rsidRPr="00F23F57">
        <w:t>%, a</w:t>
      </w:r>
      <w:r w:rsidR="00E7332C">
        <w:t>n</w:t>
      </w:r>
      <w:r w:rsidR="003A64FD" w:rsidRPr="00F23F57">
        <w:t xml:space="preserve"> </w:t>
      </w:r>
      <w:r w:rsidR="00E7332C">
        <w:t>in</w:t>
      </w:r>
      <w:r w:rsidR="003A64FD" w:rsidRPr="00F23F57">
        <w:t xml:space="preserve">crease of </w:t>
      </w:r>
      <w:r w:rsidR="0017299B">
        <w:rPr>
          <w:rFonts w:hint="eastAsia"/>
        </w:rPr>
        <w:t>0</w:t>
      </w:r>
      <w:r w:rsidR="0017299B">
        <w:t>.22</w:t>
      </w:r>
      <w:r w:rsidRPr="00F23F57">
        <w:t xml:space="preserve">%; the transportation sector, </w:t>
      </w:r>
      <w:r w:rsidR="0017299B">
        <w:t>15.82</w:t>
      </w:r>
      <w:r w:rsidR="003A64FD" w:rsidRPr="00F23F57">
        <w:t>%, a</w:t>
      </w:r>
      <w:r w:rsidR="0088789C">
        <w:t>n</w:t>
      </w:r>
      <w:r w:rsidR="003A64FD" w:rsidRPr="00F23F57">
        <w:t xml:space="preserve"> </w:t>
      </w:r>
      <w:r w:rsidR="003F45CE">
        <w:t>in</w:t>
      </w:r>
      <w:r w:rsidR="003A64FD" w:rsidRPr="00F23F57">
        <w:t xml:space="preserve">crease of </w:t>
      </w:r>
      <w:r w:rsidR="0017299B">
        <w:rPr>
          <w:rFonts w:hint="eastAsia"/>
        </w:rPr>
        <w:t>0.</w:t>
      </w:r>
      <w:r w:rsidR="0017299B">
        <w:t>79</w:t>
      </w:r>
      <w:r w:rsidRPr="00F23F57">
        <w:t>%; the agriculture, for</w:t>
      </w:r>
      <w:r w:rsidR="002C35E8" w:rsidRPr="00F23F57">
        <w:t xml:space="preserve">estry, and fishery sectors, </w:t>
      </w:r>
      <w:r w:rsidR="0017299B">
        <w:rPr>
          <w:rFonts w:hint="eastAsia"/>
        </w:rPr>
        <w:t>0.9</w:t>
      </w:r>
      <w:r w:rsidR="0017299B">
        <w:t>2</w:t>
      </w:r>
      <w:r w:rsidR="002C35E8" w:rsidRPr="00F23F57">
        <w:t xml:space="preserve">%, a </w:t>
      </w:r>
      <w:r w:rsidR="00E7332C">
        <w:t>de</w:t>
      </w:r>
      <w:r w:rsidR="002C35E8" w:rsidRPr="00F23F57">
        <w:t xml:space="preserve">crease of </w:t>
      </w:r>
      <w:r w:rsidR="0017299B">
        <w:t>5</w:t>
      </w:r>
      <w:r w:rsidR="0017299B">
        <w:rPr>
          <w:rFonts w:hint="eastAsia"/>
        </w:rPr>
        <w:t>.</w:t>
      </w:r>
      <w:r w:rsidR="0017299B">
        <w:t>47</w:t>
      </w:r>
      <w:r w:rsidR="002C35E8" w:rsidRPr="00F23F57">
        <w:t xml:space="preserve">%; the service sector, </w:t>
      </w:r>
      <w:r w:rsidR="0017299B" w:rsidRPr="00F23F57">
        <w:t>6.8</w:t>
      </w:r>
      <w:r w:rsidR="0017299B">
        <w:t>0</w:t>
      </w:r>
      <w:r w:rsidRPr="00F23F57">
        <w:t>%, a</w:t>
      </w:r>
      <w:r w:rsidR="0017299B">
        <w:t>n</w:t>
      </w:r>
      <w:r w:rsidR="002C35E8" w:rsidRPr="00F23F57">
        <w:t xml:space="preserve"> </w:t>
      </w:r>
      <w:r w:rsidR="00E7332C">
        <w:t>in</w:t>
      </w:r>
      <w:r w:rsidR="002C35E8" w:rsidRPr="00F23F57">
        <w:t xml:space="preserve">crease of </w:t>
      </w:r>
      <w:r w:rsidR="0017299B">
        <w:rPr>
          <w:rFonts w:hint="eastAsia"/>
        </w:rPr>
        <w:t>0.</w:t>
      </w:r>
      <w:r w:rsidR="0017299B">
        <w:t>15</w:t>
      </w:r>
      <w:r w:rsidR="002C35E8" w:rsidRPr="00F23F57">
        <w:t xml:space="preserve">%; the residential sector </w:t>
      </w:r>
      <w:r w:rsidR="0017299B">
        <w:rPr>
          <w:rFonts w:hint="eastAsia"/>
        </w:rPr>
        <w:t>8</w:t>
      </w:r>
      <w:r w:rsidR="0017299B" w:rsidRPr="00F23F57">
        <w:t>.</w:t>
      </w:r>
      <w:r w:rsidR="0017299B">
        <w:t>11</w:t>
      </w:r>
      <w:r w:rsidRPr="00F23F57">
        <w:t>%, a</w:t>
      </w:r>
      <w:r w:rsidR="0088789C">
        <w:t>n</w:t>
      </w:r>
      <w:r w:rsidR="002C35E8" w:rsidRPr="00F23F57">
        <w:t xml:space="preserve"> </w:t>
      </w:r>
      <w:r w:rsidR="003F45CE">
        <w:t>in</w:t>
      </w:r>
      <w:r w:rsidR="002C35E8" w:rsidRPr="00F23F57">
        <w:t xml:space="preserve">crease of </w:t>
      </w:r>
      <w:r w:rsidR="0017299B">
        <w:t>5</w:t>
      </w:r>
      <w:r w:rsidR="0017299B" w:rsidRPr="00F23F57">
        <w:t>.</w:t>
      </w:r>
      <w:r w:rsidR="0017299B">
        <w:t>40</w:t>
      </w:r>
      <w:r w:rsidRPr="00F23F57">
        <w:t>%</w:t>
      </w:r>
      <w:r w:rsidR="002C35E8" w:rsidRPr="00F23F57">
        <w:t xml:space="preserve">. Non-energy uses consumed </w:t>
      </w:r>
      <w:r w:rsidR="0017299B">
        <w:rPr>
          <w:rFonts w:hint="eastAsia"/>
        </w:rPr>
        <w:t>28.</w:t>
      </w:r>
      <w:r w:rsidR="0017299B">
        <w:t>61</w:t>
      </w:r>
      <w:r w:rsidRPr="00F23F57">
        <w:t xml:space="preserve">% of the domestic </w:t>
      </w:r>
      <w:r w:rsidR="00341321">
        <w:t>energy</w:t>
      </w:r>
      <w:r w:rsidRPr="00F23F57">
        <w:t xml:space="preserve"> consumption, which was a</w:t>
      </w:r>
      <w:r w:rsidR="00E7332C">
        <w:t>n</w:t>
      </w:r>
      <w:r w:rsidR="002C35E8" w:rsidRPr="00F23F57">
        <w:t xml:space="preserve"> </w:t>
      </w:r>
      <w:r w:rsidR="0017299B">
        <w:t>1</w:t>
      </w:r>
      <w:r w:rsidR="0017299B">
        <w:rPr>
          <w:rFonts w:hint="eastAsia"/>
        </w:rPr>
        <w:t>.</w:t>
      </w:r>
      <w:r w:rsidR="0017299B">
        <w:t>3</w:t>
      </w:r>
      <w:r w:rsidR="0017299B">
        <w:rPr>
          <w:rFonts w:hint="eastAsia"/>
        </w:rPr>
        <w:t>0</w:t>
      </w:r>
      <w:r w:rsidR="002C35E8" w:rsidRPr="00F23F57">
        <w:t xml:space="preserve">% </w:t>
      </w:r>
      <w:r w:rsidR="00E7332C">
        <w:t>in</w:t>
      </w:r>
      <w:r w:rsidRPr="00F23F57">
        <w:t>crease over the previous year.</w:t>
      </w:r>
    </w:p>
    <w:p w14:paraId="5EB04015" w14:textId="2F126F82" w:rsidR="005C5935" w:rsidRPr="00F23F57" w:rsidRDefault="005C5935" w:rsidP="005C5935">
      <w:pPr>
        <w:autoSpaceDE w:val="0"/>
        <w:autoSpaceDN w:val="0"/>
        <w:adjustRightInd w:val="0"/>
        <w:snapToGrid w:val="0"/>
        <w:spacing w:line="420" w:lineRule="exact"/>
        <w:ind w:left="468" w:hanging="240"/>
        <w:jc w:val="both"/>
      </w:pPr>
      <w:r w:rsidRPr="00F23F57">
        <w:lastRenderedPageBreak/>
        <w:t xml:space="preserve">3.Exported energy totaled </w:t>
      </w:r>
      <w:r w:rsidR="0017299B">
        <w:t>14,511.4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in </w:t>
      </w:r>
      <w:r w:rsidR="008E3BBC" w:rsidRPr="00F23F57">
        <w:t>20</w:t>
      </w:r>
      <w:r w:rsidR="00E7332C">
        <w:t>20</w:t>
      </w:r>
      <w:r w:rsidRPr="00F23F57">
        <w:t xml:space="preserve">, which was a </w:t>
      </w:r>
      <w:r w:rsidR="0017299B">
        <w:t>de</w:t>
      </w:r>
      <w:r w:rsidRPr="00F23F57">
        <w:t xml:space="preserve">crease of </w:t>
      </w:r>
      <w:r w:rsidR="0017299B" w:rsidRPr="00A6664A">
        <w:t>33.43</w:t>
      </w:r>
      <w:r w:rsidRPr="00F23F57">
        <w:t>% compared with</w:t>
      </w:r>
      <w:r w:rsidR="0017299B">
        <w:t xml:space="preserve"> 21,799.2</w:t>
      </w:r>
      <w:r w:rsidR="0090338F" w:rsidRPr="00F23F57">
        <w:t xml:space="preserve"> </w:t>
      </w:r>
      <w:r w:rsidRPr="00F23F57">
        <w:t>10</w:t>
      </w:r>
      <w:r w:rsidRPr="00F23F57">
        <w:rPr>
          <w:vertAlign w:val="superscript"/>
        </w:rPr>
        <w:t>3</w:t>
      </w:r>
      <w:r w:rsidRPr="00F23F57">
        <w:t xml:space="preserve"> KLOEs in </w:t>
      </w:r>
      <w:r w:rsidR="008E3BBC" w:rsidRPr="00F23F57">
        <w:t>201</w:t>
      </w:r>
      <w:r w:rsidR="00E7332C">
        <w:t>9</w:t>
      </w:r>
      <w:r w:rsidRPr="00F23F57">
        <w:t>.</w:t>
      </w:r>
    </w:p>
    <w:p w14:paraId="2A9740F8" w14:textId="794D77FA" w:rsidR="005C5935" w:rsidRPr="0060132A" w:rsidRDefault="005C5935" w:rsidP="005C5935">
      <w:pPr>
        <w:autoSpaceDE w:val="0"/>
        <w:autoSpaceDN w:val="0"/>
        <w:adjustRightInd w:val="0"/>
        <w:snapToGrid w:val="0"/>
        <w:spacing w:line="420" w:lineRule="exact"/>
        <w:ind w:left="468" w:hanging="240"/>
        <w:jc w:val="both"/>
      </w:pPr>
      <w:r w:rsidRPr="0060132A">
        <w:t xml:space="preserve">4.In </w:t>
      </w:r>
      <w:r w:rsidR="008E3BBC" w:rsidRPr="0060132A">
        <w:t>20</w:t>
      </w:r>
      <w:r w:rsidR="0060132A" w:rsidRPr="0060132A">
        <w:t>20</w:t>
      </w:r>
      <w:r w:rsidRPr="0060132A">
        <w:t xml:space="preserve">, the per capita energy requirement was </w:t>
      </w:r>
      <w:r w:rsidR="0017299B" w:rsidRPr="00A6664A">
        <w:t>3,621.4</w:t>
      </w:r>
      <w:r w:rsidRPr="0060132A">
        <w:t xml:space="preserve"> liters of oil equivalent, representing a</w:t>
      </w:r>
      <w:r w:rsidR="0060132A" w:rsidRPr="0060132A">
        <w:t>n</w:t>
      </w:r>
      <w:r w:rsidRPr="0060132A">
        <w:t xml:space="preserve"> </w:t>
      </w:r>
      <w:r w:rsidR="0060132A" w:rsidRPr="0060132A">
        <w:t>in</w:t>
      </w:r>
      <w:r w:rsidRPr="0060132A">
        <w:t>crease of</w:t>
      </w:r>
      <w:r w:rsidR="002C35E8" w:rsidRPr="0060132A">
        <w:t xml:space="preserve"> </w:t>
      </w:r>
      <w:r w:rsidR="0060132A" w:rsidRPr="0060132A">
        <w:t>0</w:t>
      </w:r>
      <w:r w:rsidR="003F45CE" w:rsidRPr="0060132A">
        <w:rPr>
          <w:rFonts w:hint="eastAsia"/>
        </w:rPr>
        <w:t>.</w:t>
      </w:r>
      <w:r w:rsidR="0060132A" w:rsidRPr="0060132A">
        <w:t>52</w:t>
      </w:r>
      <w:r w:rsidR="002C35E8" w:rsidRPr="0060132A">
        <w:t xml:space="preserve">% over </w:t>
      </w:r>
      <w:r w:rsidR="0017299B" w:rsidRPr="00A6664A">
        <w:t>3,602.7</w:t>
      </w:r>
      <w:r w:rsidRPr="0060132A">
        <w:t xml:space="preserve"> liters of oil equivalent in </w:t>
      </w:r>
      <w:r w:rsidR="008E3BBC" w:rsidRPr="0060132A">
        <w:t>201</w:t>
      </w:r>
      <w:r w:rsidR="0060132A" w:rsidRPr="0060132A">
        <w:t>9</w:t>
      </w:r>
      <w:r w:rsidRPr="0060132A">
        <w:t>.</w:t>
      </w:r>
    </w:p>
    <w:p w14:paraId="07A42DAF" w14:textId="77777777" w:rsidR="005C5935" w:rsidRPr="00F23F57" w:rsidRDefault="005C5935" w:rsidP="005C5935">
      <w:pPr>
        <w:autoSpaceDE w:val="0"/>
        <w:autoSpaceDN w:val="0"/>
        <w:adjustRightInd w:val="0"/>
        <w:snapToGrid w:val="0"/>
        <w:spacing w:line="320" w:lineRule="exact"/>
        <w:jc w:val="both"/>
      </w:pPr>
    </w:p>
    <w:p w14:paraId="40793FE8" w14:textId="77777777" w:rsidR="005C5935" w:rsidRPr="00F23F57" w:rsidRDefault="005C5935" w:rsidP="005C5935">
      <w:pPr>
        <w:pStyle w:val="2"/>
        <w:snapToGrid w:val="0"/>
        <w:spacing w:line="520" w:lineRule="exact"/>
        <w:rPr>
          <w:rFonts w:ascii="Times New Roman"/>
          <w:b/>
          <w:color w:val="auto"/>
        </w:rPr>
      </w:pPr>
      <w:r w:rsidRPr="00F23F57">
        <w:rPr>
          <w:rFonts w:ascii="Times New Roman"/>
          <w:b/>
          <w:color w:val="auto"/>
        </w:rPr>
        <w:t>Energy Supply and Consumption</w:t>
      </w:r>
    </w:p>
    <w:p w14:paraId="06957D01" w14:textId="77777777" w:rsidR="005C5935" w:rsidRPr="00F23F57" w:rsidRDefault="005C5935" w:rsidP="005C5935">
      <w:pPr>
        <w:autoSpaceDE w:val="0"/>
        <w:autoSpaceDN w:val="0"/>
        <w:adjustRightInd w:val="0"/>
        <w:snapToGrid w:val="0"/>
        <w:spacing w:line="520" w:lineRule="exact"/>
        <w:ind w:left="360"/>
        <w:rPr>
          <w:sz w:val="32"/>
        </w:rPr>
      </w:pPr>
      <w:r w:rsidRPr="00F23F57">
        <w:rPr>
          <w:sz w:val="32"/>
        </w:rPr>
        <w:t>(</w:t>
      </w:r>
      <w:proofErr w:type="gramStart"/>
      <w:r w:rsidRPr="00F23F57">
        <w:rPr>
          <w:sz w:val="32"/>
        </w:rPr>
        <w:t>by</w:t>
      </w:r>
      <w:proofErr w:type="gramEnd"/>
      <w:r w:rsidRPr="00F23F57">
        <w:rPr>
          <w:sz w:val="32"/>
        </w:rPr>
        <w:t xml:space="preserve"> Form of Energy)</w:t>
      </w:r>
    </w:p>
    <w:p w14:paraId="2FE93B0C" w14:textId="77777777" w:rsidR="005C5935" w:rsidRPr="00F23F57" w:rsidRDefault="005C5935" w:rsidP="001473DB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>Coal</w:t>
      </w:r>
    </w:p>
    <w:p w14:paraId="218B113B" w14:textId="7B68F287" w:rsidR="005C5935" w:rsidRPr="00F23F57" w:rsidRDefault="002C35E8" w:rsidP="001473DB">
      <w:pPr>
        <w:numPr>
          <w:ilvl w:val="0"/>
          <w:numId w:val="9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The total supply of </w:t>
      </w:r>
      <w:r w:rsidR="008A61AA" w:rsidRPr="00F23F57">
        <w:t xml:space="preserve">coal and coal products </w:t>
      </w:r>
      <w:r w:rsidRPr="00F23F57">
        <w:t xml:space="preserve">in </w:t>
      </w:r>
      <w:r w:rsidR="004A4FAE" w:rsidRPr="00F23F57">
        <w:t>20</w:t>
      </w:r>
      <w:r w:rsidR="00E7332C">
        <w:t>20</w:t>
      </w:r>
      <w:r w:rsidR="005C5935" w:rsidRPr="00F23F57">
        <w:t xml:space="preserve"> was </w:t>
      </w:r>
      <w:r w:rsidR="00122DF0" w:rsidRPr="00A6664A">
        <w:t>49,682.6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marking a</w:t>
      </w:r>
      <w:r w:rsidR="00E7332C">
        <w:t xml:space="preserve"> de</w:t>
      </w:r>
      <w:r w:rsidR="005C5935" w:rsidRPr="00F23F57">
        <w:t xml:space="preserve">crease of </w:t>
      </w:r>
      <w:r w:rsidR="00E7332C">
        <w:t>5</w:t>
      </w:r>
      <w:r w:rsidR="008E7957" w:rsidRPr="00027137">
        <w:t>.</w:t>
      </w:r>
      <w:r w:rsidR="00E7332C">
        <w:t>82</w:t>
      </w:r>
      <w:r w:rsidR="005C5935" w:rsidRPr="00F23F57">
        <w:t xml:space="preserve">% over </w:t>
      </w:r>
      <w:r w:rsidR="00122DF0" w:rsidRPr="00027137">
        <w:t>52,</w:t>
      </w:r>
      <w:r w:rsidR="00122DF0">
        <w:t>753</w:t>
      </w:r>
      <w:r w:rsidR="00122DF0" w:rsidRPr="00027137">
        <w:t>.</w:t>
      </w:r>
      <w:r w:rsidR="00122DF0">
        <w:t>1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of </w:t>
      </w:r>
      <w:r w:rsidR="004A4FAE" w:rsidRPr="00F23F57">
        <w:t>201</w:t>
      </w:r>
      <w:r w:rsidR="00E7332C">
        <w:t>9</w:t>
      </w:r>
      <w:r w:rsidR="005C5935" w:rsidRPr="00F23F57">
        <w:t xml:space="preserve">. </w:t>
      </w:r>
      <w:r w:rsidR="0017299B" w:rsidRPr="00A6664A">
        <w:t>41,544.5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was imported and </w:t>
      </w:r>
      <w:r w:rsidR="00122DF0" w:rsidRPr="00027137">
        <w:t>8,</w:t>
      </w:r>
      <w:r w:rsidR="00122DF0">
        <w:t>138</w:t>
      </w:r>
      <w:r w:rsidR="00122DF0" w:rsidRPr="00027137">
        <w:t>.</w:t>
      </w:r>
      <w:r w:rsidR="00122DF0">
        <w:t>2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was indigenous.</w:t>
      </w:r>
    </w:p>
    <w:p w14:paraId="6F20BE0D" w14:textId="3CC13BC4" w:rsidR="005C5935" w:rsidRPr="00F23F57" w:rsidRDefault="000F157B" w:rsidP="001473DB">
      <w:pPr>
        <w:numPr>
          <w:ilvl w:val="0"/>
          <w:numId w:val="9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The domestic </w:t>
      </w:r>
      <w:r w:rsidR="008A61AA" w:rsidRPr="00F23F57">
        <w:t xml:space="preserve">coal and coal products </w:t>
      </w:r>
      <w:r w:rsidRPr="00F23F57">
        <w:t xml:space="preserve">demand in </w:t>
      </w:r>
      <w:r w:rsidR="004A4FAE" w:rsidRPr="00F23F57">
        <w:t>20</w:t>
      </w:r>
      <w:r w:rsidR="00E7332C">
        <w:t>20</w:t>
      </w:r>
      <w:r w:rsidR="005C5935" w:rsidRPr="00F23F57">
        <w:t xml:space="preserve"> totaled </w:t>
      </w:r>
      <w:r w:rsidR="00E7332C">
        <w:t>49</w:t>
      </w:r>
      <w:r w:rsidR="000E66FE" w:rsidRPr="00591255">
        <w:t>,5</w:t>
      </w:r>
      <w:r w:rsidR="00E7332C">
        <w:t>10</w:t>
      </w:r>
      <w:r w:rsidR="000E66FE" w:rsidRPr="00591255">
        <w:t>.</w:t>
      </w:r>
      <w:r w:rsidR="00E7332C">
        <w:t>0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Pr="00F23F57">
        <w:t xml:space="preserve"> KLOEs, marking a </w:t>
      </w:r>
      <w:r w:rsidR="000E66FE">
        <w:t>de</w:t>
      </w:r>
      <w:r w:rsidRPr="00F23F57">
        <w:t xml:space="preserve">crease of </w:t>
      </w:r>
      <w:r w:rsidR="00E7332C">
        <w:t>2</w:t>
      </w:r>
      <w:r w:rsidR="000E66FE" w:rsidRPr="00591255">
        <w:t>.</w:t>
      </w:r>
      <w:r w:rsidR="00E7332C">
        <w:t>16</w:t>
      </w:r>
      <w:r w:rsidR="000E66FE" w:rsidRPr="00591255">
        <w:t>%</w:t>
      </w:r>
      <w:r w:rsidR="005C5935" w:rsidRPr="00F23F57">
        <w:t xml:space="preserve"> compared with the </w:t>
      </w:r>
      <w:r w:rsidR="000E66FE" w:rsidRPr="00591255">
        <w:t>5</w:t>
      </w:r>
      <w:r w:rsidR="0072728B">
        <w:t>0</w:t>
      </w:r>
      <w:r w:rsidR="000E66FE" w:rsidRPr="00591255">
        <w:t>,6</w:t>
      </w:r>
      <w:r w:rsidR="0072728B">
        <w:t>04</w:t>
      </w:r>
      <w:r w:rsidR="000E66FE" w:rsidRPr="00591255">
        <w:t>.</w:t>
      </w:r>
      <w:r w:rsidR="0072728B">
        <w:t>6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of </w:t>
      </w:r>
      <w:r w:rsidR="004A4FAE" w:rsidRPr="00F23F57">
        <w:t>201</w:t>
      </w:r>
      <w:r w:rsidR="0072728B">
        <w:t>9</w:t>
      </w:r>
      <w:r w:rsidR="005C5935" w:rsidRPr="00F23F57">
        <w:t xml:space="preserve">. Of this demand, </w:t>
      </w:r>
      <w:r w:rsidR="00122DF0" w:rsidRPr="00591255">
        <w:t>4</w:t>
      </w:r>
      <w:r w:rsidR="00122DF0">
        <w:t>2</w:t>
      </w:r>
      <w:r w:rsidR="00122DF0" w:rsidRPr="00591255">
        <w:t>,3</w:t>
      </w:r>
      <w:r w:rsidR="00122DF0">
        <w:t>96</w:t>
      </w:r>
      <w:r w:rsidR="00122DF0" w:rsidRPr="00591255">
        <w:t>.</w:t>
      </w:r>
      <w:r w:rsidR="00122DF0">
        <w:t>4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were consumed for energy conversion uses such as power generation and coke processing, which was</w:t>
      </w:r>
      <w:r w:rsidR="00B01387">
        <w:rPr>
          <w:rFonts w:hint="eastAsia"/>
        </w:rPr>
        <w:t xml:space="preserve"> </w:t>
      </w:r>
      <w:r w:rsidR="0072728B">
        <w:t>2</w:t>
      </w:r>
      <w:r w:rsidR="000E66FE" w:rsidRPr="00591255">
        <w:t>.</w:t>
      </w:r>
      <w:r w:rsidR="0072728B">
        <w:t>22</w:t>
      </w:r>
      <w:r w:rsidR="005C5935" w:rsidRPr="00F23F57">
        <w:t xml:space="preserve">% </w:t>
      </w:r>
      <w:r w:rsidR="00B01387">
        <w:rPr>
          <w:rFonts w:hint="eastAsia"/>
        </w:rPr>
        <w:t>l</w:t>
      </w:r>
      <w:r w:rsidR="00B01387">
        <w:t>ess</w:t>
      </w:r>
      <w:r w:rsidR="005C5935" w:rsidRPr="00F23F57">
        <w:t xml:space="preserve"> than the</w:t>
      </w:r>
      <w:r w:rsidR="004A4FAE" w:rsidRPr="00F23F57">
        <w:t xml:space="preserve"> </w:t>
      </w:r>
      <w:r w:rsidR="00122DF0" w:rsidRPr="00591255">
        <w:t>4</w:t>
      </w:r>
      <w:r w:rsidR="00122DF0">
        <w:t>3</w:t>
      </w:r>
      <w:r w:rsidR="00122DF0" w:rsidRPr="00591255">
        <w:t>,35</w:t>
      </w:r>
      <w:r w:rsidR="00122DF0">
        <w:t>9</w:t>
      </w:r>
      <w:r w:rsidR="00122DF0" w:rsidRPr="00591255">
        <w:t>.</w:t>
      </w:r>
      <w:r w:rsidR="00122DF0">
        <w:t>2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of </w:t>
      </w:r>
      <w:r w:rsidR="004A4FAE" w:rsidRPr="00F23F57">
        <w:t>201</w:t>
      </w:r>
      <w:r w:rsidR="0072728B">
        <w:t>9</w:t>
      </w:r>
      <w:r w:rsidR="005C5935" w:rsidRPr="00F23F57">
        <w:t xml:space="preserve">. The final consumption totaled </w:t>
      </w:r>
      <w:r w:rsidR="00122DF0" w:rsidRPr="00591255">
        <w:t>5,</w:t>
      </w:r>
      <w:r w:rsidR="00122DF0">
        <w:t>766</w:t>
      </w:r>
      <w:r w:rsidR="00122DF0" w:rsidRPr="00591255">
        <w:t>.9</w:t>
      </w:r>
      <w:r w:rsidR="005C5935" w:rsidRPr="00F23F57">
        <w:t xml:space="preserve"> KLOEs in </w:t>
      </w:r>
      <w:r w:rsidR="004A4FAE" w:rsidRPr="00F23F57">
        <w:t>20</w:t>
      </w:r>
      <w:r w:rsidR="0072728B">
        <w:t>20</w:t>
      </w:r>
      <w:r w:rsidRPr="00F23F57">
        <w:t>, a</w:t>
      </w:r>
      <w:r w:rsidR="00F56B63" w:rsidRPr="00F23F57">
        <w:t xml:space="preserve"> </w:t>
      </w:r>
      <w:r w:rsidR="0072728B">
        <w:t>2</w:t>
      </w:r>
      <w:r w:rsidR="00CF390F" w:rsidRPr="004A3542">
        <w:t>.</w:t>
      </w:r>
      <w:r w:rsidR="0072728B">
        <w:t>55</w:t>
      </w:r>
      <w:r w:rsidRPr="00F23F57">
        <w:t>% de</w:t>
      </w:r>
      <w:r w:rsidR="005C5935" w:rsidRPr="00F23F57">
        <w:t>crease compared with</w:t>
      </w:r>
      <w:r w:rsidR="004A4FAE" w:rsidRPr="00F23F57">
        <w:t xml:space="preserve"> </w:t>
      </w:r>
      <w:r w:rsidR="00122DF0" w:rsidRPr="00591255">
        <w:t>5,9</w:t>
      </w:r>
      <w:r w:rsidR="00122DF0">
        <w:t>17</w:t>
      </w:r>
      <w:r w:rsidR="00122DF0" w:rsidRPr="00591255">
        <w:t>.</w:t>
      </w:r>
      <w:r w:rsidR="00122DF0">
        <w:t>6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1C4FE0" w:rsidRPr="00F23F57">
        <w:t xml:space="preserve"> K</w:t>
      </w:r>
      <w:r w:rsidRPr="00F23F57">
        <w:t xml:space="preserve">LOEs in </w:t>
      </w:r>
      <w:r w:rsidR="004A4FAE" w:rsidRPr="00F23F57">
        <w:t>201</w:t>
      </w:r>
      <w:r w:rsidR="0072728B">
        <w:t>9</w:t>
      </w:r>
      <w:r w:rsidR="005C5935" w:rsidRPr="00F23F57">
        <w:t>.</w:t>
      </w:r>
    </w:p>
    <w:p w14:paraId="5627ECB6" w14:textId="77777777" w:rsidR="005C5935" w:rsidRPr="00F23F57" w:rsidRDefault="005C5935" w:rsidP="001473DB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>Petroleum</w:t>
      </w:r>
    </w:p>
    <w:p w14:paraId="54B0E2D9" w14:textId="676CE60C" w:rsidR="005C5935" w:rsidRPr="00F23F57" w:rsidRDefault="009A0F5B" w:rsidP="001473DB">
      <w:pPr>
        <w:numPr>
          <w:ilvl w:val="0"/>
          <w:numId w:val="13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In </w:t>
      </w:r>
      <w:r w:rsidR="003A2C58" w:rsidRPr="00F23F57">
        <w:t>20</w:t>
      </w:r>
      <w:r w:rsidR="0072728B">
        <w:t>20</w:t>
      </w:r>
      <w:r w:rsidR="005C5935" w:rsidRPr="00F23F57">
        <w:t xml:space="preserve"> the total petroleum supply was </w:t>
      </w:r>
      <w:r w:rsidR="00122DF0" w:rsidRPr="00B25EF3">
        <w:t>61,172.1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KLOEs, which was a </w:t>
      </w:r>
      <w:r w:rsidR="00122DF0" w:rsidRPr="00B25EF3">
        <w:t>12</w:t>
      </w:r>
      <w:r w:rsidR="00122DF0" w:rsidRPr="00B25EF3">
        <w:rPr>
          <w:rFonts w:hint="eastAsia"/>
        </w:rPr>
        <w:t>.</w:t>
      </w:r>
      <w:r w:rsidR="00122DF0" w:rsidRPr="00B25EF3">
        <w:t>14</w:t>
      </w:r>
      <w:r w:rsidRPr="00F23F57">
        <w:t xml:space="preserve">% </w:t>
      </w:r>
      <w:r w:rsidR="00215B21">
        <w:t>de</w:t>
      </w:r>
      <w:r w:rsidR="005C5935" w:rsidRPr="00F23F57">
        <w:t xml:space="preserve">crease compared with </w:t>
      </w:r>
      <w:r w:rsidR="00122DF0" w:rsidRPr="00B25EF3">
        <w:t>69,622.6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in </w:t>
      </w:r>
      <w:r w:rsidR="003A2C58" w:rsidRPr="00F23F57">
        <w:t>201</w:t>
      </w:r>
      <w:r w:rsidR="0072728B">
        <w:t>9</w:t>
      </w:r>
      <w:r w:rsidR="005C5935" w:rsidRPr="00F23F57">
        <w:t xml:space="preserve">. Of this total, indigenous crude oil contributed only </w:t>
      </w:r>
      <w:r w:rsidR="0072728B">
        <w:t>2</w:t>
      </w:r>
      <w:r w:rsidR="00215B21" w:rsidRPr="00463CB3">
        <w:t>.</w:t>
      </w:r>
      <w:r w:rsidR="0072728B">
        <w:t>2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Pr="00F23F57">
        <w:t xml:space="preserve"> KLOEs or </w:t>
      </w:r>
      <w:r w:rsidR="00F56B63" w:rsidRPr="00F23F57">
        <w:t>0.0</w:t>
      </w:r>
      <w:r w:rsidR="0072728B">
        <w:t>0</w:t>
      </w:r>
      <w:r w:rsidRPr="00F23F57">
        <w:t>%, which was a</w:t>
      </w:r>
      <w:r w:rsidR="005C5935" w:rsidRPr="00F23F57">
        <w:t xml:space="preserve"> </w:t>
      </w:r>
      <w:r w:rsidR="00215B21" w:rsidRPr="00463CB3">
        <w:t>1</w:t>
      </w:r>
      <w:r w:rsidR="0072728B">
        <w:t>2</w:t>
      </w:r>
      <w:r w:rsidR="00215B21" w:rsidRPr="00463CB3">
        <w:t>.</w:t>
      </w:r>
      <w:r w:rsidR="0072728B">
        <w:t>14</w:t>
      </w:r>
      <w:r w:rsidR="005C5935" w:rsidRPr="00F23F57">
        <w:t xml:space="preserve">% </w:t>
      </w:r>
      <w:r w:rsidRPr="00F23F57">
        <w:t>de</w:t>
      </w:r>
      <w:r w:rsidR="005C5935" w:rsidRPr="00F23F57">
        <w:t xml:space="preserve">crease over </w:t>
      </w:r>
      <w:r w:rsidR="0072728B">
        <w:t>3</w:t>
      </w:r>
      <w:r w:rsidR="00215B21" w:rsidRPr="00463CB3">
        <w:t>.</w:t>
      </w:r>
      <w:r w:rsidR="0072728B">
        <w:t>9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in </w:t>
      </w:r>
      <w:r w:rsidR="003A2C58" w:rsidRPr="00F23F57">
        <w:t>201</w:t>
      </w:r>
      <w:r w:rsidR="0072728B">
        <w:t>9</w:t>
      </w:r>
      <w:r w:rsidR="005C5935" w:rsidRPr="00F23F57">
        <w:t xml:space="preserve">, </w:t>
      </w:r>
      <w:r w:rsidR="002A6861" w:rsidRPr="00F23F57">
        <w:t xml:space="preserve">refinery feedstock contributed </w:t>
      </w:r>
      <w:r w:rsidR="00215B21" w:rsidRPr="007C40E0">
        <w:t>7</w:t>
      </w:r>
      <w:r w:rsidR="0072728B">
        <w:t>9</w:t>
      </w:r>
      <w:r w:rsidR="00215B21" w:rsidRPr="007C40E0">
        <w:t>.</w:t>
      </w:r>
      <w:r w:rsidR="0072728B">
        <w:t>7</w:t>
      </w:r>
      <w:r w:rsidR="002A6861" w:rsidRPr="00F23F57">
        <w:t xml:space="preserve"> 10</w:t>
      </w:r>
      <w:r w:rsidR="002A6861" w:rsidRPr="00F23F57">
        <w:rPr>
          <w:vertAlign w:val="superscript"/>
        </w:rPr>
        <w:t>3</w:t>
      </w:r>
      <w:r w:rsidR="003A2C58" w:rsidRPr="00F23F57">
        <w:t xml:space="preserve"> KLOEs or </w:t>
      </w:r>
      <w:r w:rsidR="00122DF0" w:rsidRPr="009D0B7D">
        <w:t>0</w:t>
      </w:r>
      <w:r w:rsidR="00122DF0" w:rsidRPr="009D0B7D">
        <w:rPr>
          <w:rFonts w:hint="eastAsia"/>
        </w:rPr>
        <w:t>.</w:t>
      </w:r>
      <w:r w:rsidR="00122DF0" w:rsidRPr="009D0B7D">
        <w:t>13</w:t>
      </w:r>
      <w:r w:rsidR="002A6861" w:rsidRPr="00F23F57">
        <w:t>%</w:t>
      </w:r>
      <w:r w:rsidR="00A87AC5" w:rsidRPr="00F23F57">
        <w:t xml:space="preserve">, representing </w:t>
      </w:r>
      <w:r w:rsidR="001C4FE0" w:rsidRPr="00F23F57">
        <w:t>a</w:t>
      </w:r>
      <w:r w:rsidR="0072728B">
        <w:t>n</w:t>
      </w:r>
      <w:r w:rsidR="001C4FE0" w:rsidRPr="00F23F57">
        <w:t xml:space="preserve"> </w:t>
      </w:r>
      <w:r w:rsidR="0072728B">
        <w:t>9</w:t>
      </w:r>
      <w:r w:rsidR="00215B21" w:rsidRPr="007C40E0">
        <w:t>.</w:t>
      </w:r>
      <w:r w:rsidR="0072728B">
        <w:t>72</w:t>
      </w:r>
      <w:r w:rsidR="003A2C58" w:rsidRPr="00F23F57">
        <w:t xml:space="preserve">% </w:t>
      </w:r>
      <w:r w:rsidR="0072728B">
        <w:t>in</w:t>
      </w:r>
      <w:r w:rsidR="00A87AC5" w:rsidRPr="00F23F57">
        <w:t>crease over the previous year</w:t>
      </w:r>
      <w:r w:rsidR="001C4FE0" w:rsidRPr="00F23F57">
        <w:t xml:space="preserve"> </w:t>
      </w:r>
      <w:r w:rsidR="003A2C58" w:rsidRPr="00F23F57">
        <w:t>(</w:t>
      </w:r>
      <w:r w:rsidR="00215B21" w:rsidRPr="007C40E0">
        <w:t>7</w:t>
      </w:r>
      <w:r w:rsidR="0072728B">
        <w:t>2</w:t>
      </w:r>
      <w:r w:rsidR="00215B21" w:rsidRPr="007C40E0">
        <w:t>.</w:t>
      </w:r>
      <w:r w:rsidR="0072728B">
        <w:t>6</w:t>
      </w:r>
      <w:r w:rsidR="00A87AC5" w:rsidRPr="00F23F57">
        <w:t xml:space="preserve"> 10</w:t>
      </w:r>
      <w:r w:rsidR="00A87AC5" w:rsidRPr="00F23F57">
        <w:rPr>
          <w:vertAlign w:val="superscript"/>
        </w:rPr>
        <w:t>3</w:t>
      </w:r>
      <w:r w:rsidR="00A87AC5" w:rsidRPr="00F23F57">
        <w:t xml:space="preserve"> KLOEs)</w:t>
      </w:r>
      <w:r w:rsidR="002A6861" w:rsidRPr="00F23F57">
        <w:t xml:space="preserve">, </w:t>
      </w:r>
      <w:r w:rsidR="005C5935" w:rsidRPr="00F23F57">
        <w:t>and imported crude oil provided</w:t>
      </w:r>
      <w:r w:rsidRPr="00F23F57">
        <w:t xml:space="preserve"> </w:t>
      </w:r>
      <w:r w:rsidR="00122DF0" w:rsidRPr="00B25EF3">
        <w:rPr>
          <w:rFonts w:hint="eastAsia"/>
        </w:rPr>
        <w:t>4</w:t>
      </w:r>
      <w:r w:rsidR="00122DF0" w:rsidRPr="00B25EF3">
        <w:t>2,915.9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Pr="00F23F57">
        <w:t xml:space="preserve"> KLOEs or </w:t>
      </w:r>
      <w:r w:rsidR="00122DF0" w:rsidRPr="00B25EF3">
        <w:t>70.16</w:t>
      </w:r>
      <w:r w:rsidR="00215B21" w:rsidRPr="00F23F57">
        <w:t>%</w:t>
      </w:r>
      <w:r w:rsidR="005C5935" w:rsidRPr="00F23F57">
        <w:t xml:space="preserve">, which was a </w:t>
      </w:r>
      <w:r w:rsidR="00122DF0" w:rsidRPr="00B25EF3">
        <w:t>16.78</w:t>
      </w:r>
      <w:r w:rsidR="005C5935" w:rsidRPr="00F23F57">
        <w:t xml:space="preserve">% </w:t>
      </w:r>
      <w:r w:rsidR="0072728B">
        <w:t>de</w:t>
      </w:r>
      <w:r w:rsidR="005C5935" w:rsidRPr="00F23F57">
        <w:t xml:space="preserve">crease compared with </w:t>
      </w:r>
      <w:r w:rsidR="00122DF0" w:rsidRPr="00B25EF3">
        <w:t>51,570.4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 in </w:t>
      </w:r>
      <w:r w:rsidR="003A2C58" w:rsidRPr="00F23F57">
        <w:t>201</w:t>
      </w:r>
      <w:r w:rsidR="0072728B">
        <w:t>9</w:t>
      </w:r>
      <w:r w:rsidR="005C5935" w:rsidRPr="00F23F57">
        <w:t xml:space="preserve">, while imported fuel oil, diesel oil, L.P.G. and other petroleum products reached </w:t>
      </w:r>
      <w:r w:rsidR="00122DF0" w:rsidRPr="00B25EF3">
        <w:t>18,174.3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Pr="00F23F57">
        <w:t xml:space="preserve"> KLOEs, or </w:t>
      </w:r>
      <w:r w:rsidR="00122DF0" w:rsidRPr="00B25EF3">
        <w:t>29.71</w:t>
      </w:r>
      <w:r w:rsidR="005C5935" w:rsidRPr="00F23F57">
        <w:t>%, representing a</w:t>
      </w:r>
      <w:r w:rsidR="0072728B">
        <w:t>n</w:t>
      </w:r>
      <w:r w:rsidRPr="00F23F57">
        <w:t xml:space="preserve"> </w:t>
      </w:r>
      <w:r w:rsidR="00215B21" w:rsidRPr="007C40E0">
        <w:t>1.1</w:t>
      </w:r>
      <w:r w:rsidR="0099272B">
        <w:rPr>
          <w:rFonts w:hint="eastAsia"/>
        </w:rPr>
        <w:t>0</w:t>
      </w:r>
      <w:r w:rsidRPr="00F23F57">
        <w:t xml:space="preserve">% </w:t>
      </w:r>
      <w:r w:rsidR="0072728B">
        <w:t>in</w:t>
      </w:r>
      <w:r w:rsidR="005C5935" w:rsidRPr="00F23F57">
        <w:t>crease over the previous year (</w:t>
      </w:r>
      <w:r w:rsidR="0072728B">
        <w:t>17</w:t>
      </w:r>
      <w:r w:rsidR="00215B21" w:rsidRPr="007C40E0">
        <w:t>,</w:t>
      </w:r>
      <w:r w:rsidR="0072728B">
        <w:t>975</w:t>
      </w:r>
      <w:r w:rsidR="00215B21" w:rsidRPr="007C40E0">
        <w:t>.</w:t>
      </w:r>
      <w:r w:rsidR="0072728B">
        <w:t>8</w:t>
      </w:r>
      <w:r w:rsidR="005C5935" w:rsidRPr="00F23F57">
        <w:t xml:space="preserve"> 10</w:t>
      </w:r>
      <w:r w:rsidR="005C5935" w:rsidRPr="00F23F57">
        <w:rPr>
          <w:vertAlign w:val="superscript"/>
        </w:rPr>
        <w:t>3</w:t>
      </w:r>
      <w:r w:rsidR="005C5935" w:rsidRPr="00F23F57">
        <w:t xml:space="preserve"> KLOEs).</w:t>
      </w:r>
    </w:p>
    <w:p w14:paraId="20FB8BC8" w14:textId="380A0182" w:rsidR="005C5935" w:rsidRPr="00F23F57" w:rsidRDefault="005C5935" w:rsidP="001473DB">
      <w:pPr>
        <w:numPr>
          <w:ilvl w:val="0"/>
          <w:numId w:val="13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Refined crude oil totaled </w:t>
      </w:r>
      <w:r w:rsidR="00122DF0">
        <w:t>42</w:t>
      </w:r>
      <w:r w:rsidR="00122DF0" w:rsidRPr="00792B65">
        <w:t>,</w:t>
      </w:r>
      <w:r w:rsidR="00122DF0">
        <w:t>216</w:t>
      </w:r>
      <w:r w:rsidR="00122DF0" w:rsidRPr="00792B65">
        <w:t>.</w:t>
      </w:r>
      <w:r w:rsidR="00122DF0">
        <w:t>9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in </w:t>
      </w:r>
      <w:r w:rsidR="003A2C58" w:rsidRPr="00F23F57">
        <w:t>20</w:t>
      </w:r>
      <w:r w:rsidR="0072728B">
        <w:t>20</w:t>
      </w:r>
      <w:r w:rsidR="00B43DF1" w:rsidRPr="00F23F57">
        <w:t xml:space="preserve">, which was a </w:t>
      </w:r>
      <w:r w:rsidR="0072728B">
        <w:t>18</w:t>
      </w:r>
      <w:r w:rsidR="004169A4" w:rsidRPr="00792B65">
        <w:t>.</w:t>
      </w:r>
      <w:r w:rsidR="0072728B">
        <w:t>30</w:t>
      </w:r>
      <w:r w:rsidR="00B43DF1" w:rsidRPr="00F23F57">
        <w:t xml:space="preserve">% </w:t>
      </w:r>
      <w:r w:rsidR="0072728B">
        <w:t>de</w:t>
      </w:r>
      <w:r w:rsidRPr="00F23F57">
        <w:t>crease compared with</w:t>
      </w:r>
      <w:r w:rsidR="004169A4" w:rsidRPr="00792B65">
        <w:t>51,6</w:t>
      </w:r>
      <w:r w:rsidR="0072728B">
        <w:t>74</w:t>
      </w:r>
      <w:r w:rsidR="004169A4" w:rsidRPr="00792B65">
        <w:t>.</w:t>
      </w:r>
      <w:r w:rsidR="0072728B">
        <w:t>7</w:t>
      </w:r>
      <w:r w:rsidRPr="00F23F57">
        <w:t xml:space="preserve"> 10</w:t>
      </w:r>
      <w:r w:rsidRPr="00F23F57">
        <w:rPr>
          <w:vertAlign w:val="superscript"/>
        </w:rPr>
        <w:t>3</w:t>
      </w:r>
      <w:r w:rsidR="00B43DF1" w:rsidRPr="00F23F57">
        <w:t xml:space="preserve"> KLOEs in </w:t>
      </w:r>
      <w:r w:rsidR="003A2C58" w:rsidRPr="00F23F57">
        <w:t>201</w:t>
      </w:r>
      <w:r w:rsidR="0072728B">
        <w:t>9</w:t>
      </w:r>
      <w:r w:rsidRPr="00F23F57">
        <w:t>.</w:t>
      </w:r>
    </w:p>
    <w:p w14:paraId="6D2E2F2D" w14:textId="059AA653" w:rsidR="005C5935" w:rsidRPr="00F23F57" w:rsidRDefault="005C5935" w:rsidP="001473DB">
      <w:pPr>
        <w:numPr>
          <w:ilvl w:val="0"/>
          <w:numId w:val="13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The total supply of petroleum products (secondary forms of energy) was </w:t>
      </w:r>
      <w:r w:rsidR="00122DF0" w:rsidRPr="00F536D1">
        <w:t>63,485.6</w:t>
      </w:r>
      <w:r w:rsidR="001C4FE0" w:rsidRPr="00F23F57">
        <w:t xml:space="preserve"> </w:t>
      </w:r>
      <w:r w:rsidRPr="00F23F57">
        <w:t>10</w:t>
      </w:r>
      <w:r w:rsidRPr="00F23F57">
        <w:rPr>
          <w:vertAlign w:val="superscript"/>
        </w:rPr>
        <w:t>3</w:t>
      </w:r>
      <w:r w:rsidR="00CC293E" w:rsidRPr="00F23F57">
        <w:t xml:space="preserve"> KLOE, a </w:t>
      </w:r>
      <w:r w:rsidR="00122DF0" w:rsidRPr="00F536D1">
        <w:t>11.81</w:t>
      </w:r>
      <w:r w:rsidRPr="00F23F57">
        <w:t xml:space="preserve">% </w:t>
      </w:r>
      <w:r w:rsidR="00E707C2">
        <w:t>de</w:t>
      </w:r>
      <w:r w:rsidRPr="00F23F57">
        <w:t xml:space="preserve">crease over </w:t>
      </w:r>
      <w:r w:rsidR="00122DF0" w:rsidRPr="00F536D1">
        <w:t>71,989.0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in </w:t>
      </w:r>
      <w:r w:rsidR="003A2C58" w:rsidRPr="00F23F57">
        <w:t>201</w:t>
      </w:r>
      <w:r w:rsidR="0072728B">
        <w:t>9</w:t>
      </w:r>
      <w:r w:rsidRPr="00F23F57">
        <w:t xml:space="preserve">. Of this total, indigenous petroleum products occupied </w:t>
      </w:r>
      <w:r w:rsidR="00122DF0" w:rsidRPr="00F536D1">
        <w:rPr>
          <w:rFonts w:hint="eastAsia"/>
        </w:rPr>
        <w:t>4</w:t>
      </w:r>
      <w:r w:rsidR="00122DF0" w:rsidRPr="00F536D1">
        <w:t>9,429.2</w:t>
      </w:r>
      <w:r w:rsidR="0056151B" w:rsidRPr="00F23F57">
        <w:t xml:space="preserve"> </w:t>
      </w:r>
      <w:r w:rsidRPr="00F23F57">
        <w:t>10</w:t>
      </w:r>
      <w:r w:rsidRPr="00F23F57">
        <w:rPr>
          <w:vertAlign w:val="superscript"/>
        </w:rPr>
        <w:t>3</w:t>
      </w:r>
      <w:r w:rsidRPr="00F23F57">
        <w:t xml:space="preserve"> KLOEs or </w:t>
      </w:r>
      <w:r w:rsidR="00122DF0" w:rsidRPr="00F536D1">
        <w:t>77.86</w:t>
      </w:r>
      <w:r w:rsidRPr="00F23F57">
        <w:t xml:space="preserve">%, which was </w:t>
      </w:r>
      <w:r w:rsidR="00122DF0" w:rsidRPr="00F536D1">
        <w:lastRenderedPageBreak/>
        <w:t>13.88</w:t>
      </w:r>
      <w:r w:rsidR="003A2C58" w:rsidRPr="00F23F57">
        <w:t xml:space="preserve">% </w:t>
      </w:r>
      <w:r w:rsidR="00E707C2">
        <w:t>less</w:t>
      </w:r>
      <w:r w:rsidRPr="00F23F57">
        <w:t xml:space="preserve"> than the </w:t>
      </w:r>
      <w:r w:rsidR="00122DF0" w:rsidRPr="00F536D1">
        <w:t>57,393.2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the previous year and imported petroleum products reached </w:t>
      </w:r>
      <w:r w:rsidR="00122DF0" w:rsidRPr="00F536D1">
        <w:t>18,174.3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KLOEs, or </w:t>
      </w:r>
      <w:r w:rsidR="00122DF0" w:rsidRPr="00F536D1">
        <w:t>28.63</w:t>
      </w:r>
      <w:r w:rsidR="00E707C2" w:rsidRPr="00792B65">
        <w:t>%</w:t>
      </w:r>
      <w:r w:rsidRPr="00F23F57">
        <w:t>, representing a</w:t>
      </w:r>
      <w:r w:rsidR="00111DD4">
        <w:t>n</w:t>
      </w:r>
      <w:r w:rsidRPr="00F23F57">
        <w:t xml:space="preserve"> </w:t>
      </w:r>
      <w:r w:rsidR="00111DD4">
        <w:t>in</w:t>
      </w:r>
      <w:r w:rsidR="000A70F0" w:rsidRPr="00F23F57">
        <w:t xml:space="preserve">crease of </w:t>
      </w:r>
      <w:r w:rsidR="00E707C2" w:rsidRPr="00792B65">
        <w:t>1.10</w:t>
      </w:r>
      <w:r w:rsidRPr="00F23F57">
        <w:t xml:space="preserve">% over the </w:t>
      </w:r>
      <w:r w:rsidR="00122DF0" w:rsidRPr="00F536D1">
        <w:rPr>
          <w:rFonts w:hint="eastAsia"/>
        </w:rPr>
        <w:t>1</w:t>
      </w:r>
      <w:r w:rsidR="00122DF0" w:rsidRPr="00F536D1">
        <w:t>7,975.8</w:t>
      </w:r>
      <w:r w:rsidRPr="00F23F57">
        <w:t xml:space="preserve"> 10</w:t>
      </w:r>
      <w:r w:rsidRPr="00F23F57">
        <w:rPr>
          <w:vertAlign w:val="superscript"/>
        </w:rPr>
        <w:t>3</w:t>
      </w:r>
      <w:r w:rsidR="000A70F0" w:rsidRPr="00F23F57">
        <w:t xml:space="preserve"> KLOEs of </w:t>
      </w:r>
      <w:r w:rsidR="003A2C58" w:rsidRPr="00F23F57">
        <w:t>201</w:t>
      </w:r>
      <w:r w:rsidR="00111DD4">
        <w:t>9</w:t>
      </w:r>
      <w:r w:rsidRPr="00F23F57">
        <w:t>.</w:t>
      </w:r>
    </w:p>
    <w:p w14:paraId="1FD4C20B" w14:textId="3875A715" w:rsidR="005C5935" w:rsidRPr="00F23F57" w:rsidRDefault="005C5935" w:rsidP="001473DB">
      <w:pPr>
        <w:numPr>
          <w:ilvl w:val="0"/>
          <w:numId w:val="13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In </w:t>
      </w:r>
      <w:r w:rsidR="00C35BBA" w:rsidRPr="00F23F57">
        <w:t>20</w:t>
      </w:r>
      <w:r w:rsidR="00111DD4">
        <w:t>20</w:t>
      </w:r>
      <w:r w:rsidRPr="00F23F57">
        <w:t>, the total demand for petroleum products was</w:t>
      </w:r>
      <w:r w:rsidR="00122DF0">
        <w:t xml:space="preserve"> 63</w:t>
      </w:r>
      <w:r w:rsidR="00122DF0" w:rsidRPr="005956D9">
        <w:t>,6</w:t>
      </w:r>
      <w:r w:rsidR="00122DF0">
        <w:t>68</w:t>
      </w:r>
      <w:r w:rsidR="00122DF0" w:rsidRPr="005956D9">
        <w:t>.</w:t>
      </w:r>
      <w:r w:rsidR="00122DF0">
        <w:t>7</w:t>
      </w:r>
      <w:r w:rsidRPr="00F23F57">
        <w:t>10</w:t>
      </w:r>
      <w:r w:rsidRPr="00F23F57">
        <w:rPr>
          <w:vertAlign w:val="superscript"/>
        </w:rPr>
        <w:t>3</w:t>
      </w:r>
      <w:r w:rsidRPr="00F23F57">
        <w:t xml:space="preserve"> KLOEs, </w:t>
      </w:r>
      <w:r w:rsidR="00122DF0">
        <w:rPr>
          <w:rFonts w:hint="eastAsia"/>
        </w:rPr>
        <w:t>1</w:t>
      </w:r>
      <w:r w:rsidR="00122DF0" w:rsidRPr="005956D9">
        <w:t>2.</w:t>
      </w:r>
      <w:r w:rsidR="00122DF0">
        <w:t>79</w:t>
      </w:r>
      <w:r w:rsidRPr="00F23F57">
        <w:t xml:space="preserve">% </w:t>
      </w:r>
      <w:r w:rsidR="0048590E">
        <w:t>less</w:t>
      </w:r>
      <w:r w:rsidRPr="00F23F57">
        <w:t xml:space="preserve"> than the </w:t>
      </w:r>
      <w:r w:rsidR="00122DF0" w:rsidRPr="005956D9">
        <w:t>7</w:t>
      </w:r>
      <w:r w:rsidR="00122DF0">
        <w:t>3</w:t>
      </w:r>
      <w:r w:rsidR="00122DF0" w:rsidRPr="005956D9">
        <w:t>,</w:t>
      </w:r>
      <w:r w:rsidR="00122DF0">
        <w:t>007</w:t>
      </w:r>
      <w:r w:rsidR="00122DF0" w:rsidRPr="005956D9">
        <w:t>.1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</w:t>
      </w:r>
      <w:r w:rsidR="00C35BBA" w:rsidRPr="00F23F57">
        <w:t>201</w:t>
      </w:r>
      <w:r w:rsidR="00111DD4">
        <w:t>9</w:t>
      </w:r>
      <w:r w:rsidRPr="00F23F57">
        <w:t xml:space="preserve">. Of this total, domestic consumption constituted </w:t>
      </w:r>
      <w:r w:rsidR="00122DF0">
        <w:rPr>
          <w:rFonts w:hint="eastAsia"/>
        </w:rPr>
        <w:t>7</w:t>
      </w:r>
      <w:r w:rsidR="00122DF0">
        <w:t>2</w:t>
      </w:r>
      <w:r w:rsidR="00122DF0" w:rsidRPr="00A05DD4">
        <w:t>.</w:t>
      </w:r>
      <w:r w:rsidR="00122DF0">
        <w:t>01</w:t>
      </w:r>
      <w:r w:rsidRPr="00F23F57">
        <w:t xml:space="preserve">%, or </w:t>
      </w:r>
      <w:r w:rsidR="00122DF0" w:rsidRPr="00A05DD4">
        <w:t>4</w:t>
      </w:r>
      <w:r w:rsidR="00122DF0">
        <w:t>5</w:t>
      </w:r>
      <w:r w:rsidR="00122DF0" w:rsidRPr="00A05DD4">
        <w:t>,</w:t>
      </w:r>
      <w:r w:rsidR="00122DF0">
        <w:t>846</w:t>
      </w:r>
      <w:r w:rsidR="00122DF0" w:rsidRPr="00A05DD4">
        <w:t>.</w:t>
      </w:r>
      <w:r w:rsidR="00122DF0">
        <w:t>6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KLOEs, w</w:t>
      </w:r>
      <w:r w:rsidR="00D96E12" w:rsidRPr="00F23F57">
        <w:t xml:space="preserve">hich was </w:t>
      </w:r>
      <w:r w:rsidR="00122DF0">
        <w:t>1</w:t>
      </w:r>
      <w:r w:rsidR="00122DF0" w:rsidRPr="00A05DD4">
        <w:t>.</w:t>
      </w:r>
      <w:r w:rsidR="00122DF0">
        <w:t>27</w:t>
      </w:r>
      <w:r w:rsidR="00D96E12" w:rsidRPr="00F23F57">
        <w:t>% less</w:t>
      </w:r>
      <w:r w:rsidRPr="00F23F57">
        <w:t xml:space="preserve"> than the </w:t>
      </w:r>
      <w:r w:rsidR="00122DF0" w:rsidRPr="00A05DD4">
        <w:t>4</w:t>
      </w:r>
      <w:r w:rsidR="00122DF0">
        <w:t>6</w:t>
      </w:r>
      <w:r w:rsidR="00122DF0" w:rsidRPr="00A05DD4">
        <w:t>,</w:t>
      </w:r>
      <w:r w:rsidR="00122DF0">
        <w:t>436</w:t>
      </w:r>
      <w:r w:rsidR="00122DF0" w:rsidRPr="00A05DD4">
        <w:t>.</w:t>
      </w:r>
      <w:r w:rsidR="00122DF0">
        <w:t>8</w:t>
      </w:r>
      <w:r w:rsidRPr="00F23F57">
        <w:t xml:space="preserve"> 10</w:t>
      </w:r>
      <w:r w:rsidRPr="00F23F57">
        <w:rPr>
          <w:vertAlign w:val="superscript"/>
        </w:rPr>
        <w:t>3</w:t>
      </w:r>
      <w:r w:rsidR="00D96E12" w:rsidRPr="00F23F57">
        <w:t xml:space="preserve"> KLOEs of </w:t>
      </w:r>
      <w:r w:rsidR="00C35BBA" w:rsidRPr="00F23F57">
        <w:t>201</w:t>
      </w:r>
      <w:r w:rsidR="00111DD4">
        <w:t>9</w:t>
      </w:r>
      <w:r w:rsidRPr="00F23F57">
        <w:t>, exported petroleum products t</w:t>
      </w:r>
      <w:r w:rsidRPr="00111DD4">
        <w:t>otaled</w:t>
      </w:r>
      <w:r w:rsidRPr="00F23F57">
        <w:t xml:space="preserve"> </w:t>
      </w:r>
      <w:r w:rsidR="00122DF0" w:rsidRPr="00A05DD4">
        <w:t>1</w:t>
      </w:r>
      <w:r w:rsidR="00122DF0">
        <w:t>4</w:t>
      </w:r>
      <w:r w:rsidR="00122DF0" w:rsidRPr="00A05DD4">
        <w:t>,</w:t>
      </w:r>
      <w:r w:rsidR="00122DF0">
        <w:t>419</w:t>
      </w:r>
      <w:r w:rsidR="00122DF0" w:rsidRPr="00A05DD4">
        <w:t>.</w:t>
      </w:r>
      <w:r w:rsidR="00122DF0">
        <w:t>4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and sharing </w:t>
      </w:r>
      <w:r w:rsidR="00122DF0" w:rsidRPr="00A05DD4">
        <w:t>2</w:t>
      </w:r>
      <w:r w:rsidR="00122DF0">
        <w:t>2</w:t>
      </w:r>
      <w:r w:rsidR="00122DF0" w:rsidRPr="00A05DD4">
        <w:t>.6</w:t>
      </w:r>
      <w:r w:rsidR="00122DF0">
        <w:t>5</w:t>
      </w:r>
      <w:r w:rsidR="00122DF0" w:rsidRPr="00A05DD4">
        <w:t>%</w:t>
      </w:r>
      <w:r w:rsidRPr="00F23F57">
        <w:t>, which was a</w:t>
      </w:r>
      <w:r w:rsidR="00D96E12" w:rsidRPr="00F23F57">
        <w:t xml:space="preserve"> </w:t>
      </w:r>
      <w:r w:rsidR="00122DF0">
        <w:rPr>
          <w:rFonts w:hint="eastAsia"/>
        </w:rPr>
        <w:t>3</w:t>
      </w:r>
      <w:r w:rsidR="00122DF0">
        <w:t>3.80</w:t>
      </w:r>
      <w:r w:rsidR="00122DF0" w:rsidRPr="00A05DD4">
        <w:t>%</w:t>
      </w:r>
      <w:r w:rsidR="00D96E12" w:rsidRPr="00F23F57">
        <w:t xml:space="preserve"> </w:t>
      </w:r>
      <w:r w:rsidR="00111DD4">
        <w:t>de</w:t>
      </w:r>
      <w:r w:rsidR="00D96E12" w:rsidRPr="00F23F57">
        <w:t xml:space="preserve">crease compared with </w:t>
      </w:r>
      <w:r w:rsidR="00122DF0" w:rsidRPr="00A6664A">
        <w:t>21,783.1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the previous year, international marine bunker was </w:t>
      </w:r>
      <w:r w:rsidR="00122DF0" w:rsidRPr="00A05DD4">
        <w:t>1,</w:t>
      </w:r>
      <w:r w:rsidR="00122DF0">
        <w:t>328</w:t>
      </w:r>
      <w:r w:rsidR="00122DF0" w:rsidRPr="00A05DD4">
        <w:t>.4</w:t>
      </w:r>
      <w:r w:rsidRPr="00F23F57">
        <w:t xml:space="preserve"> 10</w:t>
      </w:r>
      <w:r w:rsidRPr="00F23F57">
        <w:rPr>
          <w:vertAlign w:val="superscript"/>
        </w:rPr>
        <w:t>3</w:t>
      </w:r>
      <w:r w:rsidR="00D96E12" w:rsidRPr="00F23F57">
        <w:t xml:space="preserve"> KLOEs, constituting </w:t>
      </w:r>
      <w:r w:rsidR="00122DF0">
        <w:t>2</w:t>
      </w:r>
      <w:r w:rsidR="00122DF0" w:rsidRPr="00A05DD4">
        <w:t>.</w:t>
      </w:r>
      <w:r w:rsidR="00122DF0">
        <w:t>09</w:t>
      </w:r>
      <w:r w:rsidR="00D96E12" w:rsidRPr="00F23F57">
        <w:t xml:space="preserve">%, which was </w:t>
      </w:r>
      <w:r w:rsidR="00111DD4">
        <w:t>8</w:t>
      </w:r>
      <w:r w:rsidR="0048590E" w:rsidRPr="00A05DD4">
        <w:t>.</w:t>
      </w:r>
      <w:r w:rsidR="00111DD4">
        <w:t>03</w:t>
      </w:r>
      <w:r w:rsidR="00D96E12" w:rsidRPr="00F23F57">
        <w:t xml:space="preserve">% </w:t>
      </w:r>
      <w:r w:rsidR="00111DD4">
        <w:t>less</w:t>
      </w:r>
      <w:r w:rsidRPr="00F23F57">
        <w:t xml:space="preserve"> than the </w:t>
      </w:r>
      <w:r w:rsidR="0048590E" w:rsidRPr="00A05DD4">
        <w:t>1,</w:t>
      </w:r>
      <w:r w:rsidR="00111DD4">
        <w:t>444</w:t>
      </w:r>
      <w:r w:rsidR="0048590E" w:rsidRPr="00A05DD4">
        <w:t>.</w:t>
      </w:r>
      <w:r w:rsidR="00111DD4">
        <w:t>4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</w:t>
      </w:r>
      <w:r w:rsidR="00C35BBA" w:rsidRPr="00F23F57">
        <w:t>201</w:t>
      </w:r>
      <w:r w:rsidR="00111DD4">
        <w:t>9</w:t>
      </w:r>
      <w:r w:rsidR="00D96E12" w:rsidRPr="00F23F57">
        <w:t xml:space="preserve">, international aviation was </w:t>
      </w:r>
      <w:r w:rsidR="00122DF0">
        <w:t>2</w:t>
      </w:r>
      <w:r w:rsidR="00122DF0" w:rsidRPr="00A05DD4">
        <w:t>,</w:t>
      </w:r>
      <w:r w:rsidR="00122DF0">
        <w:t>074.3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KLOEs, constituting </w:t>
      </w:r>
      <w:r w:rsidR="00111DD4">
        <w:t>3</w:t>
      </w:r>
      <w:r w:rsidR="0048590E" w:rsidRPr="00A05DD4">
        <w:t>.</w:t>
      </w:r>
      <w:r w:rsidR="00111DD4">
        <w:t>26</w:t>
      </w:r>
      <w:r w:rsidRPr="00F23F57">
        <w:t xml:space="preserve">%, which was </w:t>
      </w:r>
      <w:r w:rsidR="00122DF0" w:rsidRPr="00A05DD4">
        <w:t>37</w:t>
      </w:r>
      <w:r w:rsidR="00122DF0">
        <w:rPr>
          <w:rFonts w:hint="eastAsia"/>
        </w:rPr>
        <w:t>.</w:t>
      </w:r>
      <w:r w:rsidR="00122DF0">
        <w:t>95</w:t>
      </w:r>
      <w:r w:rsidRPr="00F23F57">
        <w:t xml:space="preserve">% </w:t>
      </w:r>
      <w:r w:rsidR="00341321">
        <w:t>less</w:t>
      </w:r>
      <w:r w:rsidRPr="00F23F57">
        <w:t xml:space="preserve"> than the </w:t>
      </w:r>
      <w:r w:rsidR="00122DF0" w:rsidRPr="00A05DD4">
        <w:t>3,</w:t>
      </w:r>
      <w:r w:rsidR="00122DF0">
        <w:t>342</w:t>
      </w:r>
      <w:r w:rsidR="00122DF0" w:rsidRPr="00A05DD4">
        <w:t>.</w:t>
      </w:r>
      <w:r w:rsidR="00122DF0">
        <w:t>8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</w:t>
      </w:r>
      <w:r w:rsidR="00C35BBA" w:rsidRPr="00F23F57">
        <w:t>201</w:t>
      </w:r>
      <w:r w:rsidR="00551C7D">
        <w:t>9</w:t>
      </w:r>
      <w:r w:rsidRPr="00F23F57">
        <w:t>.</w:t>
      </w:r>
    </w:p>
    <w:p w14:paraId="4024DAAA" w14:textId="1433FB99" w:rsidR="005C5935" w:rsidRPr="00F23F57" w:rsidRDefault="005C5935" w:rsidP="001473DB">
      <w:pPr>
        <w:numPr>
          <w:ilvl w:val="0"/>
          <w:numId w:val="13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When classified by energy conversion and final consumption, the domestic consumption of petroleum products in </w:t>
      </w:r>
      <w:r w:rsidR="00181CBF" w:rsidRPr="00F23F57">
        <w:t>20</w:t>
      </w:r>
      <w:r w:rsidR="00551C7D">
        <w:t>20</w:t>
      </w:r>
      <w:r w:rsidRPr="00F23F57">
        <w:t xml:space="preserve"> was as follows : </w:t>
      </w:r>
      <w:r w:rsidR="00122DF0" w:rsidRPr="00FC0BA2">
        <w:t>1,</w:t>
      </w:r>
      <w:r w:rsidR="00122DF0">
        <w:t>299</w:t>
      </w:r>
      <w:r w:rsidR="00122DF0" w:rsidRPr="00FC0BA2">
        <w:t>.</w:t>
      </w:r>
      <w:r w:rsidR="00122DF0">
        <w:t>4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or </w:t>
      </w:r>
      <w:r w:rsidR="002D0B67">
        <w:t>2</w:t>
      </w:r>
      <w:r w:rsidR="00C52583" w:rsidRPr="00FC0BA2">
        <w:t>.</w:t>
      </w:r>
      <w:r w:rsidR="002D0B67">
        <w:t>83</w:t>
      </w:r>
      <w:r w:rsidRPr="00F23F57">
        <w:t xml:space="preserve">% were consumed for conversion into electricity and cogeneration, which was </w:t>
      </w:r>
      <w:r w:rsidR="00C52583" w:rsidRPr="00FC0BA2">
        <w:t>2</w:t>
      </w:r>
      <w:r w:rsidR="002D0B67">
        <w:t>2</w:t>
      </w:r>
      <w:r w:rsidR="00C52583" w:rsidRPr="00FC0BA2">
        <w:t>.0</w:t>
      </w:r>
      <w:r w:rsidR="002D0B67">
        <w:t>1</w:t>
      </w:r>
      <w:r w:rsidRPr="00F23F57">
        <w:t xml:space="preserve">% </w:t>
      </w:r>
      <w:r w:rsidR="00181CBF" w:rsidRPr="00F23F57">
        <w:rPr>
          <w:rFonts w:hint="eastAsia"/>
        </w:rPr>
        <w:t>less</w:t>
      </w:r>
      <w:r w:rsidR="00D96E12" w:rsidRPr="00F23F57">
        <w:t xml:space="preserve"> than the </w:t>
      </w:r>
      <w:r w:rsidR="00122DF0">
        <w:t>1</w:t>
      </w:r>
      <w:r w:rsidR="00122DF0" w:rsidRPr="00FC0BA2">
        <w:t>,</w:t>
      </w:r>
      <w:r w:rsidR="00122DF0">
        <w:t>666</w:t>
      </w:r>
      <w:r w:rsidR="00122DF0" w:rsidRPr="00FC0BA2">
        <w:t>.</w:t>
      </w:r>
      <w:r w:rsidR="00122DF0">
        <w:t>1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</w:t>
      </w:r>
      <w:r w:rsidR="00181CBF" w:rsidRPr="00F23F57">
        <w:t>201</w:t>
      </w:r>
      <w:r w:rsidR="002D0B67">
        <w:t>9</w:t>
      </w:r>
      <w:r w:rsidRPr="00F23F57">
        <w:t xml:space="preserve">; </w:t>
      </w:r>
      <w:r w:rsidR="00122DF0" w:rsidRPr="00FC0BA2">
        <w:t>2</w:t>
      </w:r>
      <w:r w:rsidR="00122DF0">
        <w:t>56</w:t>
      </w:r>
      <w:r w:rsidR="00122DF0" w:rsidRPr="00FC0BA2">
        <w:t>.</w:t>
      </w:r>
      <w:r w:rsidR="00122DF0">
        <w:t>4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KLOEs, or</w:t>
      </w:r>
      <w:r w:rsidR="00181CBF" w:rsidRPr="00F23F57">
        <w:t xml:space="preserve"> </w:t>
      </w:r>
      <w:r w:rsidR="00122DF0" w:rsidRPr="00FC0BA2">
        <w:t>0.</w:t>
      </w:r>
      <w:r w:rsidR="00122DF0">
        <w:t>56</w:t>
      </w:r>
      <w:r w:rsidRPr="00F23F57">
        <w:t>%, were consumed for conversion into other petroleum products, which was a</w:t>
      </w:r>
      <w:r w:rsidR="002D0B67">
        <w:t>n</w:t>
      </w:r>
      <w:r w:rsidRPr="00F23F57">
        <w:t xml:space="preserve"> </w:t>
      </w:r>
      <w:r w:rsidR="00122DF0">
        <w:t>27</w:t>
      </w:r>
      <w:r w:rsidR="00122DF0" w:rsidRPr="00FC0BA2">
        <w:t>.</w:t>
      </w:r>
      <w:r w:rsidR="00122DF0">
        <w:t>6</w:t>
      </w:r>
      <w:r w:rsidR="00122DF0" w:rsidRPr="00FC0BA2">
        <w:t>1</w:t>
      </w:r>
      <w:r w:rsidRPr="00F23F57">
        <w:t xml:space="preserve">% </w:t>
      </w:r>
      <w:r w:rsidR="002D0B67">
        <w:t>in</w:t>
      </w:r>
      <w:r w:rsidR="00E525A6" w:rsidRPr="00F23F57">
        <w:t xml:space="preserve">crease compared with </w:t>
      </w:r>
      <w:r w:rsidR="00122DF0">
        <w:t>200</w:t>
      </w:r>
      <w:r w:rsidR="00122DF0" w:rsidRPr="00FC0BA2">
        <w:t>.</w:t>
      </w:r>
      <w:r w:rsidR="00122DF0">
        <w:t>9</w:t>
      </w:r>
      <w:r w:rsidRPr="00F23F57">
        <w:t xml:space="preserve"> 10</w:t>
      </w:r>
      <w:r w:rsidR="00F71257" w:rsidRPr="00F23F57">
        <w:rPr>
          <w:vertAlign w:val="superscript"/>
        </w:rPr>
        <w:t>3</w:t>
      </w:r>
      <w:r w:rsidRPr="00F23F57">
        <w:t xml:space="preserve"> KLOEs of </w:t>
      </w:r>
      <w:r w:rsidR="00181CBF" w:rsidRPr="00F23F57">
        <w:t>201</w:t>
      </w:r>
      <w:r w:rsidR="002D0B67">
        <w:t>9</w:t>
      </w:r>
      <w:r w:rsidR="003D7EC1" w:rsidRPr="00F23F57">
        <w:t xml:space="preserve">; </w:t>
      </w:r>
      <w:r w:rsidR="00122DF0">
        <w:rPr>
          <w:rFonts w:hint="eastAsia"/>
        </w:rPr>
        <w:t>2</w:t>
      </w:r>
      <w:r w:rsidR="00122DF0" w:rsidRPr="00FC0BA2">
        <w:t>,</w:t>
      </w:r>
      <w:r w:rsidR="00122DF0">
        <w:t>858</w:t>
      </w:r>
      <w:r w:rsidR="00122DF0" w:rsidRPr="00FC0BA2">
        <w:t>.</w:t>
      </w:r>
      <w:r w:rsidR="00122DF0">
        <w:t>7</w:t>
      </w:r>
      <w:r w:rsidRPr="00F23F57">
        <w:t xml:space="preserve"> 10</w:t>
      </w:r>
      <w:r w:rsidRPr="00F23F57">
        <w:rPr>
          <w:vertAlign w:val="superscript"/>
        </w:rPr>
        <w:t>3</w:t>
      </w:r>
      <w:r w:rsidR="003D7EC1" w:rsidRPr="00F23F57">
        <w:t xml:space="preserve"> KLOEs, or </w:t>
      </w:r>
      <w:r w:rsidR="00122DF0">
        <w:rPr>
          <w:rFonts w:hint="eastAsia"/>
        </w:rPr>
        <w:t>6</w:t>
      </w:r>
      <w:r w:rsidR="00122DF0" w:rsidRPr="00FC0BA2">
        <w:t>.2</w:t>
      </w:r>
      <w:r w:rsidR="00122DF0">
        <w:t>4</w:t>
      </w:r>
      <w:r w:rsidRPr="00F23F57">
        <w:t>%, were consumed for conversion into ener</w:t>
      </w:r>
      <w:r w:rsidR="003D7EC1" w:rsidRPr="00F23F57">
        <w:t>g</w:t>
      </w:r>
      <w:r w:rsidR="005401C1" w:rsidRPr="00F23F57">
        <w:t>y sector own use, which was a</w:t>
      </w:r>
      <w:r w:rsidR="00E525A6" w:rsidRPr="00F23F57">
        <w:t xml:space="preserve"> </w:t>
      </w:r>
      <w:r w:rsidR="00122DF0" w:rsidRPr="00FC0BA2">
        <w:t>1</w:t>
      </w:r>
      <w:r w:rsidR="00122DF0">
        <w:t>4</w:t>
      </w:r>
      <w:r w:rsidR="00122DF0" w:rsidRPr="00FC0BA2">
        <w:t>.</w:t>
      </w:r>
      <w:r w:rsidR="00122DF0">
        <w:t>40</w:t>
      </w:r>
      <w:r w:rsidR="003D7EC1" w:rsidRPr="00F23F57">
        <w:t xml:space="preserve">% </w:t>
      </w:r>
      <w:r w:rsidR="002D0B67">
        <w:t>de</w:t>
      </w:r>
      <w:r w:rsidRPr="00F23F57">
        <w:t>crease compared wi</w:t>
      </w:r>
      <w:r w:rsidR="003D7EC1" w:rsidRPr="00F23F57">
        <w:t xml:space="preserve">th </w:t>
      </w:r>
      <w:r w:rsidR="00122DF0" w:rsidRPr="00FC0BA2">
        <w:t>3,</w:t>
      </w:r>
      <w:r w:rsidR="00122DF0">
        <w:t>33</w:t>
      </w:r>
      <w:r w:rsidR="00122DF0" w:rsidRPr="00FC0BA2">
        <w:t>9.</w:t>
      </w:r>
      <w:r w:rsidR="00122DF0">
        <w:t>8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of </w:t>
      </w:r>
      <w:r w:rsidR="00181CBF" w:rsidRPr="00F23F57">
        <w:t>201</w:t>
      </w:r>
      <w:r w:rsidR="002D0B67">
        <w:t>9</w:t>
      </w:r>
      <w:r w:rsidRPr="00F23F57">
        <w:t xml:space="preserve">; </w:t>
      </w:r>
      <w:r w:rsidR="00122DF0" w:rsidRPr="00FC0BA2">
        <w:t>41,</w:t>
      </w:r>
      <w:r w:rsidR="00122DF0">
        <w:t>432</w:t>
      </w:r>
      <w:r w:rsidR="00122DF0" w:rsidRPr="00FC0BA2">
        <w:t>.</w:t>
      </w:r>
      <w:r w:rsidR="00122DF0">
        <w:t>1</w:t>
      </w:r>
      <w:r w:rsidRPr="00F23F57">
        <w:t xml:space="preserve"> 10</w:t>
      </w:r>
      <w:r w:rsidRPr="00F23F57">
        <w:rPr>
          <w:vertAlign w:val="superscript"/>
        </w:rPr>
        <w:t>3</w:t>
      </w:r>
      <w:r w:rsidRPr="00F23F57">
        <w:t xml:space="preserve"> KLOEs or </w:t>
      </w:r>
      <w:r w:rsidR="00122DF0">
        <w:t>90</w:t>
      </w:r>
      <w:r w:rsidR="00122DF0" w:rsidRPr="00FC0BA2">
        <w:t>.7</w:t>
      </w:r>
      <w:r w:rsidR="00122DF0">
        <w:t>3</w:t>
      </w:r>
      <w:r w:rsidRPr="00F23F57">
        <w:t xml:space="preserve">% went to final consumption, which was </w:t>
      </w:r>
      <w:r w:rsidR="00122DF0">
        <w:t>0</w:t>
      </w:r>
      <w:r w:rsidR="00122DF0" w:rsidRPr="00FC0BA2">
        <w:t>.</w:t>
      </w:r>
      <w:r w:rsidR="00122DF0">
        <w:t>49</w:t>
      </w:r>
      <w:r w:rsidRPr="00F23F57">
        <w:t xml:space="preserve">% </w:t>
      </w:r>
      <w:r w:rsidR="002D0B67">
        <w:t>more</w:t>
      </w:r>
      <w:r w:rsidRPr="00F23F57">
        <w:t xml:space="preserve"> than the </w:t>
      </w:r>
      <w:r w:rsidR="00122DF0" w:rsidRPr="00FC0BA2">
        <w:t>4</w:t>
      </w:r>
      <w:r w:rsidR="00122DF0">
        <w:t>1</w:t>
      </w:r>
      <w:r w:rsidR="00122DF0" w:rsidRPr="00FC0BA2">
        <w:t>,</w:t>
      </w:r>
      <w:r w:rsidR="00122DF0">
        <w:t>2</w:t>
      </w:r>
      <w:r w:rsidR="00122DF0" w:rsidRPr="00FC0BA2">
        <w:t>3</w:t>
      </w:r>
      <w:r w:rsidR="00122DF0">
        <w:t>0</w:t>
      </w:r>
      <w:r w:rsidR="00122DF0" w:rsidRPr="00FC0BA2">
        <w:t>.</w:t>
      </w:r>
      <w:r w:rsidR="00122DF0">
        <w:t>0</w:t>
      </w:r>
      <w:r w:rsidRPr="00F23F57">
        <w:t xml:space="preserve"> 10</w:t>
      </w:r>
      <w:r w:rsidRPr="00F23F57">
        <w:rPr>
          <w:vertAlign w:val="superscript"/>
        </w:rPr>
        <w:t>3</w:t>
      </w:r>
      <w:r w:rsidR="003D7EC1" w:rsidRPr="00F23F57">
        <w:t xml:space="preserve"> KLOEs of </w:t>
      </w:r>
      <w:r w:rsidR="00181CBF" w:rsidRPr="00F23F57">
        <w:t>201</w:t>
      </w:r>
      <w:r w:rsidR="002D0B67">
        <w:t>9</w:t>
      </w:r>
      <w:r w:rsidRPr="00F23F57">
        <w:t>.</w:t>
      </w:r>
    </w:p>
    <w:p w14:paraId="60E58E36" w14:textId="14979F75" w:rsidR="005C5935" w:rsidRPr="00F23F57" w:rsidRDefault="005C5935" w:rsidP="001473DB">
      <w:pPr>
        <w:numPr>
          <w:ilvl w:val="0"/>
          <w:numId w:val="13"/>
        </w:numPr>
        <w:autoSpaceDE w:val="0"/>
        <w:autoSpaceDN w:val="0"/>
        <w:adjustRightInd w:val="0"/>
        <w:snapToGrid w:val="0"/>
        <w:spacing w:line="420" w:lineRule="exact"/>
        <w:jc w:val="both"/>
      </w:pPr>
      <w:r w:rsidRPr="00F23F57">
        <w:t xml:space="preserve">The final consumption structure of petroleum products in </w:t>
      </w:r>
      <w:r w:rsidR="00FB5A9F" w:rsidRPr="00F23F57">
        <w:t>20</w:t>
      </w:r>
      <w:r w:rsidR="002D0B67">
        <w:t>20</w:t>
      </w:r>
      <w:r w:rsidRPr="00F23F57">
        <w:t xml:space="preserve">, if classified by sector, was as follows: </w:t>
      </w:r>
      <w:r w:rsidR="00B2724A" w:rsidRPr="009E149E">
        <w:t>3.</w:t>
      </w:r>
      <w:r w:rsidR="00B2724A">
        <w:t>25</w:t>
      </w:r>
      <w:r w:rsidR="00FB5A9F" w:rsidRPr="00F23F57">
        <w:t xml:space="preserve">% by industry; </w:t>
      </w:r>
      <w:r w:rsidR="00B2724A" w:rsidRPr="009E149E">
        <w:t>32.2</w:t>
      </w:r>
      <w:r w:rsidR="00B2724A">
        <w:t>6</w:t>
      </w:r>
      <w:r w:rsidRPr="00F23F57">
        <w:t xml:space="preserve">% by transportation; </w:t>
      </w:r>
      <w:r w:rsidR="00B2724A" w:rsidRPr="009E149E">
        <w:t>1.1</w:t>
      </w:r>
      <w:r w:rsidR="00B2724A">
        <w:t>4</w:t>
      </w:r>
      <w:r w:rsidRPr="00F23F57">
        <w:t xml:space="preserve">% by agriculture, forestry and fishery; </w:t>
      </w:r>
      <w:r w:rsidR="00B2724A" w:rsidRPr="009E149E">
        <w:t>2.</w:t>
      </w:r>
      <w:r w:rsidR="00B2724A">
        <w:t>23</w:t>
      </w:r>
      <w:r w:rsidRPr="00F23F57">
        <w:t xml:space="preserve">% by service; </w:t>
      </w:r>
      <w:r w:rsidR="00B2724A" w:rsidRPr="009E149E">
        <w:t>2.</w:t>
      </w:r>
      <w:r w:rsidR="00B2724A">
        <w:t>92</w:t>
      </w:r>
      <w:r w:rsidR="00FB5A9F" w:rsidRPr="00F23F57">
        <w:t xml:space="preserve">% by residences; </w:t>
      </w:r>
      <w:r w:rsidR="00B2724A" w:rsidRPr="009E149E">
        <w:t>5</w:t>
      </w:r>
      <w:r w:rsidR="00B2724A">
        <w:t>8</w:t>
      </w:r>
      <w:r w:rsidR="00B2724A" w:rsidRPr="009E149E">
        <w:t>.2</w:t>
      </w:r>
      <w:r w:rsidR="00B2724A">
        <w:t>1</w:t>
      </w:r>
      <w:r w:rsidRPr="00F23F57">
        <w:t>% by non-energy uses. When compared with the previous year (</w:t>
      </w:r>
      <w:r w:rsidR="00FB5A9F" w:rsidRPr="00F23F57">
        <w:t>201</w:t>
      </w:r>
      <w:r w:rsidR="002D0B67">
        <w:t>9</w:t>
      </w:r>
      <w:r w:rsidR="0010062E" w:rsidRPr="00F23F57">
        <w:t>), industry decrease</w:t>
      </w:r>
      <w:r w:rsidR="00F71257" w:rsidRPr="00F23F57">
        <w:t>d</w:t>
      </w:r>
      <w:r w:rsidR="0010062E" w:rsidRPr="00F23F57">
        <w:t xml:space="preserve"> by </w:t>
      </w:r>
      <w:r w:rsidR="00B2724A">
        <w:rPr>
          <w:rFonts w:hint="eastAsia"/>
        </w:rPr>
        <w:t>1</w:t>
      </w:r>
      <w:r w:rsidR="00B2724A">
        <w:t>7</w:t>
      </w:r>
      <w:r w:rsidR="00B2724A" w:rsidRPr="009E149E">
        <w:t>.</w:t>
      </w:r>
      <w:r w:rsidR="00B2724A">
        <w:t>0</w:t>
      </w:r>
      <w:r w:rsidR="00B2724A" w:rsidRPr="009E149E">
        <w:t>5</w:t>
      </w:r>
      <w:r w:rsidRPr="00F23F57">
        <w:t xml:space="preserve">%; transportation </w:t>
      </w:r>
      <w:r w:rsidR="00644C06">
        <w:t>in</w:t>
      </w:r>
      <w:r w:rsidRPr="00F23F57">
        <w:t>creased by</w:t>
      </w:r>
      <w:r w:rsidR="0010062E" w:rsidRPr="00F23F57">
        <w:t xml:space="preserve"> </w:t>
      </w:r>
      <w:r w:rsidR="00B2724A" w:rsidRPr="009E149E">
        <w:t>0.</w:t>
      </w:r>
      <w:r w:rsidR="00B2724A">
        <w:t>81</w:t>
      </w:r>
      <w:r w:rsidRPr="00F23F57">
        <w:t>%; agri</w:t>
      </w:r>
      <w:r w:rsidR="0010062E" w:rsidRPr="00F23F57">
        <w:t xml:space="preserve">culture, forestry and fishery </w:t>
      </w:r>
      <w:r w:rsidR="002D0B67">
        <w:t>de</w:t>
      </w:r>
      <w:r w:rsidR="0010062E" w:rsidRPr="00F23F57">
        <w:t>crease</w:t>
      </w:r>
      <w:r w:rsidR="00F71257" w:rsidRPr="00F23F57">
        <w:t>d</w:t>
      </w:r>
      <w:r w:rsidR="0010062E" w:rsidRPr="00F23F57">
        <w:t xml:space="preserve"> by </w:t>
      </w:r>
      <w:r w:rsidR="00B2724A">
        <w:t>12</w:t>
      </w:r>
      <w:r w:rsidR="00B2724A" w:rsidRPr="009E149E">
        <w:t>.</w:t>
      </w:r>
      <w:r w:rsidR="00B2724A">
        <w:t>49</w:t>
      </w:r>
      <w:r w:rsidR="0010062E" w:rsidRPr="00F23F57">
        <w:t xml:space="preserve">%; service </w:t>
      </w:r>
      <w:r w:rsidR="00AE0851" w:rsidRPr="00F23F57">
        <w:t>in</w:t>
      </w:r>
      <w:r w:rsidR="0010062E" w:rsidRPr="00F23F57">
        <w:t>crease</w:t>
      </w:r>
      <w:r w:rsidR="00F71257" w:rsidRPr="00F23F57">
        <w:t>d</w:t>
      </w:r>
      <w:r w:rsidR="0010062E" w:rsidRPr="00F23F57">
        <w:t xml:space="preserve"> by </w:t>
      </w:r>
      <w:r w:rsidR="00B2724A">
        <w:t>7</w:t>
      </w:r>
      <w:r w:rsidR="00B2724A" w:rsidRPr="009E149E">
        <w:t>.</w:t>
      </w:r>
      <w:r w:rsidR="00B2724A">
        <w:t>65</w:t>
      </w:r>
      <w:r w:rsidRPr="00F23F57">
        <w:t xml:space="preserve">%; residences </w:t>
      </w:r>
      <w:r w:rsidR="00644C06">
        <w:t>in</w:t>
      </w:r>
      <w:r w:rsidRPr="00F23F57">
        <w:t xml:space="preserve">creased by </w:t>
      </w:r>
      <w:r w:rsidR="00B2724A">
        <w:t>1</w:t>
      </w:r>
      <w:r w:rsidR="00B2724A" w:rsidRPr="009E149E">
        <w:t>.</w:t>
      </w:r>
      <w:r w:rsidR="00B2724A">
        <w:t>52</w:t>
      </w:r>
      <w:r w:rsidR="00FB5A9F" w:rsidRPr="00F23F57">
        <w:t xml:space="preserve">% and non-energy uses </w:t>
      </w:r>
      <w:r w:rsidR="002D0B67">
        <w:t>in</w:t>
      </w:r>
      <w:r w:rsidRPr="00F23F57">
        <w:t>crease</w:t>
      </w:r>
      <w:r w:rsidR="00F71257" w:rsidRPr="00F23F57">
        <w:t>d</w:t>
      </w:r>
      <w:r w:rsidR="0010062E" w:rsidRPr="00F23F57">
        <w:t xml:space="preserve"> by </w:t>
      </w:r>
      <w:r w:rsidR="00B2724A">
        <w:t>1</w:t>
      </w:r>
      <w:r w:rsidR="00B2724A" w:rsidRPr="009E149E">
        <w:t>.49</w:t>
      </w:r>
      <w:r w:rsidRPr="00F23F57">
        <w:t>%.</w:t>
      </w:r>
    </w:p>
    <w:p w14:paraId="618DA161" w14:textId="77777777" w:rsidR="005C5935" w:rsidRPr="00F23F57" w:rsidRDefault="005C5935" w:rsidP="001473DB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 xml:space="preserve">L.N.G. </w:t>
      </w:r>
    </w:p>
    <w:p w14:paraId="1174F86F" w14:textId="3F79FD8B" w:rsidR="005C5935" w:rsidRPr="00F23F57" w:rsidRDefault="005C5935" w:rsidP="001473DB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440" w:lineRule="exact"/>
        <w:ind w:left="697" w:hanging="357"/>
        <w:jc w:val="both"/>
        <w:rPr>
          <w:lang w:eastAsia="ja-JP"/>
        </w:rPr>
      </w:pPr>
      <w:r w:rsidRPr="00F23F57">
        <w:t xml:space="preserve">In </w:t>
      </w:r>
      <w:r w:rsidR="00953419" w:rsidRPr="00F23F57">
        <w:t>20</w:t>
      </w:r>
      <w:r w:rsidR="002D0B67">
        <w:t>20</w:t>
      </w:r>
      <w:r w:rsidRPr="00F23F57">
        <w:t xml:space="preserve">, the total L.N.G. supply was </w:t>
      </w:r>
      <w:r w:rsidR="00B2724A" w:rsidRPr="00E248C7">
        <w:t>2</w:t>
      </w:r>
      <w:r w:rsidR="00B2724A">
        <w:t>3</w:t>
      </w:r>
      <w:r w:rsidR="00B2724A" w:rsidRPr="00E248C7">
        <w:t>,</w:t>
      </w:r>
      <w:r w:rsidR="00B2724A">
        <w:t>680</w:t>
      </w:r>
      <w:r w:rsidR="00B2724A" w:rsidRPr="00E248C7">
        <w:t>.</w:t>
      </w:r>
      <w:r w:rsidR="00B2724A">
        <w:t>6</w:t>
      </w:r>
      <w:r w:rsidRPr="00F23F57">
        <w:t xml:space="preserve"> million m</w:t>
      </w:r>
      <w:r w:rsidRPr="00F23F57">
        <w:rPr>
          <w:vertAlign w:val="superscript"/>
        </w:rPr>
        <w:t>3</w:t>
      </w:r>
      <w:r w:rsidRPr="00F23F57">
        <w:t xml:space="preserve"> which was a</w:t>
      </w:r>
      <w:r w:rsidR="002D0B67">
        <w:t>n</w:t>
      </w:r>
      <w:r w:rsidRPr="00F23F57">
        <w:t xml:space="preserve"> </w:t>
      </w:r>
      <w:r w:rsidR="002D0B67">
        <w:t>7</w:t>
      </w:r>
      <w:r w:rsidR="00644C06" w:rsidRPr="00E248C7">
        <w:t>.</w:t>
      </w:r>
      <w:r w:rsidR="002D0B67">
        <w:t>28</w:t>
      </w:r>
      <w:r w:rsidRPr="00F23F57">
        <w:t xml:space="preserve">% </w:t>
      </w:r>
      <w:r w:rsidR="00644C06">
        <w:t>de</w:t>
      </w:r>
      <w:r w:rsidRPr="00F23F57">
        <w:t>crease compared with</w:t>
      </w:r>
      <w:r w:rsidR="00B2724A">
        <w:t xml:space="preserve"> </w:t>
      </w:r>
      <w:r w:rsidR="00B2724A" w:rsidRPr="00E248C7">
        <w:t>22,</w:t>
      </w:r>
      <w:r w:rsidR="00B2724A">
        <w:t>073</w:t>
      </w:r>
      <w:r w:rsidR="00B2724A" w:rsidRPr="00E248C7">
        <w:t>.</w:t>
      </w:r>
      <w:r w:rsidR="00B2724A">
        <w:t>4</w:t>
      </w:r>
      <w:r w:rsidRPr="00F23F57">
        <w:t xml:space="preserve"> million m</w:t>
      </w:r>
      <w:r w:rsidRPr="00F23F57">
        <w:rPr>
          <w:vertAlign w:val="superscript"/>
        </w:rPr>
        <w:t>3</w:t>
      </w:r>
      <w:r w:rsidRPr="00F23F57">
        <w:t xml:space="preserve"> in </w:t>
      </w:r>
      <w:r w:rsidR="00953419" w:rsidRPr="00F23F57">
        <w:t>201</w:t>
      </w:r>
      <w:r w:rsidR="002D0B67">
        <w:t>9</w:t>
      </w:r>
      <w:r w:rsidRPr="00F23F57">
        <w:t>.</w:t>
      </w:r>
    </w:p>
    <w:p w14:paraId="4F6B66E8" w14:textId="2EDD2F2B" w:rsidR="005C5935" w:rsidRPr="00F23F57" w:rsidRDefault="005C5935" w:rsidP="001473DB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440" w:lineRule="exact"/>
        <w:ind w:left="697" w:hanging="357"/>
        <w:jc w:val="both"/>
      </w:pPr>
      <w:r w:rsidRPr="00F23F57">
        <w:t>Of the total L.N.G. domestic consumption of</w:t>
      </w:r>
      <w:r w:rsidR="00B2724A">
        <w:t xml:space="preserve"> </w:t>
      </w:r>
      <w:r w:rsidR="00B2724A" w:rsidRPr="00092777">
        <w:t>2</w:t>
      </w:r>
      <w:r w:rsidR="00B2724A">
        <w:t>2</w:t>
      </w:r>
      <w:r w:rsidR="00B2724A" w:rsidRPr="00092777">
        <w:t>,</w:t>
      </w:r>
      <w:r w:rsidR="00B2724A">
        <w:t>286</w:t>
      </w:r>
      <w:r w:rsidR="00B2724A" w:rsidRPr="00092777">
        <w:t>.</w:t>
      </w:r>
      <w:r w:rsidR="00B2724A">
        <w:t>0</w:t>
      </w:r>
      <w:r w:rsidRPr="00F23F57">
        <w:t xml:space="preserve"> million m</w:t>
      </w:r>
      <w:r w:rsidRPr="00F23F57">
        <w:rPr>
          <w:vertAlign w:val="superscript"/>
        </w:rPr>
        <w:t>3</w:t>
      </w:r>
      <w:r w:rsidRPr="00F23F57">
        <w:t xml:space="preserve">, </w:t>
      </w:r>
      <w:r w:rsidR="00092777">
        <w:t>oil refin</w:t>
      </w:r>
      <w:r w:rsidR="00341321">
        <w:t>i</w:t>
      </w:r>
      <w:r w:rsidR="00092777">
        <w:t xml:space="preserve">ng, </w:t>
      </w:r>
      <w:r w:rsidRPr="00F23F57">
        <w:t xml:space="preserve">power </w:t>
      </w:r>
      <w:r w:rsidRPr="00F23F57">
        <w:lastRenderedPageBreak/>
        <w:t xml:space="preserve">generation and cogeneration shared </w:t>
      </w:r>
      <w:r w:rsidR="00092777" w:rsidRPr="00082E2F">
        <w:t>84.</w:t>
      </w:r>
      <w:r w:rsidR="00CF31E7">
        <w:t>70</w:t>
      </w:r>
      <w:r w:rsidRPr="00F23F57">
        <w:t xml:space="preserve">%, energy and industry </w:t>
      </w:r>
      <w:r w:rsidR="00092777" w:rsidRPr="00082E2F">
        <w:t>14.</w:t>
      </w:r>
      <w:r w:rsidR="00CF31E7">
        <w:t>4</w:t>
      </w:r>
      <w:r w:rsidR="00092777" w:rsidRPr="00082E2F">
        <w:t>2</w:t>
      </w:r>
      <w:r w:rsidRPr="00F23F57">
        <w:t xml:space="preserve">%, service </w:t>
      </w:r>
      <w:r w:rsidR="00644C06" w:rsidRPr="00E248C7">
        <w:t>0.</w:t>
      </w:r>
      <w:r w:rsidR="00CF31E7">
        <w:t>57</w:t>
      </w:r>
      <w:r w:rsidR="00B06E23" w:rsidRPr="00F23F57">
        <w:t xml:space="preserve">%, residences </w:t>
      </w:r>
      <w:r w:rsidR="00644C06" w:rsidRPr="00E248C7">
        <w:t>0.30</w:t>
      </w:r>
      <w:r w:rsidR="005401C1" w:rsidRPr="00F23F57">
        <w:t>%</w:t>
      </w:r>
      <w:r w:rsidR="0099272B">
        <w:t>, and agriculture 0.02%</w:t>
      </w:r>
      <w:r w:rsidRPr="00F23F57">
        <w:t>.</w:t>
      </w:r>
    </w:p>
    <w:p w14:paraId="6657AF0A" w14:textId="77777777" w:rsidR="005C5935" w:rsidRPr="00F23F57" w:rsidRDefault="005C5935" w:rsidP="001473DB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>Natural Gas</w:t>
      </w:r>
    </w:p>
    <w:p w14:paraId="4CE30DE4" w14:textId="55DA3685" w:rsidR="005C5935" w:rsidRPr="00F23F57" w:rsidRDefault="005C5935" w:rsidP="001473DB">
      <w:pPr>
        <w:numPr>
          <w:ilvl w:val="0"/>
          <w:numId w:val="4"/>
        </w:numPr>
        <w:tabs>
          <w:tab w:val="num" w:pos="600"/>
        </w:tabs>
        <w:autoSpaceDE w:val="0"/>
        <w:autoSpaceDN w:val="0"/>
        <w:adjustRightInd w:val="0"/>
        <w:snapToGrid w:val="0"/>
        <w:spacing w:line="440" w:lineRule="exact"/>
        <w:ind w:left="697" w:hanging="357"/>
        <w:jc w:val="both"/>
        <w:rPr>
          <w:lang w:eastAsia="ja-JP"/>
        </w:rPr>
      </w:pPr>
      <w:r w:rsidRPr="00F23F57">
        <w:t xml:space="preserve">Natural gas production in </w:t>
      </w:r>
      <w:r w:rsidR="00C109DF" w:rsidRPr="00F23F57">
        <w:t>20</w:t>
      </w:r>
      <w:r w:rsidR="00CF31E7">
        <w:t>20</w:t>
      </w:r>
      <w:r w:rsidRPr="00F23F57">
        <w:t xml:space="preserve"> reached </w:t>
      </w:r>
      <w:r w:rsidR="00B2724A" w:rsidRPr="00D3680F">
        <w:t>1</w:t>
      </w:r>
      <w:r w:rsidR="00B2724A">
        <w:t>05</w:t>
      </w:r>
      <w:r w:rsidR="00B2724A" w:rsidRPr="00D3680F">
        <w:t>.</w:t>
      </w:r>
      <w:r w:rsidR="00B2724A">
        <w:t>3</w:t>
      </w:r>
      <w:r w:rsidRPr="00F23F57">
        <w:t xml:space="preserve"> million m</w:t>
      </w:r>
      <w:r w:rsidRPr="00F23F57">
        <w:rPr>
          <w:vertAlign w:val="superscript"/>
        </w:rPr>
        <w:t>3</w:t>
      </w:r>
      <w:r w:rsidRPr="00F23F57">
        <w:t>, which wa</w:t>
      </w:r>
      <w:r w:rsidR="00C109DF" w:rsidRPr="00F23F57">
        <w:t xml:space="preserve">s </w:t>
      </w:r>
      <w:r w:rsidR="00B2724A">
        <w:t>37</w:t>
      </w:r>
      <w:r w:rsidR="00B2724A" w:rsidRPr="00D3680F">
        <w:t>.</w:t>
      </w:r>
      <w:r w:rsidR="00B2724A">
        <w:t>01</w:t>
      </w:r>
      <w:r w:rsidRPr="00F23F57">
        <w:t xml:space="preserve">% less than </w:t>
      </w:r>
      <w:r w:rsidR="00B2724A" w:rsidRPr="00D3680F">
        <w:t>1</w:t>
      </w:r>
      <w:r w:rsidR="00B2724A">
        <w:t>6</w:t>
      </w:r>
      <w:r w:rsidR="00B2724A" w:rsidRPr="00D3680F">
        <w:t>7.</w:t>
      </w:r>
      <w:r w:rsidR="00B2724A">
        <w:t>2</w:t>
      </w:r>
      <w:r w:rsidRPr="00F23F57">
        <w:t xml:space="preserve"> million m</w:t>
      </w:r>
      <w:r w:rsidRPr="00F23F57">
        <w:rPr>
          <w:vertAlign w:val="superscript"/>
        </w:rPr>
        <w:t>3</w:t>
      </w:r>
      <w:r w:rsidR="008E15E6" w:rsidRPr="00F23F57">
        <w:t xml:space="preserve"> in </w:t>
      </w:r>
      <w:r w:rsidR="00C109DF" w:rsidRPr="00F23F57">
        <w:t>201</w:t>
      </w:r>
      <w:r w:rsidR="00CF31E7">
        <w:t>9</w:t>
      </w:r>
      <w:r w:rsidRPr="00F23F57">
        <w:t>.</w:t>
      </w:r>
    </w:p>
    <w:p w14:paraId="3D98B5F3" w14:textId="337DDAAD" w:rsidR="005C5935" w:rsidRPr="00F23F57" w:rsidRDefault="005C5935" w:rsidP="001473DB">
      <w:pPr>
        <w:numPr>
          <w:ilvl w:val="0"/>
          <w:numId w:val="4"/>
        </w:numPr>
        <w:tabs>
          <w:tab w:val="num" w:pos="600"/>
        </w:tabs>
        <w:autoSpaceDE w:val="0"/>
        <w:autoSpaceDN w:val="0"/>
        <w:adjustRightInd w:val="0"/>
        <w:snapToGrid w:val="0"/>
        <w:spacing w:line="440" w:lineRule="exact"/>
        <w:ind w:left="697" w:hanging="357"/>
        <w:jc w:val="both"/>
        <w:rPr>
          <w:lang w:eastAsia="ja-JP"/>
        </w:rPr>
      </w:pPr>
      <w:r w:rsidRPr="00F23F57">
        <w:t xml:space="preserve">Of the total natural gas domestic consumption of </w:t>
      </w:r>
      <w:r w:rsidR="00B2724A" w:rsidRPr="00D3680F">
        <w:t>1,</w:t>
      </w:r>
      <w:r w:rsidR="00B2724A">
        <w:t>941</w:t>
      </w:r>
      <w:r w:rsidR="00B2724A" w:rsidRPr="00D3680F">
        <w:t>.</w:t>
      </w:r>
      <w:r w:rsidR="00B2724A">
        <w:t>8</w:t>
      </w:r>
      <w:r w:rsidRPr="00F23F57">
        <w:t xml:space="preserve"> million m</w:t>
      </w:r>
      <w:r w:rsidRPr="00F23F57">
        <w:rPr>
          <w:vertAlign w:val="superscript"/>
        </w:rPr>
        <w:t>3</w:t>
      </w:r>
      <w:r w:rsidRPr="00F23F57">
        <w:t xml:space="preserve">, power generation and cogeneration </w:t>
      </w:r>
      <w:r w:rsidR="00B2724A" w:rsidRPr="00D3680F">
        <w:t>0.</w:t>
      </w:r>
      <w:r w:rsidR="00B2724A">
        <w:t>09</w:t>
      </w:r>
      <w:r w:rsidRPr="00F23F57">
        <w:t xml:space="preserve">%, energy and industry </w:t>
      </w:r>
      <w:r w:rsidR="00B2724A" w:rsidRPr="00D3680F">
        <w:t>3</w:t>
      </w:r>
      <w:r w:rsidR="00B2724A">
        <w:t>7</w:t>
      </w:r>
      <w:r w:rsidR="00B2724A" w:rsidRPr="00D3680F">
        <w:t>.</w:t>
      </w:r>
      <w:r w:rsidR="00B2724A">
        <w:t>0</w:t>
      </w:r>
      <w:r w:rsidR="00B2724A" w:rsidRPr="00D3680F">
        <w:t>8</w:t>
      </w:r>
      <w:r w:rsidRPr="00F23F57">
        <w:t xml:space="preserve">%, service </w:t>
      </w:r>
      <w:r w:rsidR="00B2724A">
        <w:rPr>
          <w:rFonts w:hint="eastAsia"/>
        </w:rPr>
        <w:t>1</w:t>
      </w:r>
      <w:r w:rsidR="00B2724A">
        <w:t>9</w:t>
      </w:r>
      <w:r w:rsidR="00B2724A" w:rsidRPr="00D3680F">
        <w:t>.</w:t>
      </w:r>
      <w:r w:rsidR="00B2724A">
        <w:t>2</w:t>
      </w:r>
      <w:r w:rsidR="00B2724A" w:rsidRPr="00D3680F">
        <w:t>4</w:t>
      </w:r>
      <w:r w:rsidRPr="00F23F57">
        <w:t xml:space="preserve">%, and residences </w:t>
      </w:r>
      <w:r w:rsidR="00B2724A" w:rsidRPr="00D3680F">
        <w:t>43.</w:t>
      </w:r>
      <w:r w:rsidR="00B2724A">
        <w:t>58</w:t>
      </w:r>
      <w:r w:rsidRPr="00F23F57">
        <w:t>%.</w:t>
      </w:r>
    </w:p>
    <w:p w14:paraId="2689081E" w14:textId="77777777" w:rsidR="005C5935" w:rsidRPr="00F23F57" w:rsidRDefault="005C5935" w:rsidP="001473DB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440" w:lineRule="exact"/>
        <w:ind w:left="408" w:hanging="181"/>
        <w:jc w:val="both"/>
        <w:rPr>
          <w:b/>
        </w:rPr>
      </w:pPr>
      <w:r w:rsidRPr="00F23F57">
        <w:rPr>
          <w:b/>
        </w:rPr>
        <w:t>Electricity</w:t>
      </w:r>
    </w:p>
    <w:p w14:paraId="72091C65" w14:textId="08711216" w:rsidR="005C5935" w:rsidRPr="00F23F57" w:rsidRDefault="005C5935" w:rsidP="00A2585B">
      <w:pPr>
        <w:numPr>
          <w:ilvl w:val="0"/>
          <w:numId w:val="14"/>
        </w:numPr>
        <w:tabs>
          <w:tab w:val="num" w:pos="600"/>
        </w:tabs>
        <w:autoSpaceDE w:val="0"/>
        <w:autoSpaceDN w:val="0"/>
        <w:adjustRightInd w:val="0"/>
        <w:snapToGrid w:val="0"/>
        <w:spacing w:line="440" w:lineRule="exact"/>
        <w:ind w:left="697" w:hanging="357"/>
        <w:jc w:val="both"/>
      </w:pPr>
      <w:r w:rsidRPr="00F23F57">
        <w:t xml:space="preserve">In </w:t>
      </w:r>
      <w:r w:rsidR="00560BB3" w:rsidRPr="00F23F57">
        <w:t>20</w:t>
      </w:r>
      <w:r w:rsidR="00CF31E7">
        <w:t>20</w:t>
      </w:r>
      <w:r w:rsidRPr="00F23F57">
        <w:t>, gross power generation reached</w:t>
      </w:r>
      <w:r w:rsidR="0063596B" w:rsidRPr="00F23F57">
        <w:t xml:space="preserve"> </w:t>
      </w:r>
      <w:r w:rsidR="00B2724A" w:rsidRPr="00F240DB">
        <w:t>2</w:t>
      </w:r>
      <w:r w:rsidR="00B2724A">
        <w:t>80</w:t>
      </w:r>
      <w:r w:rsidR="00B2724A" w:rsidRPr="00F240DB">
        <w:t>,</w:t>
      </w:r>
      <w:r w:rsidR="00B2724A">
        <w:t>139</w:t>
      </w:r>
      <w:r w:rsidR="00B2724A" w:rsidRPr="00F240DB">
        <w:t>.</w:t>
      </w:r>
      <w:r w:rsidR="00B2724A">
        <w:t>9</w:t>
      </w:r>
      <w:r w:rsidRPr="00F23F57">
        <w:t xml:space="preserve"> GWh, which was </w:t>
      </w:r>
      <w:r w:rsidR="00CF31E7">
        <w:t>an</w:t>
      </w:r>
      <w:r w:rsidR="00560BB3" w:rsidRPr="00F23F57">
        <w:t xml:space="preserve"> </w:t>
      </w:r>
      <w:r w:rsidR="00CF31E7">
        <w:t>in</w:t>
      </w:r>
      <w:r w:rsidR="00560BB3" w:rsidRPr="00F23F57">
        <w:t xml:space="preserve">crease of </w:t>
      </w:r>
      <w:r w:rsidR="00B2724A">
        <w:t>2</w:t>
      </w:r>
      <w:r w:rsidR="00B2724A" w:rsidRPr="00F240DB">
        <w:t>.</w:t>
      </w:r>
      <w:r w:rsidR="00B2724A">
        <w:t>17</w:t>
      </w:r>
      <w:r w:rsidRPr="00F23F57">
        <w:t xml:space="preserve">% over </w:t>
      </w:r>
      <w:r w:rsidR="00B2724A" w:rsidRPr="00F240DB">
        <w:t>27</w:t>
      </w:r>
      <w:r w:rsidR="00B2724A">
        <w:t>4</w:t>
      </w:r>
      <w:r w:rsidR="00B2724A" w:rsidRPr="00F240DB">
        <w:t>,</w:t>
      </w:r>
      <w:r w:rsidR="00B2724A">
        <w:t>190</w:t>
      </w:r>
      <w:r w:rsidR="00B2724A" w:rsidRPr="00F240DB">
        <w:t>.9</w:t>
      </w:r>
      <w:r w:rsidRPr="00F23F57">
        <w:t xml:space="preserve"> GWh in </w:t>
      </w:r>
      <w:r w:rsidR="00560BB3" w:rsidRPr="00F23F57">
        <w:t>201</w:t>
      </w:r>
      <w:r w:rsidR="00CF31E7">
        <w:t>9</w:t>
      </w:r>
      <w:r w:rsidRPr="00F23F57">
        <w:t>. Of this total, pumped-storage hydro</w:t>
      </w:r>
      <w:r w:rsidR="005401C1" w:rsidRPr="00F23F57">
        <w:t xml:space="preserve"> </w:t>
      </w:r>
      <w:r w:rsidRPr="00F23F57">
        <w:t xml:space="preserve">contributed </w:t>
      </w:r>
      <w:r w:rsidR="00B2724A" w:rsidRPr="00F240DB">
        <w:t>1.1</w:t>
      </w:r>
      <w:r w:rsidR="00B2724A">
        <w:t>3</w:t>
      </w:r>
      <w:r w:rsidRPr="00F23F57">
        <w:t xml:space="preserve">%, thermal </w:t>
      </w:r>
      <w:r w:rsidR="00B2724A" w:rsidRPr="00F240DB">
        <w:t>8</w:t>
      </w:r>
      <w:r w:rsidR="00B2724A">
        <w:t>2</w:t>
      </w:r>
      <w:r w:rsidR="00B2724A" w:rsidRPr="00F240DB">
        <w:t>.</w:t>
      </w:r>
      <w:r w:rsidR="00B2724A">
        <w:t>18</w:t>
      </w:r>
      <w:r w:rsidRPr="00F23F57">
        <w:t xml:space="preserve">%, nuclear </w:t>
      </w:r>
      <w:r w:rsidR="00B2724A" w:rsidRPr="00F240DB">
        <w:t>11.</w:t>
      </w:r>
      <w:r w:rsidR="00B2724A">
        <w:t>22</w:t>
      </w:r>
      <w:r w:rsidRPr="00F23F57">
        <w:t>%, and conventional hydro</w:t>
      </w:r>
      <w:r w:rsidR="00A64876" w:rsidRPr="00F23F57">
        <w:t>,</w:t>
      </w:r>
      <w:r w:rsidR="00A64876">
        <w:rPr>
          <w:rFonts w:hint="eastAsia"/>
        </w:rPr>
        <w:t xml:space="preserve"> </w:t>
      </w:r>
      <w:r w:rsidR="00A64876" w:rsidRPr="00A64876">
        <w:t>Geothermal</w:t>
      </w:r>
      <w:r w:rsidRPr="00F23F57">
        <w:t xml:space="preserve">, </w:t>
      </w:r>
      <w:r w:rsidR="0063596B" w:rsidRPr="00F23F57">
        <w:t xml:space="preserve">solar </w:t>
      </w:r>
      <w:r w:rsidR="002A0460" w:rsidRPr="00F23F57">
        <w:t xml:space="preserve">PV </w:t>
      </w:r>
      <w:r w:rsidR="0063596B" w:rsidRPr="00F23F57">
        <w:t>and wind</w:t>
      </w:r>
      <w:r w:rsidR="001D4FB4" w:rsidRPr="00F23F57">
        <w:t>, biomass and waste constitute</w:t>
      </w:r>
      <w:r w:rsidR="00560BB3" w:rsidRPr="00F23F57">
        <w:t xml:space="preserve"> </w:t>
      </w:r>
      <w:r w:rsidR="00B2724A" w:rsidRPr="00F240DB">
        <w:t>5.</w:t>
      </w:r>
      <w:r w:rsidR="00B2724A">
        <w:t>47</w:t>
      </w:r>
      <w:r w:rsidRPr="00F23F57">
        <w:t>%.</w:t>
      </w:r>
    </w:p>
    <w:p w14:paraId="6293430E" w14:textId="255B80F9" w:rsidR="005C5935" w:rsidRPr="00F23F57" w:rsidRDefault="005C5935" w:rsidP="001473DB">
      <w:pPr>
        <w:numPr>
          <w:ilvl w:val="0"/>
          <w:numId w:val="14"/>
        </w:numPr>
        <w:tabs>
          <w:tab w:val="num" w:pos="600"/>
        </w:tabs>
        <w:autoSpaceDE w:val="0"/>
        <w:autoSpaceDN w:val="0"/>
        <w:adjustRightInd w:val="0"/>
        <w:snapToGrid w:val="0"/>
        <w:spacing w:line="440" w:lineRule="exact"/>
        <w:ind w:left="697" w:hanging="357"/>
        <w:jc w:val="both"/>
      </w:pPr>
      <w:r w:rsidRPr="00F23F57">
        <w:t>The total fuel consumption of thermal power stations</w:t>
      </w:r>
      <w:r w:rsidR="0063596B" w:rsidRPr="00F23F57">
        <w:t xml:space="preserve"> of Taiwan power company in </w:t>
      </w:r>
      <w:r w:rsidR="00560BB3" w:rsidRPr="00F23F57">
        <w:t>20</w:t>
      </w:r>
      <w:r w:rsidR="00CF31E7">
        <w:t>20</w:t>
      </w:r>
      <w:r w:rsidRPr="00F23F57">
        <w:t xml:space="preserve"> was </w:t>
      </w:r>
      <w:r w:rsidR="00B2724A" w:rsidRPr="00FC5BA1">
        <w:t>32,051.2</w:t>
      </w:r>
      <w:r w:rsidRPr="00F23F57">
        <w:t xml:space="preserve"> 10</w:t>
      </w:r>
      <w:r w:rsidRPr="00F23F57">
        <w:rPr>
          <w:vertAlign w:val="superscript"/>
        </w:rPr>
        <w:t>3</w:t>
      </w:r>
      <w:r w:rsidR="0063596B" w:rsidRPr="00F23F57">
        <w:t xml:space="preserve"> KLOEs, which was </w:t>
      </w:r>
      <w:r w:rsidR="00CF31E7">
        <w:t>3</w:t>
      </w:r>
      <w:r w:rsidR="00A10DDB" w:rsidRPr="009C6DDC">
        <w:t>.</w:t>
      </w:r>
      <w:r w:rsidR="00CF31E7">
        <w:t>02</w:t>
      </w:r>
      <w:r w:rsidR="00560BB3" w:rsidRPr="00F23F57">
        <w:t xml:space="preserve">% </w:t>
      </w:r>
      <w:r w:rsidR="00CF31E7">
        <w:t>more</w:t>
      </w:r>
      <w:r w:rsidRPr="00F23F57">
        <w:t xml:space="preserve"> than </w:t>
      </w:r>
      <w:r w:rsidR="00B2724A" w:rsidRPr="00FC5BA1">
        <w:t>31,110.2</w:t>
      </w:r>
      <w:r w:rsidRPr="00F23F57">
        <w:t xml:space="preserve"> 10</w:t>
      </w:r>
      <w:r w:rsidRPr="00F23F57">
        <w:rPr>
          <w:vertAlign w:val="superscript"/>
        </w:rPr>
        <w:t>3</w:t>
      </w:r>
      <w:r w:rsidR="0063596B" w:rsidRPr="00F23F57">
        <w:t xml:space="preserve"> KLOEs in </w:t>
      </w:r>
      <w:r w:rsidR="00560BB3" w:rsidRPr="00F23F57">
        <w:t>201</w:t>
      </w:r>
      <w:r w:rsidR="00CF31E7">
        <w:t>9</w:t>
      </w:r>
      <w:r w:rsidRPr="00F23F57">
        <w:t>. Of thi</w:t>
      </w:r>
      <w:r w:rsidR="0063596B" w:rsidRPr="00F23F57">
        <w:t xml:space="preserve">s consumption, coal comprised </w:t>
      </w:r>
      <w:r w:rsidR="00B2724A" w:rsidRPr="00FC5BA1">
        <w:t>50.27</w:t>
      </w:r>
      <w:r w:rsidRPr="00F23F57">
        <w:t>%</w:t>
      </w:r>
      <w:r w:rsidR="0063596B" w:rsidRPr="00F23F57">
        <w:t xml:space="preserve">, diesel oil </w:t>
      </w:r>
      <w:r w:rsidR="00B2724A" w:rsidRPr="00FC5BA1">
        <w:t>0.17</w:t>
      </w:r>
      <w:r w:rsidR="0063596B" w:rsidRPr="00F23F57">
        <w:t xml:space="preserve">%, fuel oil </w:t>
      </w:r>
      <w:r w:rsidR="00B2724A" w:rsidRPr="00FC5BA1">
        <w:t>2.52</w:t>
      </w:r>
      <w:r w:rsidR="00560BB3" w:rsidRPr="00F23F57">
        <w:t xml:space="preserve">%, and LNG </w:t>
      </w:r>
      <w:r w:rsidR="00B2724A" w:rsidRPr="00FC5BA1">
        <w:t>47.03</w:t>
      </w:r>
      <w:r w:rsidRPr="00F23F57">
        <w:t>%.</w:t>
      </w:r>
    </w:p>
    <w:p w14:paraId="46804D5F" w14:textId="167734D1" w:rsidR="005C5935" w:rsidRPr="00F23F57" w:rsidRDefault="005C5935" w:rsidP="001473DB">
      <w:pPr>
        <w:numPr>
          <w:ilvl w:val="0"/>
          <w:numId w:val="14"/>
        </w:numPr>
        <w:tabs>
          <w:tab w:val="num" w:pos="600"/>
        </w:tabs>
        <w:autoSpaceDE w:val="0"/>
        <w:autoSpaceDN w:val="0"/>
        <w:adjustRightInd w:val="0"/>
        <w:snapToGrid w:val="0"/>
        <w:spacing w:line="440" w:lineRule="exact"/>
        <w:ind w:left="697" w:hanging="357"/>
        <w:jc w:val="both"/>
      </w:pPr>
      <w:r w:rsidRPr="00F23F57">
        <w:t xml:space="preserve">In </w:t>
      </w:r>
      <w:r w:rsidR="00F23F57" w:rsidRPr="00F23F57">
        <w:t>201</w:t>
      </w:r>
      <w:r w:rsidR="00B830D8">
        <w:rPr>
          <w:rFonts w:hint="eastAsia"/>
        </w:rPr>
        <w:t>9</w:t>
      </w:r>
      <w:r w:rsidRPr="00F23F57">
        <w:t xml:space="preserve">, the amount of </w:t>
      </w:r>
      <w:r w:rsidR="00341321">
        <w:t xml:space="preserve">sectoral </w:t>
      </w:r>
      <w:r w:rsidRPr="00F23F57">
        <w:t>electricity consumed</w:t>
      </w:r>
      <w:r w:rsidR="00341321">
        <w:t xml:space="preserve"> </w:t>
      </w:r>
      <w:r w:rsidR="00341321">
        <w:t>by</w:t>
      </w:r>
      <w:r w:rsidR="00341321">
        <w:rPr>
          <w:color w:val="FF0000"/>
        </w:rPr>
        <w:t xml:space="preserve"> </w:t>
      </w:r>
      <w:r w:rsidR="00341321" w:rsidRPr="00341321">
        <w:t>total demand (</w:t>
      </w:r>
      <w:r w:rsidR="00341321">
        <w:t>including line losses and statistical differences)</w:t>
      </w:r>
      <w:r w:rsidR="00341321">
        <w:t xml:space="preserve"> </w:t>
      </w:r>
      <w:r w:rsidRPr="00F23F57">
        <w:t xml:space="preserve">was </w:t>
      </w:r>
      <w:r w:rsidR="00B2724A">
        <w:t>6</w:t>
      </w:r>
      <w:r w:rsidR="00B2724A" w:rsidRPr="005621ED">
        <w:t>.</w:t>
      </w:r>
      <w:r w:rsidR="00B2724A">
        <w:t>89</w:t>
      </w:r>
      <w:r w:rsidRPr="00F23F57">
        <w:t xml:space="preserve">% by </w:t>
      </w:r>
      <w:r w:rsidR="0063596B" w:rsidRPr="00F23F57">
        <w:t xml:space="preserve">the energy sector own use; </w:t>
      </w:r>
      <w:r w:rsidR="00B2724A" w:rsidRPr="005621ED">
        <w:t>53.8</w:t>
      </w:r>
      <w:r w:rsidR="00B2724A">
        <w:t>1</w:t>
      </w:r>
      <w:r w:rsidRPr="00F23F57">
        <w:t xml:space="preserve">% by industry; </w:t>
      </w:r>
      <w:r w:rsidR="00B2724A" w:rsidRPr="005621ED">
        <w:t>0.5</w:t>
      </w:r>
      <w:r w:rsidR="00B2724A">
        <w:t>3</w:t>
      </w:r>
      <w:r w:rsidRPr="00F23F57">
        <w:t xml:space="preserve">% by transportation; </w:t>
      </w:r>
      <w:r w:rsidR="00B2724A" w:rsidRPr="005621ED">
        <w:t>1.1</w:t>
      </w:r>
      <w:r w:rsidR="00B2724A">
        <w:t>7</w:t>
      </w:r>
      <w:r w:rsidRPr="00F23F57">
        <w:t xml:space="preserve">% by agriculture, forestry and fishery; </w:t>
      </w:r>
      <w:r w:rsidR="00B2724A" w:rsidRPr="005621ED">
        <w:t>1</w:t>
      </w:r>
      <w:r w:rsidR="00B2724A">
        <w:t>6</w:t>
      </w:r>
      <w:r w:rsidR="00B2724A" w:rsidRPr="005621ED">
        <w:t>.</w:t>
      </w:r>
      <w:r w:rsidR="00B2724A">
        <w:t>51</w:t>
      </w:r>
      <w:r w:rsidRPr="00F23F57">
        <w:t xml:space="preserve">% by service; and </w:t>
      </w:r>
      <w:r w:rsidR="00B2724A" w:rsidRPr="005621ED">
        <w:t>17.</w:t>
      </w:r>
      <w:r w:rsidR="00B2724A">
        <w:t>9</w:t>
      </w:r>
      <w:r w:rsidR="00B2724A" w:rsidRPr="005621ED">
        <w:t>2</w:t>
      </w:r>
      <w:r w:rsidRPr="00F23F57">
        <w:t>% by res</w:t>
      </w:r>
      <w:r w:rsidR="0063596B" w:rsidRPr="00F23F57">
        <w:t xml:space="preserve">idences. When compared with </w:t>
      </w:r>
      <w:r w:rsidR="00F23F57" w:rsidRPr="00F23F57">
        <w:t>201</w:t>
      </w:r>
      <w:r w:rsidR="00CF31E7">
        <w:t>9</w:t>
      </w:r>
      <w:r w:rsidR="0063596B" w:rsidRPr="00F23F57">
        <w:t xml:space="preserve">, energy sector own use </w:t>
      </w:r>
      <w:r w:rsidR="00CF31E7">
        <w:t>de</w:t>
      </w:r>
      <w:r w:rsidRPr="00F23F57">
        <w:t>crease</w:t>
      </w:r>
      <w:r w:rsidR="009231A3" w:rsidRPr="00F23F57">
        <w:t>d</w:t>
      </w:r>
      <w:r w:rsidRPr="00F23F57">
        <w:t xml:space="preserve"> by </w:t>
      </w:r>
      <w:r w:rsidR="00B2724A">
        <w:rPr>
          <w:rFonts w:hint="eastAsia"/>
        </w:rPr>
        <w:t>1</w:t>
      </w:r>
      <w:r w:rsidR="00B2724A" w:rsidRPr="005621ED">
        <w:t>.</w:t>
      </w:r>
      <w:r w:rsidR="00B2724A">
        <w:t>37</w:t>
      </w:r>
      <w:r w:rsidR="0063596B" w:rsidRPr="00F23F57">
        <w:t xml:space="preserve">%; industry </w:t>
      </w:r>
      <w:r w:rsidR="00CF31E7">
        <w:t>in</w:t>
      </w:r>
      <w:r w:rsidR="0063596B" w:rsidRPr="00F23F57">
        <w:t>crease</w:t>
      </w:r>
      <w:r w:rsidR="009231A3" w:rsidRPr="00F23F57">
        <w:t>d</w:t>
      </w:r>
      <w:r w:rsidR="0063596B" w:rsidRPr="00F23F57">
        <w:t xml:space="preserve"> by </w:t>
      </w:r>
      <w:r w:rsidR="00B2724A">
        <w:t>2</w:t>
      </w:r>
      <w:r w:rsidR="00B2724A" w:rsidRPr="005621ED">
        <w:t>.</w:t>
      </w:r>
      <w:r w:rsidR="00B2724A">
        <w:t>08</w:t>
      </w:r>
      <w:r w:rsidRPr="00F23F57">
        <w:t xml:space="preserve">%; transportation </w:t>
      </w:r>
      <w:r w:rsidR="00341321">
        <w:t>de</w:t>
      </w:r>
      <w:r w:rsidRPr="00F23F57">
        <w:t>crease</w:t>
      </w:r>
      <w:r w:rsidR="009231A3" w:rsidRPr="00F23F57">
        <w:t>d</w:t>
      </w:r>
      <w:r w:rsidRPr="00F23F57">
        <w:t xml:space="preserve"> by </w:t>
      </w:r>
      <w:r w:rsidR="00B2724A" w:rsidRPr="005621ED">
        <w:t>1.</w:t>
      </w:r>
      <w:r w:rsidR="00B2724A">
        <w:rPr>
          <w:rFonts w:hint="eastAsia"/>
        </w:rPr>
        <w:t>2</w:t>
      </w:r>
      <w:r w:rsidR="00B2724A">
        <w:t>1</w:t>
      </w:r>
      <w:r w:rsidRPr="00F23F57">
        <w:t>%; agri</w:t>
      </w:r>
      <w:r w:rsidR="00F23F57" w:rsidRPr="00F23F57">
        <w:t xml:space="preserve">culture, forestry and fishery </w:t>
      </w:r>
      <w:r w:rsidR="00A10DDB">
        <w:t>in</w:t>
      </w:r>
      <w:r w:rsidR="009231A3" w:rsidRPr="00F23F57">
        <w:t xml:space="preserve">creased by </w:t>
      </w:r>
      <w:r w:rsidR="00B2724A">
        <w:t>7</w:t>
      </w:r>
      <w:r w:rsidR="00B2724A" w:rsidRPr="005621ED">
        <w:t>.</w:t>
      </w:r>
      <w:r w:rsidR="00B2724A">
        <w:t>49</w:t>
      </w:r>
      <w:r w:rsidR="00F23F57" w:rsidRPr="00F23F57">
        <w:t xml:space="preserve">%; service </w:t>
      </w:r>
      <w:r w:rsidR="00F23F57" w:rsidRPr="00F23F57">
        <w:rPr>
          <w:rFonts w:hint="eastAsia"/>
        </w:rPr>
        <w:t>de</w:t>
      </w:r>
      <w:r w:rsidR="009231A3" w:rsidRPr="00F23F57">
        <w:t xml:space="preserve">creased by </w:t>
      </w:r>
      <w:r w:rsidR="00B2724A">
        <w:t>1</w:t>
      </w:r>
      <w:r w:rsidR="00B2724A" w:rsidRPr="005621ED">
        <w:t>.</w:t>
      </w:r>
      <w:r w:rsidR="00B2724A">
        <w:t>07</w:t>
      </w:r>
      <w:r w:rsidR="00F23F57" w:rsidRPr="00F23F57">
        <w:t xml:space="preserve">% and residences </w:t>
      </w:r>
      <w:r w:rsidR="004A18F7">
        <w:t>in</w:t>
      </w:r>
      <w:r w:rsidRPr="00F23F57">
        <w:t>c</w:t>
      </w:r>
      <w:r w:rsidR="009231A3" w:rsidRPr="00F23F57">
        <w:t xml:space="preserve">reased by </w:t>
      </w:r>
      <w:r w:rsidR="00B2724A">
        <w:t>6</w:t>
      </w:r>
      <w:r w:rsidR="00B2724A" w:rsidRPr="005621ED">
        <w:t>.</w:t>
      </w:r>
      <w:r w:rsidR="00B2724A">
        <w:t>39</w:t>
      </w:r>
      <w:r w:rsidRPr="00F23F57">
        <w:t>%.</w:t>
      </w:r>
    </w:p>
    <w:p w14:paraId="432514D2" w14:textId="755BADE3" w:rsidR="0063596B" w:rsidRPr="0060132A" w:rsidRDefault="005C5935" w:rsidP="001473DB">
      <w:pPr>
        <w:numPr>
          <w:ilvl w:val="0"/>
          <w:numId w:val="14"/>
        </w:numPr>
        <w:tabs>
          <w:tab w:val="num" w:pos="600"/>
        </w:tabs>
        <w:autoSpaceDE w:val="0"/>
        <w:autoSpaceDN w:val="0"/>
        <w:adjustRightInd w:val="0"/>
        <w:snapToGrid w:val="0"/>
        <w:spacing w:line="440" w:lineRule="exact"/>
        <w:ind w:left="697" w:hanging="357"/>
        <w:jc w:val="both"/>
      </w:pPr>
      <w:r w:rsidRPr="0060132A">
        <w:t xml:space="preserve">In </w:t>
      </w:r>
      <w:r w:rsidR="00F23F57" w:rsidRPr="0060132A">
        <w:t>20</w:t>
      </w:r>
      <w:r w:rsidR="0060132A" w:rsidRPr="0060132A">
        <w:t>20</w:t>
      </w:r>
      <w:r w:rsidRPr="0060132A">
        <w:t xml:space="preserve">, the per capita electricity consumption was </w:t>
      </w:r>
      <w:r w:rsidR="00B2724A" w:rsidRPr="00A6664A">
        <w:t>11,502.2</w:t>
      </w:r>
      <w:r w:rsidR="00F71257" w:rsidRPr="0060132A">
        <w:t xml:space="preserve"> k</w:t>
      </w:r>
      <w:r w:rsidRPr="0060132A">
        <w:t>Wh, which was a</w:t>
      </w:r>
      <w:r w:rsidR="0060132A" w:rsidRPr="0060132A">
        <w:t>n</w:t>
      </w:r>
      <w:r w:rsidR="00644BD2" w:rsidRPr="0060132A">
        <w:t xml:space="preserve"> </w:t>
      </w:r>
      <w:r w:rsidR="0060132A" w:rsidRPr="0060132A">
        <w:t>in</w:t>
      </w:r>
      <w:r w:rsidR="00644BD2" w:rsidRPr="0060132A">
        <w:t xml:space="preserve">crease of </w:t>
      </w:r>
      <w:r w:rsidR="00B2724A" w:rsidRPr="00A6664A">
        <w:t>2.14</w:t>
      </w:r>
      <w:r w:rsidRPr="0060132A">
        <w:t xml:space="preserve">% compared with </w:t>
      </w:r>
      <w:r w:rsidR="00B2724A" w:rsidRPr="00A6664A">
        <w:t>11,261.2</w:t>
      </w:r>
      <w:r w:rsidR="00F71257" w:rsidRPr="0060132A">
        <w:t xml:space="preserve"> k</w:t>
      </w:r>
      <w:r w:rsidRPr="0060132A">
        <w:t xml:space="preserve">Wh in </w:t>
      </w:r>
      <w:r w:rsidR="00F23F57" w:rsidRPr="0060132A">
        <w:t>201</w:t>
      </w:r>
      <w:r w:rsidR="0060132A" w:rsidRPr="0060132A">
        <w:t>9</w:t>
      </w:r>
      <w:r w:rsidRPr="0060132A">
        <w:t>.</w:t>
      </w:r>
    </w:p>
    <w:p w14:paraId="009C97EE" w14:textId="77777777" w:rsidR="005C5935" w:rsidRPr="00F23F57" w:rsidRDefault="005C5935" w:rsidP="005C5935">
      <w:pPr>
        <w:autoSpaceDE w:val="0"/>
        <w:autoSpaceDN w:val="0"/>
        <w:adjustRightInd w:val="0"/>
        <w:snapToGrid w:val="0"/>
        <w:spacing w:line="440" w:lineRule="exact"/>
      </w:pPr>
    </w:p>
    <w:p w14:paraId="127D3E8F" w14:textId="77777777" w:rsidR="00EC4687" w:rsidRPr="00F23F57" w:rsidRDefault="00EC4687" w:rsidP="005C5935">
      <w:pPr>
        <w:pStyle w:val="a6"/>
        <w:rPr>
          <w:rFonts w:ascii="Times New Roman"/>
          <w:color w:val="auto"/>
        </w:rPr>
      </w:pPr>
    </w:p>
    <w:sectPr w:rsidR="00EC4687" w:rsidRPr="00F23F57">
      <w:headerReference w:type="even" r:id="rId8"/>
      <w:headerReference w:type="default" r:id="rId9"/>
      <w:footerReference w:type="even" r:id="rId10"/>
      <w:pgSz w:w="11906" w:h="16838"/>
      <w:pgMar w:top="1440" w:right="1466" w:bottom="1440" w:left="16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678F" w14:textId="77777777" w:rsidR="006011E8" w:rsidRDefault="006011E8">
      <w:r>
        <w:separator/>
      </w:r>
    </w:p>
  </w:endnote>
  <w:endnote w:type="continuationSeparator" w:id="0">
    <w:p w14:paraId="6528D084" w14:textId="77777777" w:rsidR="006011E8" w:rsidRDefault="0060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altName w:val="微軟正黑體"/>
    <w:charset w:val="88"/>
    <w:family w:val="modern"/>
    <w:pitch w:val="fixed"/>
    <w:sig w:usb0="00000000" w:usb1="29D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EEA1" w14:textId="77777777" w:rsidR="00BD2564" w:rsidRDefault="00BD2564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35757F" w14:textId="77777777" w:rsidR="00BD2564" w:rsidRDefault="00BD2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3040" w14:textId="77777777" w:rsidR="006011E8" w:rsidRDefault="006011E8">
      <w:r>
        <w:separator/>
      </w:r>
    </w:p>
  </w:footnote>
  <w:footnote w:type="continuationSeparator" w:id="0">
    <w:p w14:paraId="16FB8ACD" w14:textId="77777777" w:rsidR="006011E8" w:rsidRDefault="00601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5924" w14:textId="77777777" w:rsidR="00BD2564" w:rsidRDefault="00BD2564">
    <w:pPr>
      <w:pStyle w:val="a9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FC27C3D" w14:textId="77777777" w:rsidR="00BD2564" w:rsidRDefault="00BD2564">
    <w:pPr>
      <w:pStyle w:val="a9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79F1" w14:textId="77777777" w:rsidR="00BD2564" w:rsidRDefault="00BD2564">
    <w:pPr>
      <w:pStyle w:val="a9"/>
      <w:framePr w:wrap="around" w:vAnchor="text" w:hAnchor="margin" w:xAlign="outside" w:y="1"/>
      <w:rPr>
        <w:rStyle w:val="a8"/>
        <w:b/>
        <w:i/>
        <w:sz w:val="24"/>
      </w:rPr>
    </w:pPr>
    <w:r>
      <w:rPr>
        <w:rStyle w:val="a8"/>
        <w:b/>
        <w:i/>
        <w:sz w:val="24"/>
      </w:rPr>
      <w:fldChar w:fldCharType="begin"/>
    </w:r>
    <w:r>
      <w:rPr>
        <w:rStyle w:val="a8"/>
        <w:b/>
        <w:i/>
        <w:sz w:val="24"/>
      </w:rPr>
      <w:instrText xml:space="preserve">PAGE  </w:instrText>
    </w:r>
    <w:r>
      <w:rPr>
        <w:rStyle w:val="a8"/>
        <w:b/>
        <w:i/>
        <w:sz w:val="24"/>
      </w:rPr>
      <w:fldChar w:fldCharType="separate"/>
    </w:r>
    <w:r w:rsidR="00F23F57">
      <w:rPr>
        <w:rStyle w:val="a8"/>
        <w:b/>
        <w:i/>
        <w:noProof/>
        <w:sz w:val="24"/>
      </w:rPr>
      <w:t>1</w:t>
    </w:r>
    <w:r>
      <w:rPr>
        <w:rStyle w:val="a8"/>
        <w:b/>
        <w:i/>
        <w:sz w:val="24"/>
      </w:rPr>
      <w:fldChar w:fldCharType="end"/>
    </w:r>
  </w:p>
  <w:p w14:paraId="1507B71E" w14:textId="77777777" w:rsidR="00BD2564" w:rsidRDefault="00BD2564">
    <w:pPr>
      <w:pStyle w:val="a9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90A"/>
    <w:multiLevelType w:val="singleLevel"/>
    <w:tmpl w:val="56BCD6B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" w15:restartNumberingAfterBreak="0">
    <w:nsid w:val="1C29088C"/>
    <w:multiLevelType w:val="singleLevel"/>
    <w:tmpl w:val="A94AF682"/>
    <w:lvl w:ilvl="0">
      <w:start w:val="1"/>
      <w:numFmt w:val="upperRoman"/>
      <w:pStyle w:val="2"/>
      <w:lvlText w:val="%1."/>
      <w:lvlJc w:val="left"/>
      <w:pPr>
        <w:tabs>
          <w:tab w:val="num" w:pos="195"/>
        </w:tabs>
        <w:ind w:left="195" w:hanging="195"/>
      </w:pPr>
      <w:rPr>
        <w:rFonts w:hint="default"/>
      </w:rPr>
    </w:lvl>
  </w:abstractNum>
  <w:abstractNum w:abstractNumId="2" w15:restartNumberingAfterBreak="0">
    <w:nsid w:val="1E3C1081"/>
    <w:multiLevelType w:val="singleLevel"/>
    <w:tmpl w:val="66E6EBCC"/>
    <w:lvl w:ilvl="0">
      <w:start w:val="1"/>
      <w:numFmt w:val="decimal"/>
      <w:lvlText w:val="(%1)"/>
      <w:lvlJc w:val="left"/>
      <w:pPr>
        <w:tabs>
          <w:tab w:val="num" w:pos="497"/>
        </w:tabs>
        <w:ind w:left="497" w:hanging="27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2CD5B7D"/>
    <w:multiLevelType w:val="singleLevel"/>
    <w:tmpl w:val="21B8128A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450"/>
      </w:pPr>
      <w:rPr>
        <w:rFonts w:hint="default"/>
      </w:rPr>
    </w:lvl>
  </w:abstractNum>
  <w:abstractNum w:abstractNumId="4" w15:restartNumberingAfterBreak="0">
    <w:nsid w:val="23E241B3"/>
    <w:multiLevelType w:val="singleLevel"/>
    <w:tmpl w:val="21B8128A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450"/>
      </w:pPr>
      <w:rPr>
        <w:rFonts w:hint="default"/>
      </w:rPr>
    </w:lvl>
  </w:abstractNum>
  <w:abstractNum w:abstractNumId="5" w15:restartNumberingAfterBreak="0">
    <w:nsid w:val="2B7558C8"/>
    <w:multiLevelType w:val="singleLevel"/>
    <w:tmpl w:val="7212949E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ascii="Times New Roman" w:eastAsia="新細明體" w:hint="eastAsia"/>
      </w:rPr>
    </w:lvl>
  </w:abstractNum>
  <w:abstractNum w:abstractNumId="6" w15:restartNumberingAfterBreak="0">
    <w:nsid w:val="2BE94CD8"/>
    <w:multiLevelType w:val="singleLevel"/>
    <w:tmpl w:val="7212949E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ascii="Times New Roman" w:eastAsia="新細明體" w:hint="eastAsia"/>
      </w:rPr>
    </w:lvl>
  </w:abstractNum>
  <w:abstractNum w:abstractNumId="7" w15:restartNumberingAfterBreak="0">
    <w:nsid w:val="30DF1F3A"/>
    <w:multiLevelType w:val="singleLevel"/>
    <w:tmpl w:val="A622087C"/>
    <w:lvl w:ilvl="0">
      <w:start w:val="1"/>
      <w:numFmt w:val="decimal"/>
      <w:lvlText w:val="(%1)"/>
      <w:lvlJc w:val="left"/>
      <w:pPr>
        <w:tabs>
          <w:tab w:val="num" w:pos="497"/>
        </w:tabs>
        <w:ind w:left="497" w:hanging="270"/>
      </w:pPr>
      <w:rPr>
        <w:rFonts w:hint="eastAsia"/>
      </w:rPr>
    </w:lvl>
  </w:abstractNum>
  <w:abstractNum w:abstractNumId="8" w15:restartNumberingAfterBreak="0">
    <w:nsid w:val="3CD15520"/>
    <w:multiLevelType w:val="singleLevel"/>
    <w:tmpl w:val="A622087C"/>
    <w:lvl w:ilvl="0">
      <w:start w:val="1"/>
      <w:numFmt w:val="decimal"/>
      <w:lvlText w:val="(%1)"/>
      <w:lvlJc w:val="left"/>
      <w:pPr>
        <w:tabs>
          <w:tab w:val="num" w:pos="497"/>
        </w:tabs>
        <w:ind w:left="497" w:hanging="270"/>
      </w:pPr>
      <w:rPr>
        <w:rFonts w:hint="eastAsia"/>
      </w:rPr>
    </w:lvl>
  </w:abstractNum>
  <w:abstractNum w:abstractNumId="9" w15:restartNumberingAfterBreak="0">
    <w:nsid w:val="3E2C68FE"/>
    <w:multiLevelType w:val="singleLevel"/>
    <w:tmpl w:val="B58C4B12"/>
    <w:lvl w:ilvl="0">
      <w:start w:val="1"/>
      <w:numFmt w:val="upperRoman"/>
      <w:pStyle w:val="1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0" w15:restartNumberingAfterBreak="0">
    <w:nsid w:val="40802CA4"/>
    <w:multiLevelType w:val="singleLevel"/>
    <w:tmpl w:val="7212949E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ascii="Times New Roman" w:eastAsia="新細明體" w:hint="eastAsia"/>
      </w:rPr>
    </w:lvl>
  </w:abstractNum>
  <w:abstractNum w:abstractNumId="11" w15:restartNumberingAfterBreak="0">
    <w:nsid w:val="4DC6781C"/>
    <w:multiLevelType w:val="singleLevel"/>
    <w:tmpl w:val="A622087C"/>
    <w:lvl w:ilvl="0">
      <w:start w:val="1"/>
      <w:numFmt w:val="decimal"/>
      <w:lvlText w:val="(%1)"/>
      <w:lvlJc w:val="left"/>
      <w:pPr>
        <w:tabs>
          <w:tab w:val="num" w:pos="497"/>
        </w:tabs>
        <w:ind w:left="497" w:hanging="270"/>
      </w:pPr>
      <w:rPr>
        <w:rFonts w:hint="eastAsia"/>
      </w:rPr>
    </w:lvl>
  </w:abstractNum>
  <w:abstractNum w:abstractNumId="12" w15:restartNumberingAfterBreak="0">
    <w:nsid w:val="5D473CA4"/>
    <w:multiLevelType w:val="singleLevel"/>
    <w:tmpl w:val="7212949E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ascii="Times New Roman" w:eastAsia="新細明體" w:hint="eastAsia"/>
      </w:rPr>
    </w:lvl>
  </w:abstractNum>
  <w:abstractNum w:abstractNumId="13" w15:restartNumberingAfterBreak="0">
    <w:nsid w:val="620B0153"/>
    <w:multiLevelType w:val="singleLevel"/>
    <w:tmpl w:val="F646A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180"/>
      </w:pPr>
      <w:rPr>
        <w:rFonts w:hint="default"/>
      </w:rPr>
    </w:lvl>
  </w:abstractNum>
  <w:abstractNum w:abstractNumId="14" w15:restartNumberingAfterBreak="0">
    <w:nsid w:val="7541133C"/>
    <w:multiLevelType w:val="singleLevel"/>
    <w:tmpl w:val="F044E8C6"/>
    <w:lvl w:ilvl="0">
      <w:start w:val="1"/>
      <w:numFmt w:val="decimal"/>
      <w:lvlText w:val="(%1)"/>
      <w:lvlJc w:val="left"/>
      <w:pPr>
        <w:tabs>
          <w:tab w:val="num" w:pos="497"/>
        </w:tabs>
        <w:ind w:left="497" w:hanging="27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DB256E0"/>
    <w:multiLevelType w:val="singleLevel"/>
    <w:tmpl w:val="28361710"/>
    <w:lvl w:ilvl="0">
      <w:start w:val="1"/>
      <w:numFmt w:val="decimal"/>
      <w:pStyle w:val="KK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6" w15:restartNumberingAfterBreak="0">
    <w:nsid w:val="7DD11510"/>
    <w:multiLevelType w:val="singleLevel"/>
    <w:tmpl w:val="7212949E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ascii="Times New Roman" w:eastAsia="新細明體" w:hint="eastAsia"/>
      </w:rPr>
    </w:lvl>
  </w:abstractNum>
  <w:abstractNum w:abstractNumId="17" w15:restartNumberingAfterBreak="0">
    <w:nsid w:val="7F104A8D"/>
    <w:multiLevelType w:val="singleLevel"/>
    <w:tmpl w:val="B2641C18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270"/>
      </w:pPr>
      <w:rPr>
        <w:rFonts w:eastAsia="細明體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8"/>
  </w:num>
  <w:num w:numId="5">
    <w:abstractNumId w:val="11"/>
  </w:num>
  <w:num w:numId="6">
    <w:abstractNumId w:val="14"/>
  </w:num>
  <w:num w:numId="7">
    <w:abstractNumId w:val="1"/>
  </w:num>
  <w:num w:numId="8">
    <w:abstractNumId w:val="13"/>
  </w:num>
  <w:num w:numId="9">
    <w:abstractNumId w:val="3"/>
  </w:num>
  <w:num w:numId="10">
    <w:abstractNumId w:val="6"/>
  </w:num>
  <w:num w:numId="11">
    <w:abstractNumId w:val="17"/>
  </w:num>
  <w:num w:numId="12">
    <w:abstractNumId w:val="2"/>
  </w:num>
  <w:num w:numId="13">
    <w:abstractNumId w:val="4"/>
  </w:num>
  <w:num w:numId="14">
    <w:abstractNumId w:val="7"/>
  </w:num>
  <w:num w:numId="15">
    <w:abstractNumId w:val="12"/>
  </w:num>
  <w:num w:numId="16">
    <w:abstractNumId w:val="15"/>
  </w:num>
  <w:num w:numId="17">
    <w:abstractNumId w:val="10"/>
  </w:num>
  <w:num w:numId="18">
    <w:abstractNumId w:val="15"/>
  </w:num>
  <w:num w:numId="19">
    <w:abstractNumId w:val="5"/>
  </w:num>
  <w:num w:numId="20">
    <w:abstractNumId w:val="15"/>
  </w:num>
  <w:num w:numId="21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56"/>
    <w:rsid w:val="000014EE"/>
    <w:rsid w:val="00003836"/>
    <w:rsid w:val="00011718"/>
    <w:rsid w:val="0001205F"/>
    <w:rsid w:val="00012FCC"/>
    <w:rsid w:val="000153A9"/>
    <w:rsid w:val="00020B37"/>
    <w:rsid w:val="00020FB1"/>
    <w:rsid w:val="00021136"/>
    <w:rsid w:val="000212B0"/>
    <w:rsid w:val="00021593"/>
    <w:rsid w:val="000217E0"/>
    <w:rsid w:val="00027137"/>
    <w:rsid w:val="00043DD5"/>
    <w:rsid w:val="00044E24"/>
    <w:rsid w:val="0004608F"/>
    <w:rsid w:val="00060E2E"/>
    <w:rsid w:val="00073C29"/>
    <w:rsid w:val="00074289"/>
    <w:rsid w:val="00081C01"/>
    <w:rsid w:val="00082E2F"/>
    <w:rsid w:val="0008360B"/>
    <w:rsid w:val="000848F5"/>
    <w:rsid w:val="000855C1"/>
    <w:rsid w:val="00092777"/>
    <w:rsid w:val="00092EE4"/>
    <w:rsid w:val="00094658"/>
    <w:rsid w:val="000967D5"/>
    <w:rsid w:val="000A6648"/>
    <w:rsid w:val="000A70F0"/>
    <w:rsid w:val="000A77D5"/>
    <w:rsid w:val="000B30AF"/>
    <w:rsid w:val="000B505F"/>
    <w:rsid w:val="000B59E8"/>
    <w:rsid w:val="000C18E5"/>
    <w:rsid w:val="000C2361"/>
    <w:rsid w:val="000C26AA"/>
    <w:rsid w:val="000C3133"/>
    <w:rsid w:val="000C7187"/>
    <w:rsid w:val="000D6664"/>
    <w:rsid w:val="000E2C0E"/>
    <w:rsid w:val="000E3A60"/>
    <w:rsid w:val="000E4EBA"/>
    <w:rsid w:val="000E66FE"/>
    <w:rsid w:val="000E687F"/>
    <w:rsid w:val="000F157B"/>
    <w:rsid w:val="000F4900"/>
    <w:rsid w:val="000F6A9F"/>
    <w:rsid w:val="000F6F24"/>
    <w:rsid w:val="000F7A44"/>
    <w:rsid w:val="0010062E"/>
    <w:rsid w:val="001013DF"/>
    <w:rsid w:val="00101D23"/>
    <w:rsid w:val="00101FE6"/>
    <w:rsid w:val="0010408A"/>
    <w:rsid w:val="001052C6"/>
    <w:rsid w:val="001113BB"/>
    <w:rsid w:val="00111DD4"/>
    <w:rsid w:val="00112DBB"/>
    <w:rsid w:val="00122DF0"/>
    <w:rsid w:val="001314AD"/>
    <w:rsid w:val="00137344"/>
    <w:rsid w:val="001375CE"/>
    <w:rsid w:val="00145454"/>
    <w:rsid w:val="00146665"/>
    <w:rsid w:val="001473DB"/>
    <w:rsid w:val="00151087"/>
    <w:rsid w:val="00151C92"/>
    <w:rsid w:val="0015354F"/>
    <w:rsid w:val="00160D2B"/>
    <w:rsid w:val="00163836"/>
    <w:rsid w:val="00164F2A"/>
    <w:rsid w:val="001665DB"/>
    <w:rsid w:val="00170220"/>
    <w:rsid w:val="00171670"/>
    <w:rsid w:val="0017178F"/>
    <w:rsid w:val="001727C8"/>
    <w:rsid w:val="0017299B"/>
    <w:rsid w:val="00181CBF"/>
    <w:rsid w:val="0018481E"/>
    <w:rsid w:val="00184F32"/>
    <w:rsid w:val="001858CA"/>
    <w:rsid w:val="00194431"/>
    <w:rsid w:val="001A0421"/>
    <w:rsid w:val="001A2398"/>
    <w:rsid w:val="001A511C"/>
    <w:rsid w:val="001B1BE5"/>
    <w:rsid w:val="001B2917"/>
    <w:rsid w:val="001B2E2C"/>
    <w:rsid w:val="001B5FCF"/>
    <w:rsid w:val="001C4FE0"/>
    <w:rsid w:val="001C6CF2"/>
    <w:rsid w:val="001D1BD9"/>
    <w:rsid w:val="001D3CC6"/>
    <w:rsid w:val="001D4886"/>
    <w:rsid w:val="001D4FB4"/>
    <w:rsid w:val="001E6954"/>
    <w:rsid w:val="001E7730"/>
    <w:rsid w:val="001F2650"/>
    <w:rsid w:val="001F2AD2"/>
    <w:rsid w:val="001F750A"/>
    <w:rsid w:val="002011E9"/>
    <w:rsid w:val="0020225D"/>
    <w:rsid w:val="00215B21"/>
    <w:rsid w:val="0022098D"/>
    <w:rsid w:val="00220B8D"/>
    <w:rsid w:val="00220C08"/>
    <w:rsid w:val="0022352C"/>
    <w:rsid w:val="00226CEB"/>
    <w:rsid w:val="002278BC"/>
    <w:rsid w:val="002310A4"/>
    <w:rsid w:val="00235D0D"/>
    <w:rsid w:val="00240038"/>
    <w:rsid w:val="0024070E"/>
    <w:rsid w:val="0024170F"/>
    <w:rsid w:val="0024242E"/>
    <w:rsid w:val="00242B4F"/>
    <w:rsid w:val="00246F12"/>
    <w:rsid w:val="00247161"/>
    <w:rsid w:val="002474DA"/>
    <w:rsid w:val="00251C62"/>
    <w:rsid w:val="00251EA5"/>
    <w:rsid w:val="00251FB6"/>
    <w:rsid w:val="00252114"/>
    <w:rsid w:val="00254496"/>
    <w:rsid w:val="00255928"/>
    <w:rsid w:val="00256E81"/>
    <w:rsid w:val="002647DD"/>
    <w:rsid w:val="00265688"/>
    <w:rsid w:val="00266420"/>
    <w:rsid w:val="00266526"/>
    <w:rsid w:val="002669A7"/>
    <w:rsid w:val="00266BE2"/>
    <w:rsid w:val="00267516"/>
    <w:rsid w:val="00272720"/>
    <w:rsid w:val="00276A19"/>
    <w:rsid w:val="002774AF"/>
    <w:rsid w:val="002808F4"/>
    <w:rsid w:val="0028343E"/>
    <w:rsid w:val="0028466C"/>
    <w:rsid w:val="00286CEE"/>
    <w:rsid w:val="00292D75"/>
    <w:rsid w:val="002930D9"/>
    <w:rsid w:val="00293D98"/>
    <w:rsid w:val="00296D54"/>
    <w:rsid w:val="002A0460"/>
    <w:rsid w:val="002A5D59"/>
    <w:rsid w:val="002A6861"/>
    <w:rsid w:val="002B2409"/>
    <w:rsid w:val="002B305F"/>
    <w:rsid w:val="002C2459"/>
    <w:rsid w:val="002C35E8"/>
    <w:rsid w:val="002C59C9"/>
    <w:rsid w:val="002C7225"/>
    <w:rsid w:val="002D0B67"/>
    <w:rsid w:val="002E1701"/>
    <w:rsid w:val="002E314C"/>
    <w:rsid w:val="002E73C6"/>
    <w:rsid w:val="002E79E9"/>
    <w:rsid w:val="002F2024"/>
    <w:rsid w:val="002F505D"/>
    <w:rsid w:val="002F5570"/>
    <w:rsid w:val="00302624"/>
    <w:rsid w:val="0030642B"/>
    <w:rsid w:val="00306B34"/>
    <w:rsid w:val="00312C48"/>
    <w:rsid w:val="00313F35"/>
    <w:rsid w:val="003218B1"/>
    <w:rsid w:val="003220EC"/>
    <w:rsid w:val="003227BC"/>
    <w:rsid w:val="00323A16"/>
    <w:rsid w:val="00327FDA"/>
    <w:rsid w:val="00330E01"/>
    <w:rsid w:val="0033265D"/>
    <w:rsid w:val="00335809"/>
    <w:rsid w:val="003364C2"/>
    <w:rsid w:val="00341321"/>
    <w:rsid w:val="00343341"/>
    <w:rsid w:val="00344971"/>
    <w:rsid w:val="003547D2"/>
    <w:rsid w:val="00357A16"/>
    <w:rsid w:val="0036535D"/>
    <w:rsid w:val="00365A40"/>
    <w:rsid w:val="00365EDE"/>
    <w:rsid w:val="0037312F"/>
    <w:rsid w:val="003733DE"/>
    <w:rsid w:val="00375344"/>
    <w:rsid w:val="0037580B"/>
    <w:rsid w:val="00382B42"/>
    <w:rsid w:val="0039037B"/>
    <w:rsid w:val="00391561"/>
    <w:rsid w:val="00391E7C"/>
    <w:rsid w:val="00394643"/>
    <w:rsid w:val="00395CA8"/>
    <w:rsid w:val="0039674D"/>
    <w:rsid w:val="003A0DE0"/>
    <w:rsid w:val="003A2C58"/>
    <w:rsid w:val="003A302B"/>
    <w:rsid w:val="003A4834"/>
    <w:rsid w:val="003A4A84"/>
    <w:rsid w:val="003A64FD"/>
    <w:rsid w:val="003A694B"/>
    <w:rsid w:val="003A79BE"/>
    <w:rsid w:val="003B3A3B"/>
    <w:rsid w:val="003B3DC5"/>
    <w:rsid w:val="003B573F"/>
    <w:rsid w:val="003B787F"/>
    <w:rsid w:val="003C5939"/>
    <w:rsid w:val="003C5E62"/>
    <w:rsid w:val="003D5741"/>
    <w:rsid w:val="003D7EC1"/>
    <w:rsid w:val="003E218E"/>
    <w:rsid w:val="003E6F3D"/>
    <w:rsid w:val="003F45CE"/>
    <w:rsid w:val="004072DF"/>
    <w:rsid w:val="00411878"/>
    <w:rsid w:val="00411CD9"/>
    <w:rsid w:val="004169A4"/>
    <w:rsid w:val="004204BD"/>
    <w:rsid w:val="004216B4"/>
    <w:rsid w:val="00421838"/>
    <w:rsid w:val="00422675"/>
    <w:rsid w:val="004236B9"/>
    <w:rsid w:val="00424557"/>
    <w:rsid w:val="00426123"/>
    <w:rsid w:val="00426B22"/>
    <w:rsid w:val="004330C0"/>
    <w:rsid w:val="004337CB"/>
    <w:rsid w:val="004358F6"/>
    <w:rsid w:val="00436AB8"/>
    <w:rsid w:val="0043734C"/>
    <w:rsid w:val="0044163C"/>
    <w:rsid w:val="00447F9F"/>
    <w:rsid w:val="00450038"/>
    <w:rsid w:val="004509DA"/>
    <w:rsid w:val="004533DC"/>
    <w:rsid w:val="00463CB3"/>
    <w:rsid w:val="00464AA8"/>
    <w:rsid w:val="00465C65"/>
    <w:rsid w:val="00472626"/>
    <w:rsid w:val="00474E8C"/>
    <w:rsid w:val="004817F3"/>
    <w:rsid w:val="00482158"/>
    <w:rsid w:val="0048590E"/>
    <w:rsid w:val="00487856"/>
    <w:rsid w:val="004947A3"/>
    <w:rsid w:val="004A0562"/>
    <w:rsid w:val="004A18F7"/>
    <w:rsid w:val="004A3542"/>
    <w:rsid w:val="004A44DE"/>
    <w:rsid w:val="004A4A00"/>
    <w:rsid w:val="004A4FAE"/>
    <w:rsid w:val="004B166A"/>
    <w:rsid w:val="004B7217"/>
    <w:rsid w:val="004C0D96"/>
    <w:rsid w:val="004D0069"/>
    <w:rsid w:val="004D27C1"/>
    <w:rsid w:val="004D5043"/>
    <w:rsid w:val="004D6EE2"/>
    <w:rsid w:val="004E3DB9"/>
    <w:rsid w:val="004E62DA"/>
    <w:rsid w:val="004F1F89"/>
    <w:rsid w:val="004F4D5E"/>
    <w:rsid w:val="004F5E0A"/>
    <w:rsid w:val="004F6C3B"/>
    <w:rsid w:val="005067E6"/>
    <w:rsid w:val="00517C28"/>
    <w:rsid w:val="00517F4E"/>
    <w:rsid w:val="00531EF4"/>
    <w:rsid w:val="00533A45"/>
    <w:rsid w:val="005401C1"/>
    <w:rsid w:val="005402BA"/>
    <w:rsid w:val="00543B4C"/>
    <w:rsid w:val="005472EF"/>
    <w:rsid w:val="00551C7D"/>
    <w:rsid w:val="00560BB3"/>
    <w:rsid w:val="0056151B"/>
    <w:rsid w:val="005621ED"/>
    <w:rsid w:val="00563A8D"/>
    <w:rsid w:val="00566B16"/>
    <w:rsid w:val="00576193"/>
    <w:rsid w:val="005842BF"/>
    <w:rsid w:val="005871A2"/>
    <w:rsid w:val="00590E15"/>
    <w:rsid w:val="00590EE3"/>
    <w:rsid w:val="00591255"/>
    <w:rsid w:val="00591DAA"/>
    <w:rsid w:val="00593913"/>
    <w:rsid w:val="00593D73"/>
    <w:rsid w:val="005956D9"/>
    <w:rsid w:val="00597DB2"/>
    <w:rsid w:val="005A0AE4"/>
    <w:rsid w:val="005A4A71"/>
    <w:rsid w:val="005A61C2"/>
    <w:rsid w:val="005B3694"/>
    <w:rsid w:val="005C03FD"/>
    <w:rsid w:val="005C32A7"/>
    <w:rsid w:val="005C4C2B"/>
    <w:rsid w:val="005C5601"/>
    <w:rsid w:val="005C5935"/>
    <w:rsid w:val="005C5D0E"/>
    <w:rsid w:val="005C7768"/>
    <w:rsid w:val="005D046B"/>
    <w:rsid w:val="005D2C34"/>
    <w:rsid w:val="005E06FA"/>
    <w:rsid w:val="005E380F"/>
    <w:rsid w:val="005E4AB0"/>
    <w:rsid w:val="005E714A"/>
    <w:rsid w:val="005F1CAF"/>
    <w:rsid w:val="005F1E72"/>
    <w:rsid w:val="005F30B1"/>
    <w:rsid w:val="005F385E"/>
    <w:rsid w:val="006011E8"/>
    <w:rsid w:val="0060132A"/>
    <w:rsid w:val="00602393"/>
    <w:rsid w:val="00604799"/>
    <w:rsid w:val="006060AD"/>
    <w:rsid w:val="00606C45"/>
    <w:rsid w:val="00611DD2"/>
    <w:rsid w:val="00621CCE"/>
    <w:rsid w:val="00621E41"/>
    <w:rsid w:val="006229BA"/>
    <w:rsid w:val="006342A8"/>
    <w:rsid w:val="0063596B"/>
    <w:rsid w:val="00644BD2"/>
    <w:rsid w:val="00644C06"/>
    <w:rsid w:val="006465CA"/>
    <w:rsid w:val="00646E58"/>
    <w:rsid w:val="00650155"/>
    <w:rsid w:val="0067017B"/>
    <w:rsid w:val="00675454"/>
    <w:rsid w:val="0068351A"/>
    <w:rsid w:val="006843D8"/>
    <w:rsid w:val="00692EED"/>
    <w:rsid w:val="0069626A"/>
    <w:rsid w:val="00696A6B"/>
    <w:rsid w:val="006A0E2C"/>
    <w:rsid w:val="006A38A0"/>
    <w:rsid w:val="006A3F22"/>
    <w:rsid w:val="006A7A74"/>
    <w:rsid w:val="006B1A96"/>
    <w:rsid w:val="006B3BCF"/>
    <w:rsid w:val="006C13C2"/>
    <w:rsid w:val="006C2E2A"/>
    <w:rsid w:val="006C3007"/>
    <w:rsid w:val="006C46D7"/>
    <w:rsid w:val="006C48CE"/>
    <w:rsid w:val="006D13B1"/>
    <w:rsid w:val="006D3667"/>
    <w:rsid w:val="006D5B2F"/>
    <w:rsid w:val="006E6590"/>
    <w:rsid w:val="006E68F4"/>
    <w:rsid w:val="006F0949"/>
    <w:rsid w:val="006F2FC3"/>
    <w:rsid w:val="006F3730"/>
    <w:rsid w:val="006F3F1F"/>
    <w:rsid w:val="006F696F"/>
    <w:rsid w:val="00703F64"/>
    <w:rsid w:val="00710088"/>
    <w:rsid w:val="00713AA8"/>
    <w:rsid w:val="00720DD0"/>
    <w:rsid w:val="00724FEE"/>
    <w:rsid w:val="00727242"/>
    <w:rsid w:val="0072728B"/>
    <w:rsid w:val="00732E19"/>
    <w:rsid w:val="0074108E"/>
    <w:rsid w:val="00741A02"/>
    <w:rsid w:val="0074743F"/>
    <w:rsid w:val="00760541"/>
    <w:rsid w:val="00772AF6"/>
    <w:rsid w:val="00781D6F"/>
    <w:rsid w:val="00787396"/>
    <w:rsid w:val="00792421"/>
    <w:rsid w:val="00792B65"/>
    <w:rsid w:val="00794082"/>
    <w:rsid w:val="00797F48"/>
    <w:rsid w:val="007A022D"/>
    <w:rsid w:val="007A3827"/>
    <w:rsid w:val="007A43FF"/>
    <w:rsid w:val="007B6B42"/>
    <w:rsid w:val="007C40E0"/>
    <w:rsid w:val="007C5F5C"/>
    <w:rsid w:val="007D7078"/>
    <w:rsid w:val="007E370E"/>
    <w:rsid w:val="007E6510"/>
    <w:rsid w:val="007F01CE"/>
    <w:rsid w:val="007F23C4"/>
    <w:rsid w:val="007F40DC"/>
    <w:rsid w:val="00804260"/>
    <w:rsid w:val="00806B7A"/>
    <w:rsid w:val="00806BDA"/>
    <w:rsid w:val="00807052"/>
    <w:rsid w:val="00810D95"/>
    <w:rsid w:val="00812581"/>
    <w:rsid w:val="00816871"/>
    <w:rsid w:val="008213AC"/>
    <w:rsid w:val="00822B3B"/>
    <w:rsid w:val="00823886"/>
    <w:rsid w:val="00824CEE"/>
    <w:rsid w:val="00824D3C"/>
    <w:rsid w:val="008261F6"/>
    <w:rsid w:val="0082682F"/>
    <w:rsid w:val="0083366D"/>
    <w:rsid w:val="00837926"/>
    <w:rsid w:val="008407BE"/>
    <w:rsid w:val="008416EB"/>
    <w:rsid w:val="00841FAF"/>
    <w:rsid w:val="008436D0"/>
    <w:rsid w:val="00844554"/>
    <w:rsid w:val="00844FAC"/>
    <w:rsid w:val="0084777D"/>
    <w:rsid w:val="0085292F"/>
    <w:rsid w:val="00854A04"/>
    <w:rsid w:val="00860BD5"/>
    <w:rsid w:val="0086783F"/>
    <w:rsid w:val="008678B9"/>
    <w:rsid w:val="0087090F"/>
    <w:rsid w:val="00874740"/>
    <w:rsid w:val="0088118F"/>
    <w:rsid w:val="008816D5"/>
    <w:rsid w:val="00882CA9"/>
    <w:rsid w:val="00883196"/>
    <w:rsid w:val="0088789C"/>
    <w:rsid w:val="0089531D"/>
    <w:rsid w:val="008954A7"/>
    <w:rsid w:val="008A61AA"/>
    <w:rsid w:val="008B4564"/>
    <w:rsid w:val="008C02C8"/>
    <w:rsid w:val="008C78AB"/>
    <w:rsid w:val="008D242F"/>
    <w:rsid w:val="008D7A5D"/>
    <w:rsid w:val="008E15E6"/>
    <w:rsid w:val="008E21E0"/>
    <w:rsid w:val="008E3BBC"/>
    <w:rsid w:val="008E3E7E"/>
    <w:rsid w:val="008E7957"/>
    <w:rsid w:val="008F0AB9"/>
    <w:rsid w:val="008F10D4"/>
    <w:rsid w:val="008F28F5"/>
    <w:rsid w:val="008F4FD0"/>
    <w:rsid w:val="00900724"/>
    <w:rsid w:val="00900BAB"/>
    <w:rsid w:val="00902676"/>
    <w:rsid w:val="0090338F"/>
    <w:rsid w:val="0090732D"/>
    <w:rsid w:val="009130DE"/>
    <w:rsid w:val="0092087C"/>
    <w:rsid w:val="009222EC"/>
    <w:rsid w:val="009231A3"/>
    <w:rsid w:val="00923678"/>
    <w:rsid w:val="009240AE"/>
    <w:rsid w:val="0093004D"/>
    <w:rsid w:val="00934544"/>
    <w:rsid w:val="00934C5C"/>
    <w:rsid w:val="00937667"/>
    <w:rsid w:val="009400C2"/>
    <w:rsid w:val="00942647"/>
    <w:rsid w:val="00946301"/>
    <w:rsid w:val="009470A2"/>
    <w:rsid w:val="00953419"/>
    <w:rsid w:val="0095546F"/>
    <w:rsid w:val="0096354D"/>
    <w:rsid w:val="00971CA9"/>
    <w:rsid w:val="009739F7"/>
    <w:rsid w:val="009824B7"/>
    <w:rsid w:val="00987761"/>
    <w:rsid w:val="00991264"/>
    <w:rsid w:val="0099272B"/>
    <w:rsid w:val="009A0A02"/>
    <w:rsid w:val="009A0F5B"/>
    <w:rsid w:val="009A77F3"/>
    <w:rsid w:val="009B4894"/>
    <w:rsid w:val="009B4B8C"/>
    <w:rsid w:val="009B54BC"/>
    <w:rsid w:val="009C5272"/>
    <w:rsid w:val="009C6DDC"/>
    <w:rsid w:val="009D240E"/>
    <w:rsid w:val="009D269D"/>
    <w:rsid w:val="009D2756"/>
    <w:rsid w:val="009E1065"/>
    <w:rsid w:val="009E149E"/>
    <w:rsid w:val="009E2EB8"/>
    <w:rsid w:val="009E3BA8"/>
    <w:rsid w:val="009E70DA"/>
    <w:rsid w:val="009F0005"/>
    <w:rsid w:val="009F351C"/>
    <w:rsid w:val="009F499B"/>
    <w:rsid w:val="009F53D8"/>
    <w:rsid w:val="00A02156"/>
    <w:rsid w:val="00A03C0C"/>
    <w:rsid w:val="00A05DD4"/>
    <w:rsid w:val="00A05F3F"/>
    <w:rsid w:val="00A07FE6"/>
    <w:rsid w:val="00A1048A"/>
    <w:rsid w:val="00A10DDB"/>
    <w:rsid w:val="00A12261"/>
    <w:rsid w:val="00A12C03"/>
    <w:rsid w:val="00A210CC"/>
    <w:rsid w:val="00A25E39"/>
    <w:rsid w:val="00A358C2"/>
    <w:rsid w:val="00A55235"/>
    <w:rsid w:val="00A55C5C"/>
    <w:rsid w:val="00A60CC3"/>
    <w:rsid w:val="00A6312D"/>
    <w:rsid w:val="00A639E6"/>
    <w:rsid w:val="00A64876"/>
    <w:rsid w:val="00A667E9"/>
    <w:rsid w:val="00A701DB"/>
    <w:rsid w:val="00A72E43"/>
    <w:rsid w:val="00A83203"/>
    <w:rsid w:val="00A83955"/>
    <w:rsid w:val="00A83F14"/>
    <w:rsid w:val="00A8516F"/>
    <w:rsid w:val="00A87AC5"/>
    <w:rsid w:val="00A918BF"/>
    <w:rsid w:val="00A928BB"/>
    <w:rsid w:val="00A95AA7"/>
    <w:rsid w:val="00A966A4"/>
    <w:rsid w:val="00AA4019"/>
    <w:rsid w:val="00AB192F"/>
    <w:rsid w:val="00AB4875"/>
    <w:rsid w:val="00AB7A48"/>
    <w:rsid w:val="00AC3275"/>
    <w:rsid w:val="00AC4870"/>
    <w:rsid w:val="00AC75CD"/>
    <w:rsid w:val="00AD6B87"/>
    <w:rsid w:val="00AE0851"/>
    <w:rsid w:val="00AE7809"/>
    <w:rsid w:val="00AF5E19"/>
    <w:rsid w:val="00B01387"/>
    <w:rsid w:val="00B06E23"/>
    <w:rsid w:val="00B14C27"/>
    <w:rsid w:val="00B20346"/>
    <w:rsid w:val="00B246D1"/>
    <w:rsid w:val="00B25EF3"/>
    <w:rsid w:val="00B265DC"/>
    <w:rsid w:val="00B2724A"/>
    <w:rsid w:val="00B30F1E"/>
    <w:rsid w:val="00B344F2"/>
    <w:rsid w:val="00B35EFC"/>
    <w:rsid w:val="00B42F7E"/>
    <w:rsid w:val="00B43052"/>
    <w:rsid w:val="00B43DF1"/>
    <w:rsid w:val="00B47479"/>
    <w:rsid w:val="00B52A0C"/>
    <w:rsid w:val="00B538F5"/>
    <w:rsid w:val="00B5510B"/>
    <w:rsid w:val="00B61CAF"/>
    <w:rsid w:val="00B638A7"/>
    <w:rsid w:val="00B64A53"/>
    <w:rsid w:val="00B706B8"/>
    <w:rsid w:val="00B71C56"/>
    <w:rsid w:val="00B7695B"/>
    <w:rsid w:val="00B77291"/>
    <w:rsid w:val="00B830D8"/>
    <w:rsid w:val="00B94333"/>
    <w:rsid w:val="00B9564C"/>
    <w:rsid w:val="00BA687E"/>
    <w:rsid w:val="00BB2531"/>
    <w:rsid w:val="00BB7371"/>
    <w:rsid w:val="00BC2592"/>
    <w:rsid w:val="00BD2564"/>
    <w:rsid w:val="00BE677E"/>
    <w:rsid w:val="00BF0CFD"/>
    <w:rsid w:val="00C01211"/>
    <w:rsid w:val="00C06685"/>
    <w:rsid w:val="00C109DF"/>
    <w:rsid w:val="00C122F8"/>
    <w:rsid w:val="00C1382D"/>
    <w:rsid w:val="00C1395B"/>
    <w:rsid w:val="00C142AE"/>
    <w:rsid w:val="00C14AD6"/>
    <w:rsid w:val="00C154DF"/>
    <w:rsid w:val="00C15F78"/>
    <w:rsid w:val="00C244F6"/>
    <w:rsid w:val="00C3484C"/>
    <w:rsid w:val="00C3534B"/>
    <w:rsid w:val="00C35664"/>
    <w:rsid w:val="00C35BBA"/>
    <w:rsid w:val="00C36BC4"/>
    <w:rsid w:val="00C5042B"/>
    <w:rsid w:val="00C52583"/>
    <w:rsid w:val="00C55281"/>
    <w:rsid w:val="00C63168"/>
    <w:rsid w:val="00C65BE8"/>
    <w:rsid w:val="00C674DD"/>
    <w:rsid w:val="00C71BE0"/>
    <w:rsid w:val="00C742C4"/>
    <w:rsid w:val="00C84FC2"/>
    <w:rsid w:val="00C8585C"/>
    <w:rsid w:val="00C9350F"/>
    <w:rsid w:val="00CA089D"/>
    <w:rsid w:val="00CA2732"/>
    <w:rsid w:val="00CB27BD"/>
    <w:rsid w:val="00CB3642"/>
    <w:rsid w:val="00CB3A18"/>
    <w:rsid w:val="00CB599D"/>
    <w:rsid w:val="00CB5E5F"/>
    <w:rsid w:val="00CB6873"/>
    <w:rsid w:val="00CB7F8A"/>
    <w:rsid w:val="00CC1811"/>
    <w:rsid w:val="00CC1F27"/>
    <w:rsid w:val="00CC293E"/>
    <w:rsid w:val="00CC4D70"/>
    <w:rsid w:val="00CC7F64"/>
    <w:rsid w:val="00CD3D17"/>
    <w:rsid w:val="00CD79E0"/>
    <w:rsid w:val="00CE2309"/>
    <w:rsid w:val="00CF31E7"/>
    <w:rsid w:val="00CF390F"/>
    <w:rsid w:val="00CF649F"/>
    <w:rsid w:val="00CF742E"/>
    <w:rsid w:val="00D038A0"/>
    <w:rsid w:val="00D0482C"/>
    <w:rsid w:val="00D054DF"/>
    <w:rsid w:val="00D065CC"/>
    <w:rsid w:val="00D10352"/>
    <w:rsid w:val="00D164FB"/>
    <w:rsid w:val="00D23000"/>
    <w:rsid w:val="00D25D80"/>
    <w:rsid w:val="00D30A8E"/>
    <w:rsid w:val="00D322FF"/>
    <w:rsid w:val="00D34A14"/>
    <w:rsid w:val="00D35091"/>
    <w:rsid w:val="00D365DF"/>
    <w:rsid w:val="00D3680F"/>
    <w:rsid w:val="00D463C2"/>
    <w:rsid w:val="00D509FD"/>
    <w:rsid w:val="00D53169"/>
    <w:rsid w:val="00D53D71"/>
    <w:rsid w:val="00D543BB"/>
    <w:rsid w:val="00D6091A"/>
    <w:rsid w:val="00D64D56"/>
    <w:rsid w:val="00D67ADC"/>
    <w:rsid w:val="00D768AA"/>
    <w:rsid w:val="00D84438"/>
    <w:rsid w:val="00D85C28"/>
    <w:rsid w:val="00D90D18"/>
    <w:rsid w:val="00D91F96"/>
    <w:rsid w:val="00D96E12"/>
    <w:rsid w:val="00D973CE"/>
    <w:rsid w:val="00DA362D"/>
    <w:rsid w:val="00DB3C64"/>
    <w:rsid w:val="00DC6636"/>
    <w:rsid w:val="00DC6F2D"/>
    <w:rsid w:val="00DD0091"/>
    <w:rsid w:val="00DD2ABD"/>
    <w:rsid w:val="00DD3AE9"/>
    <w:rsid w:val="00DD5D32"/>
    <w:rsid w:val="00DE51F6"/>
    <w:rsid w:val="00DE5A5C"/>
    <w:rsid w:val="00DE5FAA"/>
    <w:rsid w:val="00DF0CA6"/>
    <w:rsid w:val="00DF4FF5"/>
    <w:rsid w:val="00DF5E4C"/>
    <w:rsid w:val="00DF6A45"/>
    <w:rsid w:val="00DF7C28"/>
    <w:rsid w:val="00E048AF"/>
    <w:rsid w:val="00E06823"/>
    <w:rsid w:val="00E14E16"/>
    <w:rsid w:val="00E1569F"/>
    <w:rsid w:val="00E1634C"/>
    <w:rsid w:val="00E248C7"/>
    <w:rsid w:val="00E26072"/>
    <w:rsid w:val="00E30F5A"/>
    <w:rsid w:val="00E34C9A"/>
    <w:rsid w:val="00E41E9D"/>
    <w:rsid w:val="00E45C1E"/>
    <w:rsid w:val="00E476E1"/>
    <w:rsid w:val="00E525A6"/>
    <w:rsid w:val="00E567CF"/>
    <w:rsid w:val="00E60F81"/>
    <w:rsid w:val="00E62FA2"/>
    <w:rsid w:val="00E6420D"/>
    <w:rsid w:val="00E64E3A"/>
    <w:rsid w:val="00E705B8"/>
    <w:rsid w:val="00E707C2"/>
    <w:rsid w:val="00E71C85"/>
    <w:rsid w:val="00E7332C"/>
    <w:rsid w:val="00E763F7"/>
    <w:rsid w:val="00E7752C"/>
    <w:rsid w:val="00E8331B"/>
    <w:rsid w:val="00E85E4D"/>
    <w:rsid w:val="00E9156C"/>
    <w:rsid w:val="00E91BA8"/>
    <w:rsid w:val="00E9454F"/>
    <w:rsid w:val="00E95854"/>
    <w:rsid w:val="00EA6F7C"/>
    <w:rsid w:val="00EB048F"/>
    <w:rsid w:val="00EB1F84"/>
    <w:rsid w:val="00EB434C"/>
    <w:rsid w:val="00EB7B1A"/>
    <w:rsid w:val="00EC06AD"/>
    <w:rsid w:val="00EC4687"/>
    <w:rsid w:val="00EC494A"/>
    <w:rsid w:val="00ED0855"/>
    <w:rsid w:val="00ED2154"/>
    <w:rsid w:val="00ED6B15"/>
    <w:rsid w:val="00EE0969"/>
    <w:rsid w:val="00EF04FD"/>
    <w:rsid w:val="00EF33D8"/>
    <w:rsid w:val="00F00EB5"/>
    <w:rsid w:val="00F01CAC"/>
    <w:rsid w:val="00F05E1A"/>
    <w:rsid w:val="00F0774A"/>
    <w:rsid w:val="00F11F5B"/>
    <w:rsid w:val="00F14565"/>
    <w:rsid w:val="00F207B4"/>
    <w:rsid w:val="00F2134C"/>
    <w:rsid w:val="00F21BB1"/>
    <w:rsid w:val="00F232F3"/>
    <w:rsid w:val="00F23F57"/>
    <w:rsid w:val="00F240DB"/>
    <w:rsid w:val="00F2547E"/>
    <w:rsid w:val="00F2640F"/>
    <w:rsid w:val="00F2753B"/>
    <w:rsid w:val="00F27B32"/>
    <w:rsid w:val="00F374D1"/>
    <w:rsid w:val="00F413F2"/>
    <w:rsid w:val="00F44D72"/>
    <w:rsid w:val="00F536D1"/>
    <w:rsid w:val="00F56B63"/>
    <w:rsid w:val="00F57641"/>
    <w:rsid w:val="00F61D6A"/>
    <w:rsid w:val="00F65C18"/>
    <w:rsid w:val="00F66003"/>
    <w:rsid w:val="00F71257"/>
    <w:rsid w:val="00F75C20"/>
    <w:rsid w:val="00F76AB7"/>
    <w:rsid w:val="00F77FEF"/>
    <w:rsid w:val="00F80D34"/>
    <w:rsid w:val="00F827F0"/>
    <w:rsid w:val="00F82FCE"/>
    <w:rsid w:val="00F87C74"/>
    <w:rsid w:val="00F94E30"/>
    <w:rsid w:val="00F959D3"/>
    <w:rsid w:val="00F96097"/>
    <w:rsid w:val="00F979BA"/>
    <w:rsid w:val="00FA5DE2"/>
    <w:rsid w:val="00FA6C08"/>
    <w:rsid w:val="00FA6EE1"/>
    <w:rsid w:val="00FA78F7"/>
    <w:rsid w:val="00FB2496"/>
    <w:rsid w:val="00FB3D77"/>
    <w:rsid w:val="00FB58A0"/>
    <w:rsid w:val="00FB5A9F"/>
    <w:rsid w:val="00FC0BA2"/>
    <w:rsid w:val="00FC5BA1"/>
    <w:rsid w:val="00FC5C23"/>
    <w:rsid w:val="00FD1F92"/>
    <w:rsid w:val="00FE0197"/>
    <w:rsid w:val="00FE6F05"/>
    <w:rsid w:val="00FF20F6"/>
    <w:rsid w:val="00FF55D9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0DBBD"/>
  <w15:docId w15:val="{B55F48FC-4231-40C0-B298-3239E084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clear" w:pos="255"/>
        <w:tab w:val="num" w:pos="540"/>
      </w:tabs>
      <w:ind w:left="360" w:hanging="360"/>
      <w:outlineLvl w:val="0"/>
    </w:pPr>
    <w:rPr>
      <w:rFonts w:ascii="華康中黑體" w:eastAsia="華康中黑體"/>
      <w:sz w:val="32"/>
    </w:rPr>
  </w:style>
  <w:style w:type="paragraph" w:styleId="2">
    <w:name w:val="heading 2"/>
    <w:basedOn w:val="a"/>
    <w:next w:val="a0"/>
    <w:qFormat/>
    <w:pPr>
      <w:keepNext/>
      <w:numPr>
        <w:numId w:val="7"/>
      </w:numPr>
      <w:tabs>
        <w:tab w:val="clear" w:pos="195"/>
        <w:tab w:val="num" w:pos="360"/>
      </w:tabs>
      <w:autoSpaceDE w:val="0"/>
      <w:autoSpaceDN w:val="0"/>
      <w:adjustRightInd w:val="0"/>
      <w:outlineLvl w:val="1"/>
    </w:pPr>
    <w:rPr>
      <w:rFonts w:ascii="新細明體"/>
      <w:color w:val="000000"/>
      <w:sz w:val="32"/>
    </w:rPr>
  </w:style>
  <w:style w:type="paragraph" w:styleId="3">
    <w:name w:val="heading 3"/>
    <w:basedOn w:val="a"/>
    <w:next w:val="a0"/>
    <w:qFormat/>
    <w:pPr>
      <w:keepNext/>
      <w:tabs>
        <w:tab w:val="left" w:pos="360"/>
        <w:tab w:val="right" w:leader="dot" w:pos="8100"/>
      </w:tabs>
      <w:snapToGrid w:val="0"/>
      <w:spacing w:after="120"/>
      <w:ind w:left="36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8"/>
    </w:rPr>
  </w:style>
  <w:style w:type="paragraph" w:styleId="a5">
    <w:name w:val="annotation text"/>
    <w:basedOn w:val="a"/>
    <w:semiHidden/>
  </w:style>
  <w:style w:type="paragraph" w:styleId="a6">
    <w:name w:val="Body Text"/>
    <w:basedOn w:val="a"/>
    <w:pPr>
      <w:autoSpaceDE w:val="0"/>
      <w:autoSpaceDN w:val="0"/>
      <w:adjustRightInd w:val="0"/>
      <w:jc w:val="center"/>
    </w:pPr>
    <w:rPr>
      <w:rFonts w:ascii="華康中黑體" w:eastAsia="華康中黑體"/>
      <w:color w:val="000000"/>
      <w:sz w:val="44"/>
    </w:rPr>
  </w:style>
  <w:style w:type="paragraph" w:styleId="a0">
    <w:name w:val="Normal Indent"/>
    <w:basedOn w:val="a"/>
    <w:pPr>
      <w:ind w:left="48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KK">
    <w:name w:val="內文KK"/>
    <w:basedOn w:val="a"/>
    <w:pPr>
      <w:numPr>
        <w:numId w:val="3"/>
      </w:numPr>
      <w:autoSpaceDE w:val="0"/>
      <w:autoSpaceDN w:val="0"/>
      <w:adjustRightInd w:val="0"/>
      <w:snapToGrid w:val="0"/>
      <w:spacing w:line="420" w:lineRule="exact"/>
      <w:jc w:val="both"/>
    </w:pPr>
    <w:rPr>
      <w:rFonts w:ascii="新細明體"/>
    </w:rPr>
  </w:style>
  <w:style w:type="paragraph" w:styleId="aa">
    <w:name w:val="Balloon Text"/>
    <w:basedOn w:val="a"/>
    <w:semiHidden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383F-C1E0-4CEB-856D-6D8DFA18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1748</Words>
  <Characters>9970</Characters>
  <Application>Microsoft Office Word</Application>
  <DocSecurity>0</DocSecurity>
  <Lines>83</Lines>
  <Paragraphs>23</Paragraphs>
  <ScaleCrop>false</ScaleCrop>
  <Company>SYNNEX</Company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王川威</dc:creator>
  <cp:keywords/>
  <cp:lastModifiedBy>平臺 台綜院</cp:lastModifiedBy>
  <cp:revision>13</cp:revision>
  <cp:lastPrinted>2019-07-02T02:45:00Z</cp:lastPrinted>
  <dcterms:created xsi:type="dcterms:W3CDTF">2021-06-16T08:57:00Z</dcterms:created>
  <dcterms:modified xsi:type="dcterms:W3CDTF">2021-06-23T02:16:00Z</dcterms:modified>
</cp:coreProperties>
</file>