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rFonts w:ascii="Segoe UI" w:hAnsi="Segoe UI"/>
          <w:b/>
          <w:color w:val="181A1A"/>
        </w:rPr>
        <w:t>ThermoGuard AI: Whitepaper &amp; Spesifikasi Teknis Sistem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*Sistem Pendingin Data Center AI Proaktif Berbasis Smart PDU Power-First Sensing &amp; Cold Aisle Containment untuk Iklim Tropis Indonesia*</w:t>
      </w:r>
    </w:p>
    <w:p>
      <w:pPr>
        <w:pStyle w:val="Heading2"/>
        <w:spacing w:before="240" w:after="60"/>
      </w:pPr>
      <w:r>
        <w:rPr>
          <w:rFonts w:ascii="Segoe UI" w:hAnsi="Segoe UI"/>
          <w:b/>
          <w:color w:val="4A154B"/>
        </w:rPr>
        <w:t>1. Ringkasan Eksekutif (Executive Summary)</w:t>
      </w:r>
    </w:p>
    <w:p>
      <w:pPr>
        <w:spacing w:after="80" w:line="276" w:lineRule="auto"/>
      </w:pPr>
      <w:r>
        <w:rPr>
          <w:b/>
        </w:rPr>
        <w:t>ThermoGuard AI</w:t>
      </w:r>
      <w:r>
        <w:t xml:space="preserve"> adalah solusi perangkat lunak *Digital Twin* dan sistem kendali proaktif (*Feedforward Closed-Loop Cooling*) generasi baru yang dirancang khusus untuk menjawab tantangan termal dan efisiensi energi pada data center komputasi kecerdasan buatan (</w:t>
      </w:r>
      <w:r>
        <w:rPr>
          <w:b/>
        </w:rPr>
        <w:t>AI Data Center</w:t>
      </w:r>
      <w:r>
        <w:t>) di iklim tropis Indonesia.</w:t>
      </w:r>
    </w:p>
    <w:p>
      <w:pPr>
        <w:spacing w:after="80" w:line="276" w:lineRule="auto"/>
      </w:pPr>
      <w:r>
        <w:t xml:space="preserve">Berbeda dari sistem pendingin konvensional yang bersifat </w:t>
      </w:r>
      <w:r>
        <w:rPr>
          <w:b/>
        </w:rPr>
        <w:t>reaktif</w:t>
      </w:r>
      <w:r>
        <w:t xml:space="preserve"> (menunggu sensor suhu udara mendeteksi panas sebelum menaikkan AC) serta model teoretis yang mengasumsikan akses ke antrean sistem operasi (*job queue*), ThermoGuard AI memperkenalkan pendekatan mutakhir:</w:t>
      </w:r>
    </w:p>
    <w:p>
      <w:pPr>
        <w:pStyle w:val="ListNumber"/>
        <w:spacing w:after="80" w:line="276" w:lineRule="auto"/>
      </w:pPr>
      <w:r>
        <w:rPr>
          <w:b/>
        </w:rPr>
        <w:t>Smart PDU Power-First Sensing (100% Non-Intrusif):</w:t>
      </w:r>
      <w:r>
        <w:t xml:space="preserve"> Membaca lonjakan daya listrik aktual (</w:t>
      </w:r>
      <m:oMath xmlns:mml="http://www.w3.org/1998/Math/MathML">
        <m:r>
          <m:t>P=V×I</m:t>
        </m:r>
      </m:oMath>
      <w:r>
        <w:t xml:space="preserve">) seketika pada </w:t>
      </w:r>
      <m:oMath xmlns:mml="http://www.w3.org/1998/Math/MathML">
        <m:r>
          <m:t>t=0</m:t>
        </m:r>
      </m:oMath>
      <w:r>
        <w:t xml:space="preserve"> di tingkat colokan listrik pintar rak kabinet, menjaga kerahasiaan dan privasi pelanggan *multi-tenant colocation*.</w:t>
      </w:r>
    </w:p>
    <w:p>
      <w:pPr>
        <w:pStyle w:val="ListNumber"/>
        <w:spacing w:after="80" w:line="276" w:lineRule="auto"/>
      </w:pPr>
      <w:r>
        <w:rPr>
          <w:b/>
        </w:rPr>
        <w:t>Eksploitasi Jeda Inersia Termal (60–180 Detik):</w:t>
      </w:r>
      <w:r>
        <w:t xml:space="preserve"> Memanfaatkan penundaan fisik alami perambatan kalor dari silikon chip ke udara lorong dingin untuk melakukan tindakan pencegahan (*pre-cooling buffer*).</w:t>
      </w:r>
    </w:p>
    <w:p>
      <w:pPr>
        <w:pStyle w:val="ListNumber"/>
        <w:spacing w:after="80" w:line="276" w:lineRule="auto"/>
      </w:pPr>
      <w:r>
        <w:rPr>
          <w:b/>
        </w:rPr>
        <w:t>Active VAV Perforated Floor Tiles di dalam Cold Aisle Containment (CAC):</w:t>
      </w:r>
      <w:r>
        <w:t xml:space="preserve"> Mengatur katup kisi ubin lantai berpori bermotor (</w:t>
      </w:r>
      <m:oMath xmlns:mml="http://www.w3.org/1998/Math/MathML">
        <m:r>
          <m:t>0%−100%</m:t>
        </m:r>
      </m:oMath>
      <w:r>
        <w:t xml:space="preserve"> *aperture*) di lorong bersekat kaca hermetis standar Tier-IV.</w:t>
      </w:r>
    </w:p>
    <w:p>
      <w:pPr>
        <w:spacing w:after="80" w:line="276" w:lineRule="auto"/>
      </w:pPr>
      <w:r>
        <w:t xml:space="preserve">Pada fasilitas standar </w:t>
      </w:r>
      <w:r>
        <w:rPr>
          <w:b/>
        </w:rPr>
        <w:t>1.0 MW IT Load</w:t>
      </w:r>
      <w:r>
        <w:t xml:space="preserve"> dengan tarif listrik </w:t>
      </w:r>
      <w:r>
        <w:rPr>
          <w:b/>
        </w:rPr>
        <w:t>PLN Industri Rp 1.300/kWh</w:t>
      </w:r>
      <w:r>
        <w:t xml:space="preserve">, implementasi ThermoGuard AI berhasil memangkas nilai </w:t>
      </w:r>
      <w:r>
        <w:rPr>
          <w:b/>
        </w:rPr>
        <w:t>PUE dari 1.45 menjadi 1.23</w:t>
      </w:r>
      <w:r>
        <w:t xml:space="preserve">, menghemat biaya listrik pendingin sebesar </w:t>
      </w:r>
      <w:r>
        <w:rPr>
          <w:b/>
        </w:rPr>
        <w:t>~Rp 128 Juta per bulan (~Rp 1,53 Miliar per tahun)</w:t>
      </w:r>
      <w:r>
        <w:t xml:space="preserve">, serta mereduksi emisi karbon hingga **~969 Ton </w:t>
      </w:r>
      <m:oMath xmlns:mml="http://www.w3.org/1998/Math/MathML"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per tahun**.</w:t>
      </w:r>
    </w:p>
    <w:p>
      <w:pPr>
        <w:pStyle w:val="Heading2"/>
        <w:spacing w:before="240" w:after="60"/>
      </w:pPr>
      <w:r>
        <w:rPr>
          <w:rFonts w:ascii="Segoe UI" w:hAnsi="Segoe UI"/>
          <w:b/>
          <w:color w:val="4A154B"/>
        </w:rPr>
        <w:t>2. Latar Belakang &amp; Realitas Industri di Indonesia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2.1. Ledakan Beban Kerja AI di Indonesia</w:t>
      </w:r>
    </w:p>
    <w:p>
      <w:pPr>
        <w:spacing w:after="80" w:line="276" w:lineRule="auto"/>
      </w:pPr>
      <w:r>
        <w:t xml:space="preserve">Kawasan industri Cikarang, Cibitung, Karawang, dan Batam saat ini menjadi pusat pertumbuhan fasilitas *Hyperscale Data Center* nasional (seperti </w:t>
      </w:r>
      <w:r>
        <w:rPr>
          <w:b/>
        </w:rPr>
        <w:t>DCI Indonesia, BDx Indonesia, NeutraDC Telkom, dan NTT Global Data Centers</w:t>
      </w:r>
      <w:r>
        <w:t xml:space="preserve">). Pertumbuhan beban kerja kecerdasan buatan—mulai dari kluster *Inference* LLM hingga pemrosesan visi komputer—menghasilkan densitas daya per rak yang melonjak dari rata-rata </w:t>
      </w:r>
      <w:r>
        <w:rPr>
          <w:b/>
        </w:rPr>
        <w:t>4–6 kW/rak</w:t>
      </w:r>
      <w:r>
        <w:t xml:space="preserve"> menjadi </w:t>
      </w:r>
      <w:r>
        <w:rPr>
          <w:b/>
        </w:rPr>
        <w:t>15–25 kW/rak</w:t>
      </w:r>
      <w:r>
        <w:t>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2.2. Paradoks Pendinginan Konvensional (Reaktif)</w:t>
      </w:r>
    </w:p>
    <w:p>
      <w:pPr>
        <w:spacing w:after="80" w:line="276" w:lineRule="auto"/>
      </w:pPr>
      <w:r>
        <w:t>Sistem pendingin konvensional (CRAC/CRAH dengan kontroler PID standar) menghadapi 3 kendala fatal:</w:t>
      </w:r>
    </w:p>
    <w:p>
      <w:pPr>
        <w:pStyle w:val="ListBullet"/>
        <w:spacing w:after="80" w:line="276" w:lineRule="auto"/>
      </w:pPr>
      <w:r>
        <w:rPr>
          <w:b/>
        </w:rPr>
        <w:t>Over-Cooling Ekstrem:</w:t>
      </w:r>
      <w:r>
        <w:t xml:space="preserve"> Karena takut terjadi lonjakan panas (*thermal spike*), operator menyetel udara pasokan sangat dingin (</w:t>
      </w:r>
      <w:r>
        <w:rPr>
          <w:b/>
        </w:rPr>
        <w:t>11.5°C</w:t>
      </w:r>
      <w:r>
        <w:t>) 24/7, membebani kompresor *chiller*.</w:t>
      </w:r>
    </w:p>
    <w:p>
      <w:pPr>
        <w:pStyle w:val="ListBullet"/>
        <w:spacing w:after="80" w:line="276" w:lineRule="auto"/>
      </w:pPr>
      <w:r>
        <w:rPr>
          <w:b/>
        </w:rPr>
        <w:t>Lag Deteksi Udara:</w:t>
      </w:r>
      <w:r>
        <w:t xml:space="preserve"> Udara adalah konduktor panas yang lambat. Ketika sensor suhu udara lorong akhirnya menyentuh ambang batas peringatan (&gt;38°C), komponen internal server sudah telanjur mengalami *thermal stress*.</w:t>
      </w:r>
    </w:p>
    <w:p>
      <w:pPr>
        <w:pStyle w:val="ListBullet"/>
        <w:spacing w:after="80" w:line="276" w:lineRule="auto"/>
      </w:pPr>
      <w:r>
        <w:rPr>
          <w:b/>
        </w:rPr>
        <w:t>Lag Respon Mekanis:</w:t>
      </w:r>
      <w:r>
        <w:t xml:space="preserve"> Unit pendingin konvensional membutuhkan waktu tunda mekanis 10–15 detik untuk memacu kompresor dan kipas, menyebabkan lonjakan suhu tak terkendali (*overshoot* 42°C – 48°C).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2.3. Kendala Privasi Tenant pada Data Center Colocation</w:t>
      </w:r>
    </w:p>
    <w:p>
      <w:pPr>
        <w:spacing w:after="80" w:line="276" w:lineRule="auto"/>
      </w:pPr>
      <w:r>
        <w:t>Pada fasilitas *multi-tenant* di Indonesia, operator gedung terikat perjanjian tingkat layanan (</w:t>
      </w:r>
      <w:r>
        <w:rPr>
          <w:b/>
        </w:rPr>
        <w:t>SLA</w:t>
      </w:r>
      <w:r>
        <w:t xml:space="preserve">) dan regulasi ketat (ISO/IEC 27001, SOC-2). Pengelola gedung </w:t>
      </w:r>
      <w:r>
        <w:rPr>
          <w:b/>
        </w:rPr>
        <w:t>dilarang keras</w:t>
      </w:r>
      <w:r>
        <w:t xml:space="preserve"> mengintip isi server, sistem operasi (OS), atau antrean *scheduler* (seperti Kubernetes atau Slurm) milik pelanggan. Oleh karena itu, pendekatan cerdas harus berbasis telemetri fasilitas fisik yang non-intrusif.</w:t>
      </w:r>
    </w:p>
    <w:p>
      <w:pPr>
        <w:pStyle w:val="Heading2"/>
        <w:spacing w:before="240" w:after="60"/>
      </w:pPr>
      <w:r>
        <w:rPr>
          <w:rFonts w:ascii="Segoe UI" w:hAnsi="Segoe UI"/>
          <w:b/>
          <w:color w:val="4A154B"/>
        </w:rPr>
        <w:t>3. Arsitektur Fisik &amp; Rekayasa Mekanikal (HVAC)</w:t>
      </w:r>
    </w:p>
    <w:p>
      <w:pPr>
        <w:spacing w:before="80" w:after="120"/>
        <w:ind w:left="288"/>
      </w:pPr>
      <w:r>
        <w:rPr>
          <w:rFonts w:ascii="Consolas" w:hAnsi="Consolas"/>
          <w:color w:val="282828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DATA CENTER FACILITY                            │</w:t>
        <w:br/>
        <w:t>│                                                                        │</w:t>
        <w:br/>
        <w:t>│   ┌──────────────┐                                                     │</w:t>
        <w:br/>
        <w:t>│   │  CRAH UNIT   │ ──(15.0°C Chilled Air @ 35 Pa)──┐                   │</w:t>
        <w:br/>
        <w:t>│   │ (Side Mount) │                                 │                   │</w:t>
        <w:br/>
        <w:t>│   └──────────────┘                                 ▼                   │</w:t>
        <w:br/>
        <w:t>│                                           [UNDERFLOOR PLENUM]          │</w:t>
        <w:br/>
        <w:t>│                                                    │                   │</w:t>
        <w:br/>
        <w:t>│         ┌──────────────────────────────────────────┴─────────────┐     │</w:t>
        <w:br/>
        <w:t>│         │         COLD AISLE CONTAINMENT (CAC - SEALED)          │     │</w:t>
        <w:br/>
        <w:t>│         │                                                        │     │</w:t>
        <w:br/>
        <w:t>│         │    [VAV Tile 1]      [VAV Tile 2]      [VAV Tile 3]    │     │</w:t>
        <w:br/>
        <w:t>│         │      (40% Pasif)       (95% Active)      (40% Pasif)   │     │</w:t>
        <w:br/>
        <w:t>│         │           │                 ▲                 │        │     │</w:t>
        <w:br/>
        <w:t>│         │           ▼                 │ (Pre-Cooling)   ▼        │     │</w:t>
        <w:br/>
        <w:t>│         │      ┌─────────┐       ┌─────────┐       ┌─────────┐   │     │</w:t>
        <w:br/>
        <w:t>│         │      │ Rak A1  │       │ Rak A2  │       │ Rak A3  │   │     │</w:t>
        <w:br/>
        <w:t>│         │      │ 8.2 kW  │       │ 23.4 kW │       │ 8.5 kW  │   │     │</w:t>
        <w:br/>
        <w:t>│         │      └─────────┘       └─────────┘       └─────────┘   │     │</w:t>
        <w:br/>
        <w:t>│         │           │                 │                 │        │     │</w:t>
        <w:br/>
        <w:t>│         └───────────┼─────────────────┼─────────────────┼────────┘     │</w:t>
        <w:br/>
        <w:t>│                     ▼                 ▼                 ▼              │</w:t>
        <w:br/>
        <w:t>│                [HOT AISLE]       [HOT AISLE]       [HOT AISLE]         │</w:t>
        <w:br/>
        <w:t>│                 (Exhaust)         (Exhaust)         (Exhaust)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3.1. Cold Aisle Containment (CAC) Tier-IV</w:t>
      </w:r>
    </w:p>
    <w:p>
      <w:pPr>
        <w:pStyle w:val="ListBullet"/>
        <w:spacing w:after="80" w:line="276" w:lineRule="auto"/>
      </w:pPr>
      <w:r>
        <w:rPr>
          <w:b/>
        </w:rPr>
        <w:t>Partisi Kaca Hermetis:</w:t>
      </w:r>
      <w:r>
        <w:t xml:space="preserve"> Lorong dingin (*Cold Aisle*) antara Baris A dan Baris B dikurung rapat menggunakan partisi kaca transparan dengan pintu geser *airlock*.</w:t>
      </w:r>
    </w:p>
    <w:p>
      <w:pPr>
        <w:pStyle w:val="ListBullet"/>
        <w:spacing w:after="80" w:line="276" w:lineRule="auto"/>
      </w:pPr>
      <w:r>
        <w:rPr>
          <w:b/>
        </w:rPr>
        <w:t>Pemisahan Udara Mutlak:</w:t>
      </w:r>
      <w:r>
        <w:t xml:space="preserve"> Mencegah percampuran (*air mixing*) antara pasokan udara sejuk (15.0°C) dengan udara buangan panas (*Hot Exhaust* &gt;35°C), mematuhi standar internasional </w:t>
      </w:r>
      <w:r>
        <w:rPr>
          <w:b/>
        </w:rPr>
        <w:t>ASHRAE TC 9.9</w:t>
      </w:r>
      <w:r>
        <w:t>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3.2. Underfloor Plenum &amp; Active VAV Perforated Tiles</w:t>
      </w:r>
    </w:p>
    <w:p>
      <w:pPr>
        <w:pStyle w:val="ListBullet"/>
        <w:spacing w:after="80" w:line="276" w:lineRule="auto"/>
      </w:pPr>
      <w:r>
        <w:rPr>
          <w:b/>
        </w:rPr>
        <w:t>Plenum Bawah Lantai:</w:t>
      </w:r>
      <w:r>
        <w:t xml:space="preserve"> Udara dingin dipompa dari unit CRAH ke bawah lantai panggung (*raised floor*) dengan tekanan positif seimbang </w:t>
      </w:r>
      <w:r>
        <w:rPr>
          <w:b/>
        </w:rPr>
        <w:t>35 Pa</w:t>
      </w:r>
      <w:r>
        <w:t>.</w:t>
      </w:r>
    </w:p>
    <w:p>
      <w:pPr>
        <w:pStyle w:val="ListBullet"/>
        <w:spacing w:after="80" w:line="276" w:lineRule="auto"/>
      </w:pPr>
      <w:r>
        <w:rPr>
          <w:b/>
        </w:rPr>
        <w:t>Katup Kisi Lantai Bermotor (VAV Dampers):</w:t>
      </w:r>
      <w:r>
        <w:t xml:space="preserve"> Setiap rak memiliki ubin berpori yang dilengkapi aktuator servo pengatur bukaan (</w:t>
      </w:r>
      <m:oMath xmlns:mml="http://www.w3.org/1998/Math/MathML">
        <m:r>
          <m:t>0%−100%</m:t>
        </m:r>
      </m:oMath>
      <w:r>
        <w:t>).</w:t>
      </w:r>
    </w:p>
    <w:p>
      <w:pPr>
        <w:pStyle w:val="ListBullet"/>
        <w:spacing w:after="80" w:line="276" w:lineRule="auto"/>
      </w:pPr>
      <w:r>
        <w:rPr>
          <w:b/>
        </w:rPr>
        <w:t>Aliran Udara Laminar Vertikal:</w:t>
      </w:r>
      <w:r>
        <w:t xml:space="preserve"> Udara sejuk menyembur vertikal ke atas tepat di depan kisi *intake* rak server. Rak yang mengalami lonjakan daya mendapat debit udara penuh (bukaan katup 95%–100%) tanpa mengganggu keseimbangan rak tetangga.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3.3. Penyesuaian Iklim Tropis Indonesia</w:t>
      </w:r>
    </w:p>
    <w:p>
      <w:pPr>
        <w:pStyle w:val="ListBullet"/>
        <w:spacing w:after="80" w:line="276" w:lineRule="auto"/>
      </w:pPr>
      <w:r>
        <w:rPr>
          <w:b/>
        </w:rPr>
        <w:t>Suhu Lingkungan Luar:</w:t>
      </w:r>
      <w:r>
        <w:t xml:space="preserve"> 33.0°C (kondisi siang hari koridor industri Jawa Barat).</w:t>
      </w:r>
    </w:p>
    <w:p>
      <w:pPr>
        <w:pStyle w:val="ListBullet"/>
        <w:spacing w:after="80" w:line="276" w:lineRule="auto"/>
      </w:pPr>
      <w:r>
        <w:rPr>
          <w:b/>
        </w:rPr>
        <w:t>Kelembapan Relatif Luar Ruang (Outdoor RH):</w:t>
      </w:r>
      <w:r>
        <w:t xml:space="preserve"> 80.0% (kelembapan tinggi tropis).</w:t>
      </w:r>
    </w:p>
    <w:p>
      <w:pPr>
        <w:pStyle w:val="ListBullet"/>
        <w:spacing w:after="80" w:line="276" w:lineRule="auto"/>
      </w:pPr>
      <w:r>
        <w:rPr>
          <w:b/>
        </w:rPr>
        <w:t>Kelembapan Lorong Dingin (Indoor RH):</w:t>
      </w:r>
      <w:r>
        <w:t xml:space="preserve"> Dikendalikan ketat pada </w:t>
      </w:r>
      <w:r>
        <w:rPr>
          <w:b/>
        </w:rPr>
        <w:t>52.0% RH</w:t>
      </w:r>
      <w:r>
        <w:t xml:space="preserve"> dengan titik embun aman (*dew point* 5.2°C), menghilangkan risiko kondensasi air pada papan sirkuit server.</w:t>
      </w:r>
    </w:p>
    <w:p>
      <w:pPr>
        <w:pStyle w:val="Heading2"/>
        <w:spacing w:before="240" w:after="60"/>
      </w:pPr>
      <w:r>
        <w:rPr>
          <w:rFonts w:ascii="Segoe UI" w:hAnsi="Segoe UI"/>
          <w:b/>
          <w:color w:val="4A154B"/>
        </w:rPr>
        <w:t>4. Fondasi Algoritma &amp; Model Fisika (Physics Engine)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4.1. Smart PDU Power-First Sensing ($t = 0$)</w:t>
      </w:r>
    </w:p>
    <w:p>
      <w:pPr>
        <w:spacing w:after="80" w:line="276" w:lineRule="auto"/>
      </w:pPr>
      <w:r>
        <w:t>Pengukuran beban dilakukan langsung dari meteran arus dan tegangan colokan pintar rak kabinet:</w:t>
      </w:r>
    </w:p>
    <w:p>
      <w:pPr>
        <w:spacing w:before="160" w:after="160"/>
        <w:jc w:val="center"/>
        <w:pBdr>
          <w:left w:val="single" w:sz="24" w:space="12" w:color="AF6EFF"/>
        </w:pBdr>
        <w:shd w:fill="F8F9FC"/>
      </w:pPr>
      <m:oMath xmlns:mml="http://www.w3.org/1998/Math/MathML">
        <m:sSub>
          <m:e>
            <m:r>
              <m:t>P</m:t>
            </m:r>
          </m:e>
          <m:sub>
            <m:r>
              <m:rPr>
                <m:nor/>
              </m:rPr>
              <m:t>draw</m:t>
            </m:r>
          </m:sub>
        </m:sSub>
        <m:r>
          <m:t>=V×I(</m:t>
        </m:r>
        <m:r>
          <m:rPr>
            <m:nor/>
          </m:rPr>
          <m:t>dalam kW</m:t>
        </m:r>
        <m:r>
          <m:t>)</m:t>
        </m:r>
      </m:oMath>
      <w:r>
        <w:rPr>
          <w:rFonts w:ascii="Calibri" w:hAnsi="Calibri"/>
          <w:color w:val="6B7280"/>
          <w:sz w:val="19"/>
        </w:rPr>
        <w:t xml:space="preserve">    (1)</w:t>
      </w:r>
    </w:p>
    <w:p>
      <w:pPr>
        <w:spacing w:after="80" w:line="276" w:lineRule="auto"/>
      </w:pPr>
      <w:r>
        <w:t>Ketika komputasi GPU melonjak, nilai daya listrik langsung terbaca dalam fraksi milidetik, mendahului kenaikan suhu udara fisik.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4.2. Model Diferensial Inersia Termal ($\tau = 120\text{s}$)</w:t>
      </w:r>
    </w:p>
    <w:p>
      <w:pPr>
        <w:spacing w:after="80" w:line="276" w:lineRule="auto"/>
      </w:pPr>
      <w:r>
        <w:t>Kalor yang dibuang ke udara lorong tertunda oleh kapasitas massa termal chip, sasis, dan *copper heatpipe*:</w:t>
      </w:r>
    </w:p>
    <w:p>
      <w:pPr>
        <w:spacing w:before="160" w:after="160"/>
        <w:jc w:val="center"/>
        <w:pBdr>
          <w:left w:val="single" w:sz="24" w:space="12" w:color="AF6EFF"/>
        </w:pBdr>
        <w:shd w:fill="F8F9FC"/>
      </w:pPr>
      <m:oMath xmlns:mml="http://www.w3.org/1998/Math/MathML">
        <m:f>
          <m:fPr>
            <m:type m:val="bar"/>
          </m:fPr>
          <m:num>
            <m:r>
              <m:t>d</m:t>
            </m:r>
            <m:sSub>
              <m:e>
                <m:r>
                  <m:t>Q</m:t>
                </m:r>
              </m:e>
              <m:sub>
                <m:r>
                  <m:rPr>
                    <m:nor/>
                  </m:rPr>
                  <m:t>eff</m:t>
                </m:r>
              </m:sub>
            </m:sSub>
          </m:num>
          <m:den>
            <m:r>
              <m:t>dt</m:t>
            </m:r>
          </m:den>
        </m:f>
        <m: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rPr>
                    <m:nor/>
                  </m:rPr>
                  <m:t>draw</m:t>
                </m:r>
              </m:sub>
            </m:sSub>
            <m:r>
              <m:t>−</m:t>
            </m:r>
            <m:sSub>
              <m:e>
                <m:r>
                  <m:t>Q</m:t>
                </m:r>
              </m:e>
              <m:sub>
                <m:r>
                  <m:rPr>
                    <m:nor/>
                  </m:rPr>
                  <m:t>eff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rPr>
                    <m:nor/>
                  </m:rPr>
                  <m:t>thermal</m:t>
                </m:r>
              </m:sub>
            </m:sSub>
          </m:den>
        </m:f>
      </m:oMath>
      <w:r>
        <w:rPr>
          <w:rFonts w:ascii="Calibri" w:hAnsi="Calibri"/>
          <w:color w:val="6B7280"/>
          <w:sz w:val="19"/>
        </w:rPr>
        <w:t xml:space="preserve">    (2)</w:t>
      </w:r>
    </w:p>
    <w:p>
      <w:pPr>
        <w:pStyle w:val="ListBullet"/>
        <w:spacing w:after="80" w:line="276" w:lineRule="auto"/>
      </w:pPr>
      <w:r>
        <w:t xml:space="preserve">Dimana </w:t>
      </w:r>
      <m:oMath xmlns:mml="http://www.w3.org/1998/Math/MathML">
        <m:sSub>
          <m:e>
            <m:r>
              <m:t>τ</m:t>
            </m:r>
          </m:e>
          <m:sub>
            <m:r>
              <m:rPr>
                <m:nor/>
              </m:rPr>
              <m:t>thermal</m:t>
            </m:r>
          </m:sub>
        </m:sSub>
        <m:r>
          <m:t>=120</m:t>
        </m:r>
        <m:r>
          <m:rPr>
            <m:nor/>
          </m:rPr>
          <m:t> detik</m:t>
        </m:r>
      </m:oMath>
      <w:r>
        <w:t xml:space="preserve"> (konstanta waktu inersia).</w:t>
      </w:r>
    </w:p>
    <w:p>
      <w:pPr>
        <w:pStyle w:val="ListBullet"/>
        <w:spacing w:after="80" w:line="276" w:lineRule="auto"/>
      </w:pPr>
      <w:r>
        <w:rPr>
          <w:b/>
        </w:rPr>
        <w:t>Headroom Tersisa:</w:t>
      </w:r>
      <w:r>
        <w:t xml:space="preserve"> AI menghitung mundur jendela waktu kritis ini:</w:t>
      </w:r>
    </w:p>
    <w:p>
      <w:pPr>
        <w:spacing w:before="160" w:after="160"/>
        <w:jc w:val="center"/>
        <w:pBdr>
          <w:left w:val="single" w:sz="24" w:space="12" w:color="AF6EFF"/>
        </w:pBdr>
        <w:shd w:fill="F8F9FC"/>
      </w:pPr>
      <m:oMath xmlns:mml="http://www.w3.org/1998/Math/MathML">
        <m:r>
          <m:rPr>
            <m:nor/>
          </m:rPr>
          <m:t>Thermal Headroom</m:t>
        </m:r>
        <m:r>
          <m:t>=max</m:t>
        </m:r>
        <m:r>
          <m:t>(0,120−Δ</m:t>
        </m:r>
        <m:sSub>
          <m:e>
            <m:r>
              <m:t>t</m:t>
            </m:r>
          </m:e>
          <m:sub>
            <m:r>
              <m:rPr>
                <m:nor/>
              </m:rPr>
              <m:t>surge</m:t>
            </m:r>
          </m:sub>
        </m:sSub>
        <m:r>
          <m:t>)</m:t>
        </m:r>
      </m:oMath>
      <w:r>
        <w:rPr>
          <w:rFonts w:ascii="Calibri" w:hAnsi="Calibri"/>
          <w:color w:val="6B7280"/>
          <w:sz w:val="19"/>
        </w:rPr>
        <w:t xml:space="preserve">    (3)</w:t>
      </w:r>
    </w:p>
    <w:p>
      <w:pPr>
        <w:spacing w:after="80" w:line="276" w:lineRule="auto"/>
      </w:pPr>
      <w:r>
        <w:t>Jeda 120 detik ini dieksploitasi untuk membuka katup VAV lantai ke 95% dan menaikkan kipas ke 80% sebelum udara sempat panas.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4.3. Prediksi Tren Daya ($dP/dt$ Forecasting 5–15 Menit)</w:t>
      </w:r>
    </w:p>
    <w:p>
      <w:pPr>
        <w:spacing w:after="80" w:line="276" w:lineRule="auto"/>
      </w:pPr>
      <w:r>
        <w:t>Sistem mengevaluasi turunan waktu konsumsi daya listrik:</w:t>
      </w:r>
    </w:p>
    <w:p>
      <w:pPr>
        <w:spacing w:before="160" w:after="160"/>
        <w:jc w:val="center"/>
        <w:pBdr>
          <w:left w:val="single" w:sz="24" w:space="12" w:color="AF6EFF"/>
        </w:pBdr>
        <w:shd w:fill="F8F9FC"/>
      </w:pPr>
      <m:oMath xmlns:mml="http://www.w3.org/1998/Math/MathML">
        <m:f>
          <m:fPr>
            <m:type m:val="bar"/>
          </m:fPr>
          <m:num>
            <m:r>
              <m:t>dP</m:t>
            </m:r>
          </m:num>
          <m:den>
            <m:r>
              <m:t>dt</m:t>
            </m:r>
          </m:den>
        </m:f>
        <m: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rPr>
                    <m:nor/>
                  </m:rPr>
                  <m:t>current</m:t>
                </m:r>
              </m:sub>
            </m:sSub>
            <m:r>
              <m:t>−</m:t>
            </m:r>
            <m:sSub>
              <m:e>
                <m:r>
                  <m:t>P</m:t>
                </m:r>
              </m:e>
              <m:sub>
                <m:r>
                  <m:rPr>
                    <m:nor/>
                  </m:rPr>
                  <m:t>prev</m:t>
                </m:r>
              </m:sub>
            </m:sSub>
          </m:num>
          <m:den>
            <m:r>
              <m:t>Δt</m:t>
            </m:r>
          </m:den>
        </m:f>
      </m:oMath>
      <w:r>
        <w:rPr>
          <w:rFonts w:ascii="Calibri" w:hAnsi="Calibri"/>
          <w:color w:val="6B7280"/>
          <w:sz w:val="19"/>
        </w:rPr>
        <w:t xml:space="preserve">    (4)</w:t>
      </w:r>
    </w:p>
    <w:p>
      <w:pPr>
        <w:spacing w:after="80" w:line="276" w:lineRule="auto"/>
      </w:pPr>
      <w:r>
        <w:t>Proyeksi daya masa depan diestimasi melalui:</w:t>
      </w:r>
    </w:p>
    <w:p>
      <w:pPr>
        <w:spacing w:before="160" w:after="160"/>
        <w:jc w:val="center"/>
        <w:pBdr>
          <w:left w:val="single" w:sz="24" w:space="12" w:color="AF6EFF"/>
        </w:pBdr>
        <w:shd w:fill="F8F9FC"/>
      </w:pPr>
      <m:oMath xmlns:mml="http://www.w3.org/1998/Math/MathML">
        <m:sSub>
          <m:e>
            <m:r>
              <m:t>P</m:t>
            </m:r>
          </m:e>
          <m:sub>
            <m:r>
              <m:rPr>
                <m:nor/>
              </m:rPr>
              <m:t>forecast</m:t>
            </m:r>
          </m:sub>
        </m:sSub>
        <m:r>
          <m:t>=min</m:t>
        </m:r>
        <m:r>
          <m:t>(</m:t>
        </m:r>
        <m:sSub>
          <m:e>
            <m:r>
              <m:t>P</m:t>
            </m:r>
          </m:e>
          <m:sub>
            <m:r>
              <m:rPr>
                <m:nor/>
              </m:rPr>
              <m:t>max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rPr>
                <m:nor/>
              </m:rPr>
              <m:t>current</m:t>
            </m:r>
          </m:sub>
        </m:sSub>
        <m:r>
          <m:t>+max</m:t>
        </m:r>
        <m:r>
          <m:t>(0,</m:t>
        </m:r>
        <m:f>
          <m:fPr>
            <m:type m:val="bar"/>
          </m:fPr>
          <m:num>
            <m:r>
              <m:t>dP</m:t>
            </m:r>
          </m:num>
          <m:den>
            <m:r>
              <m:t>dt</m:t>
            </m:r>
          </m:den>
        </m:f>
        <m:r>
          <m:t>×12.0)</m:t>
        </m:r>
        <m:r>
          <m:t>)</m:t>
        </m:r>
      </m:oMath>
      <w:r>
        <w:rPr>
          <w:rFonts w:ascii="Calibri" w:hAnsi="Calibri"/>
          <w:color w:val="6B7280"/>
          <w:sz w:val="19"/>
        </w:rPr>
        <w:t xml:space="preserve">    (5)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4.4. Keseimbangan Energi &amp; Dinamika Aliran</w:t>
      </w:r>
    </w:p>
    <w:p>
      <w:pPr>
        <w:spacing w:after="80" w:line="276" w:lineRule="auto"/>
      </w:pPr>
      <w:r>
        <w:t>Laju pelepasan kalor konveksi paksa dari ubin VAV dan kipas server:</w:t>
      </w:r>
    </w:p>
    <w:p>
      <w:pPr>
        <w:spacing w:before="160" w:after="160"/>
        <w:jc w:val="center"/>
        <w:pBdr>
          <w:left w:val="single" w:sz="24" w:space="12" w:color="AF6EFF"/>
        </w:pBdr>
        <w:shd w:fill="F8F9FC"/>
      </w:pPr>
      <m:oMath xmlns:mml="http://www.w3.org/1998/Math/MathML">
        <m:sSub>
          <m:e>
            <m:r>
              <m:t>Q</m:t>
            </m:r>
          </m:e>
          <m:sub>
            <m:r>
              <m:rPr>
                <m:nor/>
              </m:rPr>
              <m:t>cooling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rPr>
                <m:nor/>
              </m:rPr>
              <m:t>conv</m:t>
            </m:r>
          </m:sub>
        </m:sSub>
        <m:r>
          <m:t>×</m:t>
        </m:r>
        <m:sSup>
          <m:e>
            <m:r>
              <m:t>(</m:t>
            </m:r>
            <m:f>
              <m:fPr>
                <m:type m:val="bar"/>
              </m:fPr>
              <m:num>
                <m:sSub>
                  <m:e>
                    <m:r>
                      <m:rPr>
                        <m:nor/>
                      </m:rPr>
                      <m:t>PWM</m:t>
                    </m:r>
                  </m:e>
                  <m:sub>
                    <m:r>
                      <m:rPr>
                        <m:nor/>
                      </m:rPr>
                      <m:t>fan</m:t>
                    </m:r>
                  </m:sub>
                </m:sSub>
              </m:num>
              <m:den>
                <m:r>
                  <m:t>100</m:t>
                </m:r>
              </m:den>
            </m:f>
            <m:r>
              <m:t>)</m:t>
            </m:r>
          </m:e>
          <m:sup>
            <m:r>
              <m:t>1.15</m:t>
            </m:r>
          </m:sup>
        </m:sSup>
        <m:r>
          <m:t>×(</m:t>
        </m:r>
        <m:sSub>
          <m:e>
            <m:r>
              <m:t>T</m:t>
            </m:r>
          </m:e>
          <m:sub>
            <m:r>
              <m:rPr>
                <m:nor/>
              </m:rPr>
              <m:t>rack</m:t>
            </m:r>
          </m:sub>
        </m:sSub>
        <m:r>
          <m:t>−</m:t>
        </m:r>
        <m:sSub>
          <m:e>
            <m:r>
              <m:t>T</m:t>
            </m:r>
          </m:e>
          <m:sub>
            <m:r>
              <m:rPr>
                <m:nor/>
              </m:rPr>
              <m:t>supply</m:t>
            </m:r>
          </m:sub>
        </m:sSub>
        <m:r>
          <m:t>)×</m:t>
        </m:r>
        <m:r>
          <m:t>(0.38+1.12×</m:t>
        </m:r>
        <m:f>
          <m:fPr>
            <m:type m:val="bar"/>
          </m:fPr>
          <m:num>
            <m:r>
              <m:rPr>
                <m:nor/>
              </m:rPr>
              <m:t>Damper</m:t>
            </m:r>
            <m:r>
              <m:t>%</m:t>
            </m:r>
          </m:num>
          <m:den>
            <m:r>
              <m:t>100</m:t>
            </m:r>
          </m:den>
        </m:f>
        <m:r>
          <m:t>)</m:t>
        </m:r>
      </m:oMath>
      <w:r>
        <w:rPr>
          <w:rFonts w:ascii="Calibri" w:hAnsi="Calibri"/>
          <w:color w:val="6B7280"/>
          <w:sz w:val="19"/>
        </w:rPr>
        <w:t xml:space="preserve">    (6)</w:t>
      </w:r>
    </w:p>
    <w:p>
      <w:pPr>
        <w:spacing w:after="80" w:line="276" w:lineRule="auto"/>
      </w:pPr>
      <w:r>
        <w:t>Net Heat Flux yang menentukan perubahan suhu udara:</w:t>
      </w:r>
    </w:p>
    <w:p>
      <w:pPr>
        <w:spacing w:before="160" w:after="160"/>
        <w:jc w:val="center"/>
        <w:pBdr>
          <w:left w:val="single" w:sz="24" w:space="12" w:color="AF6EFF"/>
        </w:pBdr>
        <w:shd w:fill="F8F9FC"/>
      </w:pPr>
      <m:oMath xmlns:mml="http://www.w3.org/1998/Math/MathML">
        <m:r>
          <m:rPr>
            <m:nor/>
          </m:rPr>
          <m:t>Net Flux</m:t>
        </m:r>
        <m:r>
          <m:t>=(</m:t>
        </m:r>
        <m:sSub>
          <m:e>
            <m:r>
              <m:t>Q</m:t>
            </m:r>
          </m:e>
          <m:sub>
            <m:r>
              <m:rPr>
                <m:nor/>
              </m:rPr>
              <m:t>eff</m:t>
            </m:r>
          </m:sub>
        </m:sSub>
        <m:r>
          <m:t>×0.72×</m:t>
        </m:r>
        <m:r>
          <m:rPr>
            <m:nor/>
          </m:rPr>
          <m:t>Turb</m:t>
        </m:r>
        <m:r>
          <m:t>)+</m:t>
        </m:r>
        <m:sSub>
          <m:e>
            <m:r>
              <m:t>Q</m:t>
            </m:r>
          </m:e>
          <m:sub>
            <m:r>
              <m:rPr>
                <m:nor/>
              </m:rPr>
              <m:t>ambient</m:t>
            </m:r>
          </m:sub>
        </m:sSub>
        <m:r>
          <m:t>−</m:t>
        </m:r>
        <m:sSub>
          <m:e>
            <m:r>
              <m:t>Q</m:t>
            </m:r>
          </m:e>
          <m:sub>
            <m:r>
              <m:rPr>
                <m:nor/>
              </m:rPr>
              <m:t>cooling</m:t>
            </m:r>
          </m:sub>
        </m:sSub>
      </m:oMath>
      <w:r>
        <w:rPr>
          <w:rFonts w:ascii="Calibri" w:hAnsi="Calibri"/>
          <w:color w:val="6B7280"/>
          <w:sz w:val="19"/>
        </w:rPr>
        <w:t xml:space="preserve">    (7)</w:t>
      </w:r>
    </w:p>
    <w:p>
      <w:pPr>
        <w:spacing w:before="160" w:after="160"/>
        <w:jc w:val="center"/>
        <w:pBdr>
          <w:left w:val="single" w:sz="24" w:space="12" w:color="AF6EFF"/>
        </w:pBdr>
        <w:shd w:fill="F8F9FC"/>
      </w:pPr>
      <m:oMath xmlns:mml="http://www.w3.org/1998/Math/MathML">
        <m:r>
          <m:t>ΔT=</m:t>
        </m:r>
        <m:f>
          <m:fPr>
            <m:type m:val="bar"/>
          </m:fPr>
          <m:num>
            <m:r>
              <m:rPr>
                <m:nor/>
              </m:rPr>
              <m:t>Net Flux</m:t>
            </m:r>
          </m:num>
          <m:den>
            <m:sSub>
              <m:e>
                <m:r>
                  <m:t>C</m:t>
                </m:r>
              </m:e>
              <m:sub>
                <m:r>
                  <m:rPr>
                    <m:nor/>
                  </m:rPr>
                  <m:t>air</m:t>
                </m:r>
              </m:sub>
            </m:sSub>
          </m:den>
        </m:f>
        <m:r>
          <m:t>×dt</m:t>
        </m:r>
      </m:oMath>
      <w:r>
        <w:rPr>
          <w:rFonts w:ascii="Calibri" w:hAnsi="Calibri"/>
          <w:color w:val="6B7280"/>
          <w:sz w:val="19"/>
        </w:rPr>
        <w:t xml:space="preserve">    (8)</w:t>
      </w:r>
    </w:p>
    <w:p>
      <w:pPr>
        <w:pStyle w:val="Heading2"/>
        <w:spacing w:before="240" w:after="60"/>
      </w:pPr>
      <w:r>
        <w:rPr>
          <w:rFonts w:ascii="Segoe UI" w:hAnsi="Segoe UI"/>
          <w:b/>
          <w:color w:val="4A154B"/>
        </w:rPr>
        <w:t>5. Analisis Tekno-Ekonomi &amp; Finansial PLN</w:t>
      </w:r>
    </w:p>
    <w:p>
      <w:pPr>
        <w:spacing w:after="80" w:line="276" w:lineRule="auto"/>
      </w:pPr>
      <w:r>
        <w:t xml:space="preserve">Perhitungan finansial fasilitas data center dengan </w:t>
      </w:r>
      <w:r>
        <w:rPr>
          <w:b/>
        </w:rPr>
        <w:t>1.0 MW IT Load (1.000 kW)</w:t>
      </w:r>
      <w:r>
        <w:t xml:space="preserve">, beroperasi 24 jam x 365 hari, dengan tarif listrik industri PLN Golongan I-3/I-4 sebesar </w:t>
      </w:r>
      <w:r>
        <w:rPr>
          <w:b/>
        </w:rPr>
        <w:t>Rp 1.300 / kWh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F4EDFF"/>
          </w:tcPr>
          <w:p>
            <w:r>
              <w:rPr>
                <w:b/>
                <w:color w:val="181A1A"/>
              </w:rPr>
              <w:t>Parameter Finansial &amp; Teknis</w:t>
            </w:r>
          </w:p>
        </w:tc>
        <w:tc>
          <w:tcPr>
            <w:tcW w:type="dxa" w:w="2484"/>
            <w:vAlign w:val="center"/>
            <w:shd w:fill="F4EDFF"/>
          </w:tcPr>
          <w:p>
            <w:r>
              <w:rPr>
                <w:b/>
                <w:color w:val="181A1A"/>
              </w:rPr>
              <w:t>Sistem Konvensional</w:t>
            </w:r>
          </w:p>
        </w:tc>
        <w:tc>
          <w:tcPr>
            <w:tcW w:type="dxa" w:w="2484"/>
            <w:vAlign w:val="center"/>
            <w:shd w:fill="F4EDFF"/>
          </w:tcPr>
          <w:p>
            <w:r>
              <w:rPr>
                <w:b/>
                <w:color w:val="181A1A"/>
              </w:rPr>
              <w:t>ThermoGuard AI</w:t>
            </w:r>
          </w:p>
        </w:tc>
        <w:tc>
          <w:tcPr>
            <w:tcW w:type="dxa" w:w="2484"/>
            <w:vAlign w:val="center"/>
            <w:shd w:fill="F4EDFF"/>
          </w:tcPr>
          <w:p>
            <w:r>
              <w:rPr>
                <w:b/>
                <w:color w:val="181A1A"/>
              </w:rPr>
              <w:t>Selisih Efisiensi</w:t>
            </w:r>
          </w:p>
        </w:tc>
      </w:tr>
      <w:tr>
        <w:tc>
          <w:tcPr>
            <w:tcW w:type="dxa" w:w="2484"/>
            <w:vAlign w:val="center"/>
            <w:shd w:fill="FAFAFA"/>
          </w:tcPr>
          <w:p>
            <w:r>
              <w:t>**Arsitektur Lorong**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Lorong Terbuka / Damper Statis 40%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Cold Aisle Containment + Active VAV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Isolasi Termal Presisi</w:t>
            </w:r>
          </w:p>
        </w:tc>
      </w:tr>
      <w:tr>
        <w:tc>
          <w:tcPr>
            <w:tcW w:type="dxa" w:w="2484"/>
            <w:vAlign w:val="center"/>
          </w:tcPr>
          <w:p>
            <w:r>
              <w:t>**Metode Respon**</w:t>
            </w:r>
          </w:p>
        </w:tc>
        <w:tc>
          <w:tcPr>
            <w:tcW w:type="dxa" w:w="2484"/>
            <w:vAlign w:val="center"/>
          </w:tcPr>
          <w:p>
            <w:r>
              <w:t>Sensor Suhu Udara (Reaktif Lag 1–3m)</w:t>
            </w:r>
          </w:p>
        </w:tc>
        <w:tc>
          <w:tcPr>
            <w:tcW w:type="dxa" w:w="2484"/>
            <w:vAlign w:val="center"/>
          </w:tcPr>
          <w:p>
            <w:r>
              <w:t>Smart PDU $t=0$ + Inersia Termal 120s</w:t>
            </w:r>
          </w:p>
        </w:tc>
        <w:tc>
          <w:tcPr>
            <w:tcW w:type="dxa" w:w="2484"/>
            <w:vAlign w:val="center"/>
          </w:tcPr>
          <w:p>
            <w:r>
              <w:t>Respons Seketika Preventif</w:t>
            </w:r>
          </w:p>
        </w:tc>
      </w:tr>
      <w:tr>
        <w:tc>
          <w:tcPr>
            <w:tcW w:type="dxa" w:w="2484"/>
            <w:vAlign w:val="center"/>
            <w:shd w:fill="FAFAFA"/>
          </w:tcPr>
          <w:p>
            <w:r>
              <w:t>**Suhu Pasokan Udara (Supply)**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11.5°C (*Overcooling*)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15.0°C (*Optimal ASHRAE TC 9.9*)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+3.5°C Pengurangan Beban Chiller</w:t>
            </w:r>
          </w:p>
        </w:tc>
      </w:tr>
      <w:tr>
        <w:tc>
          <w:tcPr>
            <w:tcW w:type="dxa" w:w="2484"/>
            <w:vAlign w:val="center"/>
          </w:tcPr>
          <w:p>
            <w:r>
              <w:t>**PUE (Power Usage Effectiveness)**</w:t>
            </w:r>
          </w:p>
        </w:tc>
        <w:tc>
          <w:tcPr>
            <w:tcW w:type="dxa" w:w="2484"/>
            <w:vAlign w:val="center"/>
          </w:tcPr>
          <w:p>
            <w:r>
              <w:t>**1.45**</w:t>
            </w:r>
          </w:p>
        </w:tc>
        <w:tc>
          <w:tcPr>
            <w:tcW w:type="dxa" w:w="2484"/>
            <w:vAlign w:val="center"/>
          </w:tcPr>
          <w:p>
            <w:r>
              <w:t>**1.23**</w:t>
            </w:r>
          </w:p>
        </w:tc>
        <w:tc>
          <w:tcPr>
            <w:tcW w:type="dxa" w:w="2484"/>
            <w:vAlign w:val="center"/>
          </w:tcPr>
          <w:p>
            <w:r>
              <w:t>**Turun 0.22 PUE**</w:t>
            </w:r>
          </w:p>
        </w:tc>
      </w:tr>
      <w:tr>
        <w:tc>
          <w:tcPr>
            <w:tcW w:type="dxa" w:w="2484"/>
            <w:vAlign w:val="center"/>
            <w:shd w:fill="FAFAFA"/>
          </w:tcPr>
          <w:p>
            <w:r>
              <w:t>**Daya Listrik Pendingin Rata-rata**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410 kW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275 kW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**Hemat 135 kW (32.9%)**</w:t>
            </w:r>
          </w:p>
        </w:tc>
      </w:tr>
      <w:tr>
        <w:tc>
          <w:tcPr>
            <w:tcW w:type="dxa" w:w="2484"/>
            <w:vAlign w:val="center"/>
          </w:tcPr>
          <w:p>
            <w:r>
              <w:t>**Biaya Listrik Pendingin per Bulan**</w:t>
            </w:r>
          </w:p>
        </w:tc>
        <w:tc>
          <w:tcPr>
            <w:tcW w:type="dxa" w:w="2484"/>
            <w:vAlign w:val="center"/>
          </w:tcPr>
          <w:p>
            <w:r>
              <w:t>Rp 389.090.000</w:t>
            </w:r>
          </w:p>
        </w:tc>
        <w:tc>
          <w:tcPr>
            <w:tcW w:type="dxa" w:w="2484"/>
            <w:vAlign w:val="center"/>
          </w:tcPr>
          <w:p>
            <w:r>
              <w:t>Rp 260.975.000</w:t>
            </w:r>
          </w:p>
        </w:tc>
        <w:tc>
          <w:tcPr>
            <w:tcW w:type="dxa" w:w="2484"/>
            <w:vAlign w:val="center"/>
          </w:tcPr>
          <w:p>
            <w:r>
              <w:t>**Hemat Rp 128.115.000 / bulan**</w:t>
            </w:r>
          </w:p>
        </w:tc>
      </w:tr>
      <w:tr>
        <w:tc>
          <w:tcPr>
            <w:tcW w:type="dxa" w:w="2484"/>
            <w:vAlign w:val="center"/>
            <w:shd w:fill="FAFAFA"/>
          </w:tcPr>
          <w:p>
            <w:r>
              <w:t>**Biaya Listrik Pendingin per Tahun**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Rp 4.669.080.000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Rp 3.131.700.000</w:t>
            </w:r>
          </w:p>
        </w:tc>
        <w:tc>
          <w:tcPr>
            <w:tcW w:type="dxa" w:w="2484"/>
            <w:vAlign w:val="center"/>
            <w:shd w:fill="FAFAFA"/>
          </w:tcPr>
          <w:p>
            <w:r>
              <w:t>**Hemat ~Rp 1,53 Miliar / tahun**</w:t>
            </w:r>
          </w:p>
        </w:tc>
      </w:tr>
      <w:tr>
        <w:tc>
          <w:tcPr>
            <w:tcW w:type="dxa" w:w="2484"/>
            <w:vAlign w:val="center"/>
          </w:tcPr>
          <w:p>
            <w:r>
              <w:t>**Reduksi Emisi Karbon ($CO_2$)**</w:t>
            </w:r>
          </w:p>
        </w:tc>
        <w:tc>
          <w:tcPr>
            <w:tcW w:type="dxa" w:w="2484"/>
            <w:vAlign w:val="center"/>
          </w:tcPr>
          <w:p>
            <w:r>
              <w:t>Baseline Operasional</w:t>
            </w:r>
          </w:p>
        </w:tc>
        <w:tc>
          <w:tcPr>
            <w:tcW w:type="dxa" w:w="2484"/>
            <w:vAlign w:val="center"/>
          </w:tcPr>
          <w:p>
            <w:r>
              <w:t>Turun ~969 Ton $CO_2$ / tahun</w:t>
            </w:r>
          </w:p>
        </w:tc>
        <w:tc>
          <w:tcPr>
            <w:tcW w:type="dxa" w:w="2484"/>
            <w:vAlign w:val="center"/>
          </w:tcPr>
          <w:p>
            <w:r>
              <w:t>Kepatuhan Target ESG Hijau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Mengapa Biaya Listrik Bisa Turun Signifikan?</w:t>
      </w:r>
    </w:p>
    <w:p>
      <w:pPr>
        <w:pStyle w:val="ListNumber"/>
        <w:spacing w:after="80" w:line="276" w:lineRule="auto"/>
      </w:pPr>
      <w:r>
        <w:rPr>
          <w:b/>
        </w:rPr>
        <w:t>Efisiensi Chiller (+3.5°C Lift):</w:t>
      </w:r>
      <w:r>
        <w:t xml:space="preserve"> Setiap kenaikan 1°C pada suhu pasokan udara mengurangi konsumsi energi kompresor *chiller* sebesar 2% hingga 4%.</w:t>
      </w:r>
    </w:p>
    <w:p>
      <w:pPr>
        <w:pStyle w:val="ListNumber"/>
        <w:spacing w:after="80" w:line="276" w:lineRule="auto"/>
      </w:pPr>
      <w:r>
        <w:t>**Hukum Kubik Kipas (</w:t>
      </w:r>
      <m:oMath xmlns:mml="http://www.w3.org/1998/Math/MathML">
        <m:r>
          <m:t>P∝</m:t>
        </m:r>
        <m:sSup>
          <m:e>
            <m:r>
              <m:rPr>
                <m:nor/>
              </m:rPr>
              <m:t>RPM</m:t>
            </m:r>
          </m:e>
          <m:sup>
            <m:r>
              <m:t>3</m:t>
            </m:r>
          </m:sup>
        </m:sSup>
      </m:oMath>
      <w:r>
        <w:t>):</w:t>
      </w:r>
      <w:r>
        <w:rPr>
          <w:b/>
        </w:rPr>
        <w:t xml:space="preserve"> Menurunkan putaran kipas dari 85% ke 45% saat beban rendah memangkas pemakaian daya listrik kipas hingga </w:t>
      </w:r>
      <w:r>
        <w:t>85%**.</w:t>
      </w:r>
    </w:p>
    <w:p>
      <w:pPr>
        <w:pStyle w:val="ListNumber"/>
        <w:spacing w:after="80" w:line="276" w:lineRule="auto"/>
      </w:pPr>
      <w:r>
        <w:rPr>
          <w:b/>
        </w:rPr>
        <w:t>Pemberantasan Hotspot:</w:t>
      </w:r>
      <w:r>
        <w:t xml:space="preserve"> Menghilangkan siklus darurat kompresor yang memicu lonjakan penalti beban puncak PLN.</w:t>
      </w:r>
    </w:p>
    <w:p>
      <w:pPr>
        <w:pStyle w:val="Heading2"/>
        <w:spacing w:before="240" w:after="60"/>
      </w:pPr>
      <w:r>
        <w:rPr>
          <w:rFonts w:ascii="Segoe UI" w:hAnsi="Segoe UI"/>
          <w:b/>
          <w:color w:val="4A154B"/>
        </w:rPr>
        <w:t>6. Antarmuka Pengguna &amp; Fitur Digital Twin (Canvas 60 FPS)</w:t>
      </w:r>
    </w:p>
    <w:p>
      <w:pPr>
        <w:spacing w:after="80" w:line="276" w:lineRule="auto"/>
      </w:pPr>
      <w:r>
        <w:t>Aplikasi dibangun dengan standar desain eksekutif modern (</w:t>
      </w:r>
      <w:r>
        <w:rPr>
          <w:b/>
        </w:rPr>
        <w:t>SF UI Display Neo-Figma</w:t>
      </w:r>
      <w:r>
        <w:t>):</w:t>
      </w:r>
    </w:p>
    <w:p>
      <w:pPr>
        <w:pStyle w:val="ListBullet"/>
        <w:spacing w:after="80" w:line="276" w:lineRule="auto"/>
      </w:pPr>
      <w:r>
        <w:rPr>
          <w:b/>
        </w:rPr>
        <w:t>Visualisasi Ruang Server:</w:t>
      </w:r>
      <w:r>
        <w:t xml:space="preserve"> Menampilkan 8 rak server AI dalam format grid 2 Baris x 4 Kolom dengan partisi kaca transparan hermetis (*Cold Aisle Containment*).</w:t>
      </w:r>
    </w:p>
    <w:p>
      <w:pPr>
        <w:pStyle w:val="ListBullet"/>
        <w:spacing w:after="80" w:line="276" w:lineRule="auto"/>
      </w:pPr>
      <w:r>
        <w:rPr>
          <w:b/>
        </w:rPr>
        <w:t>Laminar CFD Streamlines:</w:t>
      </w:r>
      <w:r>
        <w:t xml:space="preserve"> Simulasi partikel aliran udara dingin yang menyembur vertikal dari ubin berpori menuju intake sasis rak, lengkap dengan efek *Aperture Glow* pada ubin berkecepatan tinggi.</w:t>
      </w:r>
    </w:p>
    <w:p>
      <w:pPr>
        <w:pStyle w:val="ListBullet"/>
        <w:spacing w:after="80" w:line="276" w:lineRule="auto"/>
      </w:pPr>
      <w:r>
        <w:rPr>
          <w:b/>
        </w:rPr>
        <w:t>Hot Aisle Plumes:</w:t>
      </w:r>
      <w:r>
        <w:t xml:space="preserve"> Efek visual pembuangan kalor hangat di bagian luar rak menuju saluran *exhaust*.</w:t>
      </w:r>
    </w:p>
    <w:p>
      <w:pPr>
        <w:pStyle w:val="ListBullet"/>
        <w:spacing w:after="80" w:line="276" w:lineRule="auto"/>
      </w:pPr>
      <w:r>
        <w:rPr>
          <w:b/>
        </w:rPr>
        <w:t>Smart PDU Live Feed:</w:t>
      </w:r>
      <w:r>
        <w:t xml:space="preserve"> Panel pemantauan daya listrik individual per rak (`PDU-A1` s/d `PDU-B4`) dengan indikator tren lonjakan beban.</w:t>
      </w:r>
    </w:p>
    <w:p>
      <w:pPr>
        <w:pStyle w:val="ListBullet"/>
        <w:spacing w:after="80" w:line="276" w:lineRule="auto"/>
      </w:pPr>
      <w:r>
        <w:rPr>
          <w:b/>
        </w:rPr>
        <w:t>Kontrol Interaktif:</w:t>
      </w:r>
      <w:r>
        <w:t xml:space="preserve"> Opsi pengujian langsung perubahan suhu luar ruang tropis (25°C – 45°C), turbulensi udara, serta tombol simulasi darurat lonjakan beban komputasi GPU (24 kW per rak).</w:t>
      </w:r>
    </w:p>
    <w:p>
      <w:pPr>
        <w:pStyle w:val="Heading2"/>
        <w:spacing w:before="240" w:after="60"/>
      </w:pPr>
      <w:r>
        <w:rPr>
          <w:rFonts w:ascii="Segoe UI" w:hAnsi="Segoe UI"/>
          <w:b/>
          <w:color w:val="4A154B"/>
        </w:rPr>
        <w:t>7. Arsitektur Berkas &amp; Panduan Menjalankan Sistem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7.1. Struktur Repositori</w:t>
      </w:r>
    </w:p>
    <w:p>
      <w:pPr>
        <w:spacing w:before="80" w:after="120"/>
        <w:ind w:left="288"/>
      </w:pPr>
      <w:r>
        <w:rPr>
          <w:rFonts w:ascii="Consolas" w:hAnsi="Consolas"/>
          <w:color w:val="282828"/>
          <w:sz w:val="17"/>
        </w:rPr>
        <w:t>thermoguard-ai/</w:t>
        <w:br/>
        <w:t>├── index.html        # Antarmuka Bento-Grid, panel metrik Tier-IV, &amp; canvas frame</w:t>
        <w:br/>
        <w:t>├── app.js            # Engine canvas 60 FPS, CFD partikel vertikal, &amp; renderer UI</w:t>
        <w:br/>
        <w:t>├── physics.js        # Physics-informed model: Smart PDU, inersia termal, PUE, &amp; PLN</w:t>
        <w:br/>
        <w:t>├── style.css         # Desain sistem Neo-Figma (Charcoal, Lavender, Amber, Mint)</w:t>
        <w:br/>
        <w:t>└── README.md         # Ringkasan cepat &amp; petunjuk eksekusi lokal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7828A0"/>
        </w:rPr>
        <w:t>7.2. Cara Menjalankan Secara Mandiri</w:t>
      </w:r>
    </w:p>
    <w:p>
      <w:pPr>
        <w:pStyle w:val="ListNumber"/>
        <w:spacing w:after="80" w:line="276" w:lineRule="auto"/>
      </w:pPr>
      <w:r>
        <w:t>Navigasi ke direktori proyek:</w:t>
      </w:r>
    </w:p>
    <w:p>
      <w:pPr>
        <w:spacing w:after="80" w:line="276" w:lineRule="auto"/>
      </w:pPr>
      <w:r>
        <w:t>```bash</w:t>
      </w:r>
    </w:p>
    <w:p>
      <w:pPr>
        <w:spacing w:after="80" w:line="276" w:lineRule="auto"/>
      </w:pPr>
      <w:r>
        <w:t>cd C:\Users\yuiop\.gemini\antigravity-ide\scratch\thermoguard-ai</w:t>
      </w:r>
    </w:p>
    <w:p>
      <w:pPr>
        <w:spacing w:after="80" w:line="276" w:lineRule="auto"/>
      </w:pPr>
      <w:r>
        <w:t>```</w:t>
      </w:r>
    </w:p>
    <w:p>
      <w:pPr>
        <w:pStyle w:val="ListNumber"/>
        <w:spacing w:after="80" w:line="276" w:lineRule="auto"/>
      </w:pPr>
      <w:r>
        <w:t>Jalankan server lokal sederhana (menggunakan Python atau Node.js):</w:t>
      </w:r>
    </w:p>
    <w:p>
      <w:pPr>
        <w:spacing w:after="80" w:line="276" w:lineRule="auto"/>
      </w:pPr>
      <w:r>
        <w:t>```bash</w:t>
      </w:r>
    </w:p>
    <w:p>
      <w:pPr>
        <w:spacing w:after="80" w:line="276" w:lineRule="auto"/>
      </w:pPr>
      <w:r>
        <w:t>python -m http.server 8765</w:t>
      </w:r>
    </w:p>
    <w:p>
      <w:pPr>
        <w:spacing w:after="80" w:line="276" w:lineRule="auto"/>
      </w:pPr>
      <w:r>
        <w:t>```</w:t>
      </w:r>
    </w:p>
    <w:p>
      <w:pPr>
        <w:spacing w:after="80" w:line="276" w:lineRule="auto"/>
      </w:pPr>
      <w:r>
        <w:t>*atau menggunakan Node.js:*</w:t>
      </w:r>
    </w:p>
    <w:p>
      <w:pPr>
        <w:spacing w:after="80" w:line="276" w:lineRule="auto"/>
      </w:pPr>
      <w:r>
        <w:t>```bash</w:t>
      </w:r>
    </w:p>
    <w:p>
      <w:pPr>
        <w:spacing w:after="80" w:line="276" w:lineRule="auto"/>
      </w:pPr>
      <w:r>
        <w:t>npx serve . -p 8765</w:t>
      </w:r>
    </w:p>
    <w:p>
      <w:pPr>
        <w:spacing w:after="80" w:line="276" w:lineRule="auto"/>
      </w:pPr>
      <w:r>
        <w:t>```</w:t>
      </w:r>
    </w:p>
    <w:p>
      <w:pPr>
        <w:pStyle w:val="ListNumber"/>
        <w:spacing w:after="80" w:line="276" w:lineRule="auto"/>
      </w:pPr>
      <w:r>
        <w:t>Buka peramban di tautan:</w:t>
      </w:r>
    </w:p>
    <w:p>
      <w:pPr>
        <w:spacing w:after="80" w:line="276" w:lineRule="auto"/>
      </w:pPr>
      <w:r>
        <w:t>```</w:t>
      </w:r>
    </w:p>
    <w:p>
      <w:pPr>
        <w:spacing w:after="80" w:line="276" w:lineRule="auto"/>
      </w:pPr>
      <w:r>
        <w:t>http://localhost:8765</w:t>
      </w:r>
    </w:p>
    <w:p>
      <w:pPr>
        <w:spacing w:after="80" w:line="276" w:lineRule="auto"/>
      </w:pPr>
      <w:r>
        <w:t>```</w:t>
      </w:r>
    </w:p>
    <w:p>
      <w:pPr>
        <w:pStyle w:val="Heading2"/>
        <w:spacing w:before="240" w:after="60"/>
      </w:pPr>
      <w:r>
        <w:rPr>
          <w:rFonts w:ascii="Segoe UI" w:hAnsi="Segoe UI"/>
          <w:b/>
          <w:color w:val="4A154B"/>
        </w:rPr>
        <w:t>8. Kesimpulan &amp; Roadmap Masa Depan</w:t>
      </w:r>
    </w:p>
    <w:p>
      <w:pPr>
        <w:spacing w:after="80" w:line="276" w:lineRule="auto"/>
      </w:pPr>
      <w:r>
        <w:t xml:space="preserve">ThermoGuard AI mendefinisikan ulang cara data center AI dikelola di kawasan tropis. Dengan mengalihkan fokus dari sensor suhu udara yang lambat ke </w:t>
      </w:r>
      <w:r>
        <w:rPr>
          <w:b/>
        </w:rPr>
        <w:t>telemetri daya listrik Smart PDU yang instan</w:t>
      </w:r>
      <w:r>
        <w:t xml:space="preserve"> serta memanfaatkan </w:t>
      </w:r>
      <w:r>
        <w:rPr>
          <w:b/>
        </w:rPr>
        <w:t>jeda inersia termal alami di dalam Cold Aisle Containment</w:t>
      </w:r>
      <w:r>
        <w:t>, fasilitas dapat beroperasi dengan aman, stabil pada standar ASHRAE TC 9.9, dan memangkas biaya energi miliaran rupiah setiap tahun.</w:t>
      </w:r>
    </w:p>
    <w:p>
      <w:pPr>
        <w:spacing w:after="80" w:line="276" w:lineRule="auto"/>
      </w:pPr>
      <w:r>
        <w:rPr>
          <w:b/>
        </w:rPr>
        <w:t>Roadmap Pengembangan Lanjutan:</w:t>
      </w:r>
    </w:p>
    <w:p>
      <w:pPr>
        <w:pStyle w:val="ListBullet"/>
        <w:spacing w:after="80" w:line="276" w:lineRule="auto"/>
      </w:pPr>
      <w:r>
        <w:t xml:space="preserve">Integrasi skema ganda tarif PLN </w:t>
      </w:r>
      <w:r>
        <w:rPr>
          <w:b/>
        </w:rPr>
        <w:t>WBP (17:00 – 22:00 WIB)</w:t>
      </w:r>
      <w:r>
        <w:t xml:space="preserve"> vs </w:t>
      </w:r>
      <w:r>
        <w:rPr>
          <w:b/>
        </w:rPr>
        <w:t>LWBP</w:t>
      </w:r>
      <w:r>
        <w:t xml:space="preserve"> untuk optimasi finansial berbasis waktu nyata.</w:t>
      </w:r>
    </w:p>
    <w:p>
      <w:pPr>
        <w:pStyle w:val="ListBullet"/>
        <w:spacing w:after="80" w:line="276" w:lineRule="auto"/>
      </w:pPr>
      <w:r>
        <w:t xml:space="preserve">Simulasi redundansi keandalan **CRAH </w:t>
      </w:r>
      <m:oMath xmlns:mml="http://www.w3.org/1998/Math/MathML">
        <m:r>
          <m:t>N+1</m:t>
        </m:r>
      </m:oMath>
      <w:r>
        <w:t xml:space="preserve"> Failover** untuk sertifikasi Uptime Institute Tier-IV.</w:t>
      </w:r>
    </w:p>
    <w:p>
      <w:pPr>
        <w:pStyle w:val="ListBullet"/>
        <w:spacing w:after="80" w:line="276" w:lineRule="auto"/>
      </w:pPr>
      <w:r>
        <w:t>Telemetri stratifikasi vertikal rak 42U (*Intake Bawah, Tengah, dan Atas*) dengan metrik Delta-T (</w:t>
      </w:r>
      <m:oMath xmlns:mml="http://www.w3.org/1998/Math/MathML">
        <m:r>
          <m:t>ΔT</m:t>
        </m:r>
      </m:oMath>
      <w:r>
        <w:t>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