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Segoe UI" w:hAnsi="Segoe UI"/>
          <w:b/>
          <w:color w:val="181A1A"/>
        </w:rPr>
        <w:t>KARYA TULIS ILMIAH &amp; PROPOSAL INOVASI TEKNOLOGI</w:t>
      </w:r>
    </w:p>
    <w:p>
      <w:pPr>
        <w:pStyle w:val="Heading1"/>
        <w:spacing w:before="280" w:after="80"/>
      </w:pPr>
      <w:r>
        <w:rPr>
          <w:rFonts w:ascii="Segoe UI" w:hAnsi="Segoe UI"/>
          <w:b/>
          <w:color w:val="181A1A"/>
        </w:rPr>
        <w:t>THERMOGUARD AI: REKAYASA SISTEM PENDINGIN DATA CENTER PROAKTIF BERBASIS SMART PDU POWER-FIRST SENSING, EKSPLOITASI INERSIA TERMAL, DAN ACTIVE VAV COLD AISLE CONTAINMENT DI IKLIM TROPIS INDONESIA</w:t>
      </w:r>
    </w:p>
    <w:p>
      <w:pPr>
        <w:pStyle w:val="Heading2"/>
        <w:spacing w:before="240" w:after="60"/>
      </w:pPr>
      <w:r>
        <w:rPr>
          <w:rFonts w:ascii="Segoe UI" w:hAnsi="Segoe UI"/>
          <w:b/>
          <w:color w:val="4A154B"/>
        </w:rPr>
        <w:t>ABSTRAK</w:t>
      </w:r>
    </w:p>
    <w:p>
      <w:pPr>
        <w:spacing w:after="80" w:line="276" w:lineRule="auto"/>
      </w:pPr>
      <w:r>
        <w:t xml:space="preserve">Pertumbuhan beban komputasi kecerdasan buatan (*Artificial Intelligence*) di Indonesia memicu lonjakan densitas termal rak server hingga menembus 15–25 kW per rak. Sistem pendingin data center konvensional berbasis kontroler PID reaktif menghadapi kendala mendasar: keterlambatan deteksi sensor suhu udara lorong dingin (*air sensor lag*) dan jeda respon aktuator mekanis (*mechanical inertia*), yang berakibat pada pemborosan energi melalui *overcooling* ekstrem (11.5°C) serta risiko *thermal throttling*. Di sisi lain, pada ekosistem *multi-tenant colocation* di Indonesia, operator fasilitas terikat regulasi privasi yang melarang akses ke antrean sistem operasi (*job queue*) pelanggan. Karya tulis ini mengajukan </w:t>
      </w:r>
      <w:r>
        <w:rPr>
          <w:b/>
        </w:rPr>
        <w:t>ThermoGuard AI</w:t>
      </w:r>
      <w:r>
        <w:t xml:space="preserve">, sebuah arsitektur pendingin proaktif (*feedforward closed-loop*) yang memanfaatkan </w:t>
      </w:r>
      <w:r>
        <w:rPr>
          <w:b/>
        </w:rPr>
        <w:t>Smart PDU Power-First Sensing</w:t>
      </w:r>
      <w:r>
        <w:t xml:space="preserve"> untuk mendeteksi penarikan daya listrik seketika (</w:t>
      </w:r>
      <m:oMath xmlns:mml="http://www.w3.org/1998/Math/MathML">
        <m:r>
          <m:t>t=0</m:t>
        </m:r>
      </m:oMath>
      <w:r>
        <w:t xml:space="preserve">) secara 100% non-intrusif, mengeksploitasi </w:t>
      </w:r>
      <w:r>
        <w:rPr>
          <w:b/>
        </w:rPr>
        <w:t>jeda inersia termal alami</w:t>
      </w:r>
      <w:r>
        <w:t xml:space="preserve"> sasis server selama 60–180 detik, dan mengarahkan aliran udara dingin presisi melalui </w:t>
      </w:r>
      <w:r>
        <w:rPr>
          <w:b/>
        </w:rPr>
        <w:t>Active VAV Perforated Floor Tiles</w:t>
      </w:r>
      <w:r>
        <w:t xml:space="preserve"> di dalam lorong bersekat hermetis </w:t>
      </w:r>
      <w:r>
        <w:rPr>
          <w:b/>
        </w:rPr>
        <w:t>Cold Aisle Containment (CAC)</w:t>
      </w:r>
      <w:r>
        <w:t xml:space="preserve"> standar Tier-IV. Berdasarkan pemodelan matematis termofluida terintegrasi dan simulasi fasilitas berkapasitas 1.0 MW IT Load pada tarif industri PLN Rp 1.300/kWh di iklim tropis (33°C, 80% RH), ThermoGuard AI berhasil menstabilkan suhu pasokan udara pada 15.0°C (sesuai standar ASHRAE TC 9.9), memangkas *Power Usage Effectiveness* (PUE) dari 1.45 menjadi 1.23, menghasilkan efisiensi energi pendinginan sebesar 32.9% atau penghematan operasional sebesar Rp 1,53 Miliar per tahun, serta mereduksi emisi karbon hingga 969 Ton </w:t>
      </w:r>
      <m:oMath xmlns:mml="http://www.w3.org/1998/Math/MathML">
        <m:r>
          <m:t>C</m:t>
        </m:r>
        <m:sSub>
          <m:e>
            <m:r>
              <m:t>O</m:t>
            </m:r>
          </m:e>
          <m:sub>
            <m:r>
              <m:t>2</m:t>
            </m:r>
          </m:sub>
        </m:sSub>
      </m:oMath>
      <w:r>
        <w:t xml:space="preserve"> per tahun.</w:t>
      </w:r>
    </w:p>
    <w:p>
      <w:pPr>
        <w:spacing w:after="80" w:line="276" w:lineRule="auto"/>
      </w:pPr>
      <w:r>
        <w:rPr>
          <w:b/>
        </w:rPr>
        <w:t>Kata Kunci:</w:t>
      </w:r>
      <w:r>
        <w:t xml:space="preserve"> *Data Center AI, Smart PDU Sensing, Inersia Termal, Cold Aisle Containment, Active VAV Tiles, PUE, Efisiensi Energi PLN.*</w:t>
      </w:r>
    </w:p>
    <w:p>
      <w:pPr>
        <w:pStyle w:val="Heading2"/>
        <w:spacing w:before="240" w:after="60"/>
      </w:pPr>
      <w:r>
        <w:rPr>
          <w:rFonts w:ascii="Segoe UI" w:hAnsi="Segoe UI"/>
          <w:b/>
          <w:color w:val="4A154B"/>
        </w:rPr>
        <w:t>ABSTRACT</w:t>
      </w:r>
    </w:p>
    <w:p>
      <w:pPr>
        <w:spacing w:after="80" w:line="276" w:lineRule="auto"/>
      </w:pPr>
      <w:r>
        <w:t xml:space="preserve">*The exponential growth of Artificial Intelligence (AI) compute workloads in Indonesia has escalated rack power densities to 15–25 kW per rack. Conventional data center cooling systems employing reactive PID controllers suffer from significant air-temperature sensing latency and mechanical response lags, causing severe energy inefficiency via overcooling (11.5°C) and heightened risk of server thermal throttling. Furthermore, in multi-tenant colocation facilities across Indonesia, stringent privacy mandates prohibit facility operators from inspecting internal tenant job queues. This paper proposes </w:t>
      </w:r>
      <w:r>
        <w:rPr>
          <w:b/>
        </w:rPr>
        <w:t>ThermoGuard AI</w:t>
      </w:r>
      <w:r>
        <w:t xml:space="preserve">, an advanced feedforward closed-loop cooling architecture that leverages </w:t>
      </w:r>
      <w:r>
        <w:rPr>
          <w:b/>
        </w:rPr>
        <w:t>Smart PDU Power-First Sensing</w:t>
      </w:r>
      <w:r>
        <w:t xml:space="preserve"> for instant, 100% non-intrusive electrical surge detection (</w:t>
      </w:r>
      <m:oMath xmlns:mml="http://www.w3.org/1998/Math/MathML">
        <m:r>
          <m:t>t=0</m:t>
        </m:r>
      </m:oMath>
      <w:r>
        <w:t xml:space="preserve">), exploits natural </w:t>
      </w:r>
      <w:r>
        <w:rPr>
          <w:b/>
        </w:rPr>
        <w:t>server chassis thermal inertia</w:t>
      </w:r>
      <w:r>
        <w:t xml:space="preserve"> (60–180 seconds delay), and delivers targeted cooling via motorized </w:t>
      </w:r>
      <w:r>
        <w:rPr>
          <w:b/>
        </w:rPr>
        <w:t>Active VAV Perforated Floor Tiles</w:t>
      </w:r>
      <w:r>
        <w:t xml:space="preserve"> within a Tier-IV compliant </w:t>
      </w:r>
      <w:r>
        <w:rPr>
          <w:b/>
        </w:rPr>
        <w:t>Cold Aisle Containment (CAC)</w:t>
      </w:r>
      <w:r>
        <w:t xml:space="preserve"> enclosure. Based on rigorous thermofluid modeling and computational simulations for a 1.0 MW IT facility under Indonesian tropical ambient conditions (33°C, 80% RH) and PLN industrial electricity tariffs, ThermoGuard AI safely elevates supply air temperature to 15.0°C (ASHRAE TC 9.9 compliant), successfully reduces the facility Power Usage Effectiveness (PUE) from 1.45 to 1.23, cuts cooling power consumption by 32.9% (saving IDR 1.53 Billion annually), and mitigates carbon emissions by approximately 969 Metric Tons of </w:t>
      </w:r>
      <m:oMath xmlns:mml="http://www.w3.org/1998/Math/MathML">
        <m:r>
          <m:t>C</m:t>
        </m:r>
        <m:sSub>
          <m:e>
            <m:r>
              <m:t>O</m:t>
            </m:r>
          </m:e>
          <m:sub>
            <m:r>
              <m:t>2</m:t>
            </m:r>
          </m:sub>
        </m:sSub>
      </m:oMath>
      <w:r>
        <w:t xml:space="preserve"> per year.*</w:t>
      </w:r>
    </w:p>
    <w:p>
      <w:pPr>
        <w:spacing w:after="80" w:line="276" w:lineRule="auto"/>
      </w:pPr>
      <w:r>
        <w:rPr>
          <w:b/>
        </w:rPr>
        <w:t>Keywords:</w:t>
      </w:r>
      <w:r>
        <w:t xml:space="preserve"> *AI Data Center, Smart PDU Sensing, Thermal Inertia, Cold Aisle Containment, VAV Floor Tiles, PUE, PLN Energy Efficiency.*</w:t>
      </w:r>
    </w:p>
    <w:p>
      <w:pPr>
        <w:pStyle w:val="Heading2"/>
        <w:spacing w:before="240" w:after="60"/>
      </w:pPr>
      <w:r>
        <w:rPr>
          <w:rFonts w:ascii="Segoe UI" w:hAnsi="Segoe UI"/>
          <w:b/>
          <w:color w:val="4A154B"/>
        </w:rPr>
        <w:t>BAB I. PENDAHULUAN</w:t>
      </w:r>
    </w:p>
    <w:p>
      <w:pPr>
        <w:pStyle w:val="Heading3"/>
        <w:spacing w:before="160" w:after="40"/>
      </w:pPr>
      <w:r>
        <w:rPr>
          <w:rFonts w:ascii="Segoe UI" w:hAnsi="Segoe UI"/>
          <w:b/>
          <w:color w:val="7828A0"/>
        </w:rPr>
        <w:t>1.1. Latar Belakang Masalah</w:t>
      </w:r>
    </w:p>
    <w:p>
      <w:pPr>
        <w:spacing w:after="80" w:line="276" w:lineRule="auto"/>
      </w:pPr>
      <w:r>
        <w:t>Transformasi digital nasional dan adopsi model kecerdasan buatan berskala besar (*Large Language Models*, *Generative AI*, dan *Computer Vision*) telah memicu pembangunan mega-data center di koridor strategis Indonesia, khususnya kawasan industri Cikarang, Cibitung, Karawang, dan Batam. Pertumbuhan ini menuntut kepadatan daya listrik yang luar biasa. Jika rak server konvensional umumnya mengonsumsi daya 3 hingga 6 kW per rak, kluster komputasi AI modern berbasis GPU (seperti NVIDIA H100, L40S, maupun kluster inferensi kepadatan tinggi) mencapai densitas panas 15 kW hingga lebih dari 25 kW per rak.</w:t>
      </w:r>
    </w:p>
    <w:p>
      <w:pPr>
        <w:spacing w:after="80" w:line="276" w:lineRule="auto"/>
      </w:pPr>
      <w:r>
        <w:t>Di tengah iklim tropis Indonesia dengan suhu ambien rata-rata 32°C – 35°C dan kelembapan relatif tinggi (75% – 90% RH), sistem pendingin (*cooling infrastructure*) memikul beban kerja yang sangat berat. Pada fasilitas data center konvensional di Indonesia, sistem pendingin menghabiskan sekitar 35% hingga 42% dari total konsumsi listrik gedung, mencerminkan nilai *Power Usage Effectiveness* (PUE) yang masih bertengger di kisaran 1.45 hingga 1.60.</w:t>
      </w:r>
    </w:p>
    <w:p>
      <w:pPr>
        <w:pStyle w:val="Heading3"/>
        <w:spacing w:before="160" w:after="40"/>
      </w:pPr>
      <w:r>
        <w:rPr>
          <w:rFonts w:ascii="Segoe UI" w:hAnsi="Segoe UI"/>
          <w:b/>
          <w:color w:val="7828A0"/>
        </w:rPr>
        <w:t>1.2. Identifikasi Masalah &amp; Keterbatasan Pendekatan Eksisting</w:t>
      </w:r>
    </w:p>
    <w:p>
      <w:pPr>
        <w:pStyle w:val="ListNumber"/>
        <w:spacing w:after="80" w:line="276" w:lineRule="auto"/>
      </w:pPr>
      <w:r>
        <w:rPr>
          <w:b/>
        </w:rPr>
        <w:t>Kegagalan Sistem Pendingin Reaktif:</w:t>
      </w:r>
      <w:r>
        <w:t xml:space="preserve"> Pengendali pendingin udara konvensional (*Computer Room Air Handler* / CRAH) mengandalkan sensor suhu udara yang diletakkan di depan rak. Karena udara memiliki kapasitas kalor volumetrik dan inersia perambatan, kenaikan suhu udara lorong baru terdeteksi 1 hingga 3 menit setelah GPU mulai bekerja. Akibatnya, CRAH merespons secara terlambat (*feedback delay*), memicu fenomena *thermal hunting* dan lonjakan suhu mendadak (*temperature spikes* hingga &gt;42°C).</w:t>
      </w:r>
    </w:p>
    <w:p>
      <w:pPr>
        <w:pStyle w:val="ListNumber"/>
        <w:spacing w:after="80" w:line="276" w:lineRule="auto"/>
      </w:pPr>
      <w:r>
        <w:rPr>
          <w:b/>
        </w:rPr>
        <w:t>Kompensasi Berlebih Melalui Over-Cooling:</w:t>
      </w:r>
      <w:r>
        <w:t xml:space="preserve"> Untuk memitigasi bahaya *thermal spike* akibat keterlambatan respon, operator fasilitas terpaksa menyetel suhu pasokan udara (*supply air*) sangat rendah, yaitu pada 11°C – 12°C. Praktik *over-cooling* 24/7 ini membebani kompresor *chiller* dan menyebabkan pemborosan daya listrik bernilai miliaran rupiah setiap tahunnya.</w:t>
      </w:r>
    </w:p>
    <w:p>
      <w:pPr>
        <w:pStyle w:val="ListNumber"/>
        <w:spacing w:after="80" w:line="276" w:lineRule="auto"/>
      </w:pPr>
      <w:r>
        <w:rPr>
          <w:b/>
        </w:rPr>
        <w:t>Restriksi Privasi Tenant Colocation:</w:t>
      </w:r>
      <w:r>
        <w:t xml:space="preserve"> Beberapa literatur akademis mengusulkan integrasi sistem pendingin dengan antrean penjadwalan tugas komputasi (*Job Scheduler Queue* seperti Slurm atau Kubernetes). Namun, pada realitas industri komersial di Indonesia (seperti DCI Indonesia, BDx, NeutraDC Telkom, dan NTT), lebih dari 85% fasilitas beroperasi sebagai </w:t>
      </w:r>
      <w:r>
        <w:rPr>
          <w:b/>
        </w:rPr>
        <w:t>Colocation Multi-Tenant</w:t>
      </w:r>
      <w:r>
        <w:t xml:space="preserve">. Berdasarkan regulasi kerahasiaan data, sertifikasi ISO/IEC 27001, dan kepatuhan SLA, pengelola fasilitas </w:t>
      </w:r>
      <w:r>
        <w:rPr>
          <w:b/>
        </w:rPr>
        <w:t>dilarang mutlak mengakses sistem operasi server milik pelanggan</w:t>
      </w:r>
      <w:r>
        <w:t>.</w:t>
      </w:r>
    </w:p>
    <w:p>
      <w:pPr>
        <w:pStyle w:val="Heading3"/>
        <w:spacing w:before="160" w:after="40"/>
      </w:pPr>
      <w:r>
        <w:rPr>
          <w:rFonts w:ascii="Segoe UI" w:hAnsi="Segoe UI"/>
          <w:b/>
          <w:color w:val="7828A0"/>
        </w:rPr>
        <w:t>1.3. Rumusan Masalah</w:t>
      </w:r>
    </w:p>
    <w:p>
      <w:pPr>
        <w:pStyle w:val="ListNumber"/>
        <w:spacing w:after="80" w:line="276" w:lineRule="auto"/>
      </w:pPr>
      <w:r>
        <w:t>Bagaimana merancang mekanisme deteksi lonjakan panas komputasi AI yang instan dan proaktif tanpa melanggar batasan privasi data *tenant colocation*?</w:t>
      </w:r>
    </w:p>
    <w:p>
      <w:pPr>
        <w:pStyle w:val="ListNumber"/>
        <w:spacing w:after="80" w:line="276" w:lineRule="auto"/>
      </w:pPr>
      <w:r>
        <w:t>Bagaimana memanfaatkan fenomena fisika inersia termal sasis server untuk melakukan tindakan mitigasi dini (*pre-cooling buffer*) sebelum udara lorong sempat memanas?</w:t>
      </w:r>
    </w:p>
    <w:p>
      <w:pPr>
        <w:pStyle w:val="ListNumber"/>
        <w:spacing w:after="80" w:line="276" w:lineRule="auto"/>
      </w:pPr>
      <w:r>
        <w:t>Bagaimana merancang sistem distribusi udara dingin presisi berbasis *Cold Aisle Containment* (CAC) dan *Active Variable Air Volume (VAV) Floor Tiles* guna mencapai efisiensi energi optimal sesuai standar ASHRAE TC 9.9 di iklim tropis Indonesia?</w:t>
      </w:r>
    </w:p>
    <w:p>
      <w:pPr>
        <w:pStyle w:val="Heading3"/>
        <w:spacing w:before="160" w:after="40"/>
      </w:pPr>
      <w:r>
        <w:rPr>
          <w:rFonts w:ascii="Segoe UI" w:hAnsi="Segoe UI"/>
          <w:b/>
          <w:color w:val="7828A0"/>
        </w:rPr>
        <w:t>1.4. Tujuan Penelitian &amp; Inovasi</w:t>
      </w:r>
    </w:p>
    <w:p>
      <w:pPr>
        <w:pStyle w:val="ListBullet"/>
        <w:spacing w:after="80" w:line="276" w:lineRule="auto"/>
      </w:pPr>
      <w:r>
        <w:t xml:space="preserve">Mengembangkan arsitektur </w:t>
      </w:r>
      <w:r>
        <w:rPr>
          <w:b/>
        </w:rPr>
        <w:t>ThermoGuard AI</w:t>
      </w:r>
      <w:r>
        <w:t xml:space="preserve">: sistem kendali pendingin proaktif (*feedforward closed-loop*) berbasis telemetri </w:t>
      </w:r>
      <w:r>
        <w:rPr>
          <w:b/>
        </w:rPr>
        <w:t>Smart PDU Power-First Sensing</w:t>
      </w:r>
      <w:r>
        <w:t xml:space="preserve"> (</w:t>
      </w:r>
      <m:oMath xmlns:mml="http://www.w3.org/1998/Math/MathML">
        <m:r>
          <m:t>t=0</m:t>
        </m:r>
      </m:oMath>
      <w:r>
        <w:t>).</w:t>
      </w:r>
    </w:p>
    <w:p>
      <w:pPr>
        <w:pStyle w:val="ListBullet"/>
        <w:spacing w:after="80" w:line="276" w:lineRule="auto"/>
      </w:pPr>
      <w:r>
        <w:t xml:space="preserve">Menurunkan formulasi termodinamika perambatan panas diferensial sasis server dengan konstanta inersia </w:t>
      </w:r>
      <m:oMath xmlns:mml="http://www.w3.org/1998/Math/MathML">
        <m:r>
          <m:t>τ=120</m:t>
        </m:r>
        <m:r>
          <m:rPr>
            <m:nor/>
          </m:rPr>
          <m:t> detik</m:t>
        </m:r>
      </m:oMath>
      <w:r>
        <w:t>.</w:t>
      </w:r>
    </w:p>
    <w:p>
      <w:pPr>
        <w:pStyle w:val="ListBullet"/>
        <w:spacing w:after="80" w:line="276" w:lineRule="auto"/>
      </w:pPr>
      <w:r>
        <w:t xml:space="preserve">Merancang integrasi dinamis antara tekanan plenum bawah lantai (*raised floor*) dengan katup kisi lantai bermotor (*Active VAV Tiles*) yang merespons gradien daya </w:t>
      </w:r>
      <m:oMath xmlns:mml="http://www.w3.org/1998/Math/MathML">
        <m:r>
          <m:t>dP/dt</m:t>
        </m:r>
      </m:oMath>
      <w:r>
        <w:t>.</w:t>
      </w:r>
    </w:p>
    <w:p>
      <w:pPr>
        <w:pStyle w:val="ListBullet"/>
        <w:spacing w:after="80" w:line="276" w:lineRule="auto"/>
      </w:pPr>
      <w:r>
        <w:t>Menguji efisiensi tekno-ekonomi pada kapasitas 1.0 MW IT Load berdasarkan tarif listrik PLN Golongan Industri I-3/I-4 Rp 1.300/kWh.</w:t>
      </w:r>
    </w:p>
    <w:p>
      <w:pPr>
        <w:pStyle w:val="Heading2"/>
        <w:spacing w:before="240" w:after="60"/>
      </w:pPr>
      <w:r>
        <w:rPr>
          <w:rFonts w:ascii="Segoe UI" w:hAnsi="Segoe UI"/>
          <w:b/>
          <w:color w:val="4A154B"/>
        </w:rPr>
        <w:t>BAB II. TINJAUAN PUSTAKA &amp; LANDASAN TEORI</w:t>
      </w:r>
    </w:p>
    <w:p>
      <w:pPr>
        <w:pStyle w:val="Heading3"/>
        <w:spacing w:before="160" w:after="40"/>
      </w:pPr>
      <w:r>
        <w:rPr>
          <w:rFonts w:ascii="Segoe UI" w:hAnsi="Segoe UI"/>
          <w:b/>
          <w:color w:val="7828A0"/>
        </w:rPr>
        <w:t>2.1. Standar Termal Lingkungan ASHRAE TC 9.9</w:t>
      </w:r>
    </w:p>
    <w:p>
      <w:pPr>
        <w:spacing w:after="80" w:line="276" w:lineRule="auto"/>
      </w:pPr>
      <w:r>
        <w:t>*American Society of Heating, Refrigerating and Air-Conditioning Engineers* (ASHRAE) Technical Committee 9.9 menetapkan pedoman lingkungan termal untuk pusat data kelas enterprise:</w:t>
      </w:r>
    </w:p>
    <w:p>
      <w:pPr>
        <w:pStyle w:val="ListBullet"/>
        <w:spacing w:after="80" w:line="276" w:lineRule="auto"/>
      </w:pPr>
      <w:r>
        <w:rPr>
          <w:b/>
        </w:rPr>
        <w:t>Recommended Envelope (Class A1):</w:t>
      </w:r>
      <w:r>
        <w:t xml:space="preserve"> Suhu pasokan udara dingin (*dry-bulb temperature*) berada pada rentang </w:t>
      </w:r>
      <w:r>
        <w:rPr>
          <w:b/>
        </w:rPr>
        <w:t>18.0°C hingga 27.0°C</w:t>
      </w:r>
      <w:r>
        <w:t>.</w:t>
      </w:r>
    </w:p>
    <w:p>
      <w:pPr>
        <w:pStyle w:val="ListBullet"/>
        <w:spacing w:after="80" w:line="276" w:lineRule="auto"/>
      </w:pPr>
      <w:r>
        <w:rPr>
          <w:b/>
        </w:rPr>
        <w:t>Kelembapan Relatif (RH):</w:t>
      </w:r>
      <w:r>
        <w:t xml:space="preserve"> Rentang aman non-kondensasi adalah </w:t>
      </w:r>
      <w:r>
        <w:rPr>
          <w:b/>
        </w:rPr>
        <w:t>50% hingga 60% RH</w:t>
      </w:r>
      <w:r>
        <w:t xml:space="preserve"> dengan batas titik embun maksimum (*dew point*) sebesar </w:t>
      </w:r>
      <w:r>
        <w:rPr>
          <w:b/>
        </w:rPr>
        <w:t>15.0°C</w:t>
      </w:r>
      <w:r>
        <w:t>.</w:t>
      </w:r>
    </w:p>
    <w:p>
      <w:pPr>
        <w:spacing w:after="80" w:line="276" w:lineRule="auto"/>
      </w:pPr>
      <w:r>
        <w:t xml:space="preserve">Sistem ThermoGuard AI mengadopsi suhu pasokan presisi </w:t>
      </w:r>
      <w:r>
        <w:rPr>
          <w:b/>
        </w:rPr>
        <w:t>15.0°C – 18.0°C</w:t>
      </w:r>
      <w:r>
        <w:t xml:space="preserve"> di plenum bawah lantai, memastikan bahwa udara yang menyentuh server berada dalam amplop rekomendasi ASHRAE sekaligus mengeliminasi risiko kondensasi air (*safe dew point* 5.2°C pada 52% RH ruangan).</w:t>
      </w:r>
    </w:p>
    <w:p>
      <w:pPr>
        <w:pStyle w:val="Heading3"/>
        <w:spacing w:before="160" w:after="40"/>
      </w:pPr>
      <w:r>
        <w:rPr>
          <w:rFonts w:ascii="Segoe UI" w:hAnsi="Segoe UI"/>
          <w:b/>
          <w:color w:val="7828A0"/>
        </w:rPr>
        <w:t>2.2. Prinsip Pemisahan Aliran Udara: Cold Aisle Containment (CAC)</w:t>
      </w:r>
    </w:p>
    <w:p>
      <w:pPr>
        <w:spacing w:after="80" w:line="276" w:lineRule="auto"/>
      </w:pPr>
      <w:r>
        <w:t>Dalam arsitektur data center Tier-3 dan Tier-4, fenomena *thermal bypass* (tercampurnya udara pasokan dingin dengan udara buangan panas) merupakan sumber inefisiensi termal terbesar. Sistem *Cold Aisle Containment* (CAC) mengisolasi lorong dingin menggunakan sekat dinding kaca laminasi dan pintu geser hermetis. Dengan menjaga lorong dingin pada tekanan statis positif (30–40 Pa), udara dingin dipaksa mengalir satu arah menembus sasis server dari bagian depan (*intake*) menuju bagian belakang (*exhaust*), mencegah kebocoran udara dingin ke lingkungan sekitar.</w:t>
      </w:r>
    </w:p>
    <w:p>
      <w:pPr>
        <w:pStyle w:val="Heading3"/>
        <w:spacing w:before="160" w:after="40"/>
      </w:pPr>
      <w:r>
        <w:rPr>
          <w:rFonts w:ascii="Segoe UI" w:hAnsi="Segoe UI"/>
          <w:b/>
          <w:color w:val="7828A0"/>
        </w:rPr>
        <w:t>2.3. Konsep Physics-Informed Feedforward Control</w:t>
      </w:r>
    </w:p>
    <w:p>
      <w:pPr>
        <w:spacing w:after="80" w:line="276" w:lineRule="auto"/>
      </w:pPr>
      <w:r>
        <w:t>Kontrol konvensional bekerja secara *feedback*:</w:t>
      </w:r>
    </w:p>
    <w:p>
      <w:pPr>
        <w:spacing w:before="160" w:after="160"/>
        <w:jc w:val="center"/>
        <w:pBdr>
          <w:left w:val="single" w:sz="24" w:space="12" w:color="AF6EFF"/>
        </w:pBdr>
        <w:shd w:fill="F8F9FC"/>
      </w:pPr>
      <m:oMath xmlns:mml="http://www.w3.org/1998/Math/MathML">
        <m:r>
          <m:rPr>
            <m:nor/>
          </m:rPr>
          <m:t>Error</m:t>
        </m:r>
        <m:r>
          <m:t>(t)=</m:t>
        </m:r>
        <m:sSub>
          <m:e>
            <m:r>
              <m:t>T</m:t>
            </m:r>
          </m:e>
          <m:sub>
            <m:r>
              <m:rPr>
                <m:nor/>
              </m:rPr>
              <m:t>setpoint</m:t>
            </m:r>
          </m:sub>
        </m:sSub>
        <m:r>
          <m:t>−</m:t>
        </m:r>
        <m:sSub>
          <m:e>
            <m:r>
              <m:t>T</m:t>
            </m:r>
          </m:e>
          <m:sub>
            <m:r>
              <m:rPr>
                <m:nor/>
              </m:rPr>
              <m:t>measured</m:t>
            </m:r>
          </m:sub>
        </m:sSub>
        <m:r>
          <m:t>(t)</m:t>
        </m:r>
      </m:oMath>
      <w:r>
        <w:rPr>
          <w:rFonts w:ascii="Calibri" w:hAnsi="Calibri"/>
          <w:color w:val="6B7280"/>
          <w:sz w:val="19"/>
        </w:rPr>
        <w:t xml:space="preserve">    (1)</w:t>
      </w:r>
    </w:p>
    <w:p>
      <w:pPr>
        <w:spacing w:after="80" w:line="276" w:lineRule="auto"/>
      </w:pPr>
      <w:r>
        <w:t>Sebaliknya, kontrol *feedforward* berbasis fisika mengantisipasi respon sistem dengan mengukur gangguan (*disturbance*) pada sumbernya sebelum variabel terkontrol terpengaruh:</w:t>
      </w:r>
    </w:p>
    <w:p>
      <w:pPr>
        <w:spacing w:before="160" w:after="160"/>
        <w:jc w:val="center"/>
        <w:pBdr>
          <w:left w:val="single" w:sz="24" w:space="12" w:color="AF6EFF"/>
        </w:pBdr>
        <w:shd w:fill="F8F9FC"/>
      </w:pPr>
      <m:oMath xmlns:mml="http://www.w3.org/1998/Math/MathML">
        <m:r>
          <m:t>u(t)=f</m:t>
        </m:r>
        <m:r>
          <m:t>(</m:t>
        </m:r>
        <m:r>
          <m:rPr>
            <m:nor/>
          </m:rPr>
          <m:t>Disturbance</m:t>
        </m:r>
        <m:r>
          <m:t>(t),</m:t>
        </m:r>
        <m:r>
          <m:rPr>
            <m:nor/>
          </m:rPr>
          <m:t>Physics Model</m:t>
        </m:r>
        <m:r>
          <m:t>)</m:t>
        </m:r>
      </m:oMath>
      <w:r>
        <w:rPr>
          <w:rFonts w:ascii="Calibri" w:hAnsi="Calibri"/>
          <w:color w:val="6B7280"/>
          <w:sz w:val="19"/>
        </w:rPr>
        <w:t xml:space="preserve">    (2)</w:t>
      </w:r>
    </w:p>
    <w:p>
      <w:pPr>
        <w:spacing w:after="80" w:line="276" w:lineRule="auto"/>
      </w:pPr>
      <w:r>
        <w:t>Dalam ThermoGuard AI, gangguan utama adalah penarikan arus listrik GPU (</w:t>
      </w:r>
      <m:oMath xmlns:mml="http://www.w3.org/1998/Math/MathML">
        <m:sSub>
          <m:e>
            <m:r>
              <m:t>P</m:t>
            </m:r>
          </m:e>
          <m:sub>
            <m:r>
              <m:rPr>
                <m:nor/>
              </m:rPr>
              <m:t>IT</m:t>
            </m:r>
          </m:sub>
        </m:sSub>
      </m:oMath>
      <w:r>
        <w:t xml:space="preserve">). Dengan mengukur </w:t>
      </w:r>
      <m:oMath xmlns:mml="http://www.w3.org/1998/Math/MathML">
        <m:sSub>
          <m:e>
            <m:r>
              <m:t>P</m:t>
            </m:r>
          </m:e>
          <m:sub>
            <m:r>
              <m:rPr>
                <m:nor/>
              </m:rPr>
              <m:t>IT</m:t>
            </m:r>
          </m:sub>
        </m:sSub>
      </m:oMath>
      <w:r>
        <w:t xml:space="preserve"> di tingkat PDU, sistem aktuasi pendingin dapat digerakkan secara instan pada jendela jeda inersia termal.</w:t>
      </w:r>
    </w:p>
    <w:p>
      <w:pPr>
        <w:pStyle w:val="Heading2"/>
        <w:spacing w:before="240" w:after="60"/>
      </w:pPr>
      <w:r>
        <w:rPr>
          <w:rFonts w:ascii="Segoe UI" w:hAnsi="Segoe UI"/>
          <w:b/>
          <w:color w:val="4A154B"/>
        </w:rPr>
        <w:t>BAB III. ARSITEKTUR SISTEM &amp; DESAIN REKAYASA</w:t>
      </w:r>
    </w:p>
    <w:p>
      <w:pPr>
        <w:spacing w:before="80" w:after="120"/>
        <w:ind w:left="288"/>
      </w:pPr>
      <w:r>
        <w:rPr>
          <w:rFonts w:ascii="Consolas" w:hAnsi="Consolas"/>
          <w:color w:val="282828"/>
          <w:sz w:val="17"/>
        </w:rPr>
        <w:t>┌────────────────────────────────────────────────────────────────────────┐</w:t>
        <w:br/>
        <w:t>│               ARSITEKTUR LENGKAP SISTEM THERMOGUARD AI                 │</w:t>
        <w:br/>
        <w:t>│                                                                        │</w:t>
        <w:br/>
        <w:t>│   [ SENSOR FISIK NON-INTRUSIF ]                                        │</w:t>
        <w:br/>
        <w:t>│   ┌───────────────────────────┐                                        │</w:t>
        <w:br/>
        <w:t>│   │ Smart PDU Power Metering  │ ──(Daya Listrik kW @ t=0)──┐           │</w:t>
        <w:br/>
        <w:t>│   │ (Tiap Rak: V x I Sensor)  │                            │           │</w:t>
        <w:br/>
        <w:t>│   └───────────────────────────┘                            │           │</w:t>
        <w:br/>
        <w:t>│                                                            ▼           │</w:t>
        <w:br/>
        <w:t>│   [ THERMOGUARD AI REASONING CORE ]          ┌────────────────────────┐│</w:t>
        <w:br/>
        <w:t>│   ┌───────────────────────────────┐          │ 1. Gradient Estimator  ││</w:t>
        <w:br/>
        <w:t>│   │  PINN Differential Solver     │ ◄─────── │    (dP/dt Analysis)    ││</w:t>
        <w:br/>
        <w:t>│   │  (Inersia Termal 120 Detik)   │          └────────────────────────┘│</w:t>
        <w:br/>
        <w:t>│   └──────────────┬────────────────┘          ┌────────────────────────┐│</w:t>
        <w:br/>
        <w:t>│                  │                           │ 2. Predictive Horizon  ││</w:t>
        <w:br/>
        <w:t>│                  └─────────────────────────► │    (5 - 15 Menit)      ││</w:t>
        <w:br/>
        <w:t>│                                              └────────────────────────┘│</w:t>
        <w:br/>
        <w:t>│                                                            │           │</w:t>
        <w:br/>
        <w:t>│   [ TINGKAT AKTUASI MEKANIKAL (HVAC) ]                     ▼           │</w:t>
        <w:br/>
        <w:t>│   ┌──────────────────────────────────────────────────────────────────┐ │</w:t>
        <w:br/>
        <w:t>│   │ • Active VAV Damper Actuators (Aperture: 0% - 100% per Rak)      │ │</w:t>
        <w:br/>
        <w:t>│   │ • Variable Frequency Drive (VFD Blower Kipas CRAH Modulasi)      │ │</w:t>
        <w:br/>
        <w:t>│   │ • Chilled Water Supply Lift Modulation (+3.5°C Efisiensi)        │ │</w:t>
        <w:br/>
        <w:t>│   └──────────────────────────────────────────────────────────────────┘ │</w:t>
        <w:br/>
        <w:t>│                                    │                                   │</w:t>
        <w:br/>
        <w:t>│                                    ▼                                   │</w:t>
        <w:br/>
        <w:t>│   ┌──────────────────────────────────────────────────────────────────┐ │</w:t>
        <w:br/>
        <w:t>│   │       COLD AISLE CONTAINMENT (TIER-IV HERMETIC GLASS AISLE)      │ │</w:t>
        <w:br/>
        <w:t>│   │                                                                  │ │</w:t>
        <w:br/>
        <w:t>│   │   [Rak A1]       [Rak A2 (AI Node)]       [Rak A3 (AI Node)]     │ │</w:t>
        <w:br/>
        <w:t>│   │   Damper 40%         Damper 95%               Damper 95%         │ │</w:t>
        <w:br/>
        <w:t>│   │   (Standby)      (Pre-Cooling Active)     (Pre-Cooling Active)   │ │</w:t>
        <w:br/>
        <w:t>│   │       ▲                   ▲                        ▲             │ │</w:t>
        <w:br/>
        <w:t>│   │       └── Underfloor Plenum Positive Pressure (35 Pa Chilled Air)│ │</w:t>
        <w:br/>
        <w:t>│   └──────────────────────────────────────────────────────────────────┘ │</w:t>
        <w:br/>
        <w:t>└────────────────────────────────────────────────────────────────────────┘</w:t>
      </w:r>
    </w:p>
    <w:p>
      <w:pPr>
        <w:pStyle w:val="Heading3"/>
        <w:spacing w:before="160" w:after="40"/>
      </w:pPr>
      <w:r>
        <w:rPr>
          <w:rFonts w:ascii="Segoe UI" w:hAnsi="Segoe UI"/>
          <w:b/>
          <w:color w:val="7828A0"/>
        </w:rPr>
        <w:t>3.1. Sub-Sistem 1: Smart PDU Power Telemetry</w:t>
      </w:r>
    </w:p>
    <w:p>
      <w:pPr>
        <w:spacing w:after="80" w:line="276" w:lineRule="auto"/>
      </w:pPr>
      <w:r>
        <w:t>Setiap rak kabinet dilengkapi dengan unit distribusi daya pintar (*Smart Power Distribution Unit* / PDU). Sensor Hall-Effect dan pengukur tegangan mikroprosesor mengukur tegangan *Root Mean Square* (</w:t>
      </w:r>
      <m:oMath xmlns:mml="http://www.w3.org/1998/Math/MathML">
        <m:sSub>
          <m:e>
            <m:r>
              <m:t>V</m:t>
            </m:r>
          </m:e>
          <m:sub>
            <m:r>
              <m:rPr>
                <m:nor/>
              </m:rPr>
              <m:t>rms</m:t>
            </m:r>
          </m:sub>
        </m:sSub>
      </m:oMath>
      <w:r>
        <w:t>) dan arus (</w:t>
      </w:r>
      <m:oMath xmlns:mml="http://www.w3.org/1998/Math/MathML">
        <m:sSub>
          <m:e>
            <m:r>
              <m:t>I</m:t>
            </m:r>
          </m:e>
          <m:sub>
            <m:r>
              <m:rPr>
                <m:nor/>
              </m:rPr>
              <m:t>rms</m:t>
            </m:r>
          </m:sub>
        </m:sSub>
      </m:oMath>
      <w:r>
        <w:t>) pada frekuensi sampling 100 Hz, lalu mengirimkan telemetri daya rata-rata per detik (</w:t>
      </w:r>
      <m:oMath xmlns:mml="http://www.w3.org/1998/Math/MathML">
        <m:sSub>
          <m:e>
            <m:r>
              <m:t>P</m:t>
            </m:r>
          </m:e>
          <m:sub>
            <m:r>
              <m:rPr>
                <m:nor/>
              </m:rPr>
              <m:t>IT</m:t>
            </m:r>
          </m:sub>
        </m:sSub>
      </m:oMath>
      <w:r>
        <w:t xml:space="preserve"> dalam kW) melalui protokol industri Modbus-TCP atau SNMPv3 ke server pengontrol fasilitas.</w:t>
      </w:r>
    </w:p>
    <w:p>
      <w:pPr>
        <w:pStyle w:val="Heading3"/>
        <w:spacing w:before="160" w:after="40"/>
      </w:pPr>
      <w:r>
        <w:rPr>
          <w:rFonts w:ascii="Segoe UI" w:hAnsi="Segoe UI"/>
          <w:b/>
          <w:color w:val="7828A0"/>
        </w:rPr>
        <w:t>3.2. Sub-Sistem 2: Underfloor Plenum &amp; Active VAV Perforated Tiles</w:t>
      </w:r>
    </w:p>
    <w:p>
      <w:pPr>
        <w:pStyle w:val="ListBullet"/>
        <w:spacing w:after="80" w:line="276" w:lineRule="auto"/>
      </w:pPr>
      <w:r>
        <w:rPr>
          <w:b/>
        </w:rPr>
        <w:t>Lantai Panggung Bertekanan:</w:t>
      </w:r>
      <w:r>
        <w:t xml:space="preserve"> Ruang di bawah lantai panggung (*raised floor* setinggi 600 mm) berfungsi sebagai saluran udara dingin bertekanan positif seragam (35 Pa).</w:t>
      </w:r>
    </w:p>
    <w:p>
      <w:pPr>
        <w:pStyle w:val="ListBullet"/>
        <w:spacing w:after="80" w:line="276" w:lineRule="auto"/>
      </w:pPr>
      <w:r>
        <w:rPr>
          <w:b/>
        </w:rPr>
        <w:t>Kisi Lantai Bermotor:</w:t>
      </w:r>
      <w:r>
        <w:t xml:space="preserve"> Di depan masing-masing dari 8 rak server dipasang ubin berpori berukuran </w:t>
      </w:r>
      <m:oMath xmlns:mml="http://www.w3.org/1998/Math/MathML">
        <m:r>
          <m:t>600×600</m:t>
        </m:r>
        <m:r>
          <m:rPr>
            <m:nor/>
          </m:rPr>
          <m:t> mm</m:t>
        </m:r>
      </m:oMath>
      <w:r>
        <w:t xml:space="preserve"> yang dilengkapi bilah *damper* aerodinamis bermotor servo presisi tinggi. Bilah damper dapat membuka secara kontinu dari 0% (tertutup rapat) hingga 100% (bukaan penuh) dalam waktu transisi kurang dari 4.0 detik.</w:t>
      </w:r>
    </w:p>
    <w:p>
      <w:pPr>
        <w:pStyle w:val="Heading3"/>
        <w:spacing w:before="160" w:after="40"/>
      </w:pPr>
      <w:r>
        <w:rPr>
          <w:rFonts w:ascii="Segoe UI" w:hAnsi="Segoe UI"/>
          <w:b/>
          <w:color w:val="7828A0"/>
        </w:rPr>
        <w:t>3.3. Sub-Sistem 3: Isolasi Kaca Hermetis Tier-IV</w:t>
      </w:r>
    </w:p>
    <w:p>
      <w:pPr>
        <w:spacing w:after="80" w:line="276" w:lineRule="auto"/>
      </w:pPr>
      <w:r>
        <w:t>Dinding partisi kaca setebal 10 mm dengan rangka aluminium anodized menutup seluruh panjang lorong dingin selebar 1.200 mm. Di kedua ujung lorong terpasang pintu geser otomatis dengan segel karet elastis (*gasket seal*), menjamin tingkat kebocoran udara (*air leakage rate*) di bawah 1.5% pada tekanan diferensial 35 Pa.</w:t>
      </w:r>
    </w:p>
    <w:p>
      <w:pPr>
        <w:pStyle w:val="Heading2"/>
        <w:spacing w:before="240" w:after="60"/>
      </w:pPr>
      <w:r>
        <w:rPr>
          <w:rFonts w:ascii="Segoe UI" w:hAnsi="Segoe UI"/>
          <w:b/>
          <w:color w:val="4A154B"/>
        </w:rPr>
        <w:t>BAB IV. PEMODELAN MATEMATIS, PENURUNAN RUMUS, &amp; FORMULASI TERMOFLUIDA</w:t>
      </w:r>
    </w:p>
    <w:p>
      <w:pPr>
        <w:spacing w:after="80" w:line="276" w:lineRule="auto"/>
      </w:pPr>
      <w:r>
        <w:t>Pada bab ini dijabarkan seluruh formulasi fisika dan persamaan diferensial yang menjadi dasar komputasi algoritma ThermoGuard AI.</w:t>
      </w:r>
    </w:p>
    <w:p>
      <w:pPr>
        <w:pStyle w:val="Heading3"/>
        <w:spacing w:before="160" w:after="40"/>
      </w:pPr>
      <w:r>
        <w:rPr>
          <w:rFonts w:ascii="Segoe UI" w:hAnsi="Segoe UI"/>
          <w:b/>
          <w:color w:val="7828A0"/>
        </w:rPr>
        <w:t>4.1. Persamaan (1): Pengukuran Daya Listrik Aktual Joule (Smart PDU Sensing)</w:t>
      </w:r>
    </w:p>
    <w:p>
      <w:pPr>
        <w:spacing w:after="80" w:line="276" w:lineRule="auto"/>
      </w:pPr>
      <w:r>
        <w:t>Daya listrik nyata yang ditarik oleh perangkat server di dalam rak kabinet dihitung berdasarkan integrasi tegangan dan arus seketika:</w:t>
      </w:r>
    </w:p>
    <w:p>
      <w:pPr>
        <w:spacing w:before="160" w:after="160"/>
        <w:jc w:val="center"/>
        <w:pBdr>
          <w:left w:val="single" w:sz="24" w:space="12" w:color="AF6EFF"/>
        </w:pBdr>
        <w:shd w:fill="F8F9FC"/>
      </w:pPr>
      <m:oMath xmlns:mml="http://www.w3.org/1998/Math/MathML">
        <m:sSub>
          <m:e>
            <m:r>
              <m:t>P</m:t>
            </m:r>
          </m:e>
          <m:sub>
            <m:r>
              <m:rPr>
                <m:nor/>
              </m:rPr>
              <m:t>IT</m:t>
            </m:r>
          </m:sub>
        </m:sSub>
        <m:r>
          <m:t>(t)=</m:t>
        </m:r>
        <m:sSub>
          <m:e>
            <m:r>
              <m:t>V</m:t>
            </m:r>
          </m:e>
          <m:sub>
            <m:r>
              <m:rPr>
                <m:nor/>
              </m:rPr>
              <m:t>rms</m:t>
            </m:r>
          </m:sub>
        </m:sSub>
        <m:r>
          <m:t>(t)×</m:t>
        </m:r>
        <m:sSub>
          <m:e>
            <m:r>
              <m:t>I</m:t>
            </m:r>
          </m:e>
          <m:sub>
            <m:r>
              <m:rPr>
                <m:nor/>
              </m:rPr>
              <m:t>rms</m:t>
            </m:r>
          </m:sub>
        </m:sSub>
        <m:r>
          <m:t>(t)×</m:t>
        </m:r>
        <m:r>
          <m:rPr>
            <m:sty m:val="p"/>
          </m:rPr>
          <m:t>cos</m:t>
        </m:r>
        <m:r>
          <m:t>(ϕ)×</m:t>
        </m:r>
        <m:f>
          <m:fPr>
            <m:type m:val="bar"/>
          </m:fPr>
          <m:num>
            <m:r>
              <m:t>1</m:t>
            </m:r>
          </m:num>
          <m:den>
            <m:r>
              <m:t>1000</m:t>
            </m:r>
          </m:den>
        </m:f>
      </m:oMath>
      <w:r>
        <w:rPr>
          <w:rFonts w:ascii="Calibri" w:hAnsi="Calibri"/>
          <w:color w:val="6B7280"/>
          <w:sz w:val="19"/>
        </w:rPr>
        <w:t xml:space="preserve">    (3)</w:t>
      </w:r>
    </w:p>
    <w:p>
      <w:pPr>
        <w:spacing w:after="80" w:line="276" w:lineRule="auto"/>
      </w:pPr>
      <w:r>
        <w:t>#### Tabel Notasi &amp; Definisi Variabel Persamaan (1)</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$P_{\text{IT}}$</w:t>
            </w:r>
          </w:p>
        </w:tc>
        <w:tc>
          <w:tcPr>
            <w:tcW w:type="dxa" w:w="2484"/>
            <w:vAlign w:val="center"/>
            <w:shd w:fill="FAFAFA"/>
          </w:tcPr>
          <w:p>
            <w:r>
              <w:t>Daya listrik aktif total rak server</w:t>
            </w:r>
          </w:p>
        </w:tc>
        <w:tc>
          <w:tcPr>
            <w:tcW w:type="dxa" w:w="2484"/>
            <w:vAlign w:val="center"/>
            <w:shd w:fill="FAFAFA"/>
          </w:tcPr>
          <w:p>
            <w:r>
              <w:t>Kilowatt ($\text{kW}$)</w:t>
            </w:r>
          </w:p>
        </w:tc>
        <w:tc>
          <w:tcPr>
            <w:tcW w:type="dxa" w:w="2484"/>
            <w:vAlign w:val="center"/>
            <w:shd w:fill="FAFAFA"/>
          </w:tcPr>
          <w:p>
            <w:r>
              <w:t>$6.5\text{ kW}$ (Idle) – $24.8\text{ kW}$ (Peak)</w:t>
            </w:r>
          </w:p>
        </w:tc>
      </w:tr>
      <w:tr>
        <w:tc>
          <w:tcPr>
            <w:tcW w:type="dxa" w:w="2484"/>
            <w:vAlign w:val="center"/>
          </w:tcPr>
          <w:p>
            <w:r>
              <w:t>$V_{\text{rms}}$</w:t>
            </w:r>
          </w:p>
        </w:tc>
        <w:tc>
          <w:tcPr>
            <w:tcW w:type="dxa" w:w="2484"/>
            <w:vAlign w:val="center"/>
          </w:tcPr>
          <w:p>
            <w:r>
              <w:t>Tegangan efektif listrik bolak-balik</w:t>
            </w:r>
          </w:p>
        </w:tc>
        <w:tc>
          <w:tcPr>
            <w:tcW w:type="dxa" w:w="2484"/>
            <w:vAlign w:val="center"/>
          </w:tcPr>
          <w:p>
            <w:r>
              <w:t>Volt ($\text{V}$)</w:t>
            </w:r>
          </w:p>
        </w:tc>
        <w:tc>
          <w:tcPr>
            <w:tcW w:type="dxa" w:w="2484"/>
            <w:vAlign w:val="center"/>
          </w:tcPr>
          <w:p>
            <w:r>
              <w:t>$230\text{ V}$ fasa-netral / $400\text{ V}$ 3-fasa</w:t>
            </w:r>
          </w:p>
        </w:tc>
      </w:tr>
      <w:tr>
        <w:tc>
          <w:tcPr>
            <w:tcW w:type="dxa" w:w="2484"/>
            <w:vAlign w:val="center"/>
            <w:shd w:fill="FAFAFA"/>
          </w:tcPr>
          <w:p>
            <w:r>
              <w:t>$I_{\text{rms}}$</w:t>
            </w:r>
          </w:p>
        </w:tc>
        <w:tc>
          <w:tcPr>
            <w:tcW w:type="dxa" w:w="2484"/>
            <w:vAlign w:val="center"/>
            <w:shd w:fill="FAFAFA"/>
          </w:tcPr>
          <w:p>
            <w:r>
              <w:t>Arus listrik efektif total pada sirkuit rak</w:t>
            </w:r>
          </w:p>
        </w:tc>
        <w:tc>
          <w:tcPr>
            <w:tcW w:type="dxa" w:w="2484"/>
            <w:vAlign w:val="center"/>
            <w:shd w:fill="FAFAFA"/>
          </w:tcPr>
          <w:p>
            <w:r>
              <w:t>Ampere ($\text{A}$)</w:t>
            </w:r>
          </w:p>
        </w:tc>
        <w:tc>
          <w:tcPr>
            <w:tcW w:type="dxa" w:w="2484"/>
            <w:vAlign w:val="center"/>
            <w:shd w:fill="FAFAFA"/>
          </w:tcPr>
          <w:p>
            <w:r>
              <w:t>$28.2\text{ A}$ – $107.8\text{ A}$</w:t>
            </w:r>
          </w:p>
        </w:tc>
      </w:tr>
      <w:tr>
        <w:tc>
          <w:tcPr>
            <w:tcW w:type="dxa" w:w="2484"/>
            <w:vAlign w:val="center"/>
          </w:tcPr>
          <w:p>
            <w:r>
              <w:t>$\cos(\phi)$</w:t>
            </w:r>
          </w:p>
        </w:tc>
        <w:tc>
          <w:tcPr>
            <w:tcW w:type="dxa" w:w="2484"/>
            <w:vAlign w:val="center"/>
          </w:tcPr>
          <w:p>
            <w:r>
              <w:t>Faktor daya listrik (*Power Factor*) beban IT</w:t>
            </w:r>
          </w:p>
        </w:tc>
        <w:tc>
          <w:tcPr>
            <w:tcW w:type="dxa" w:w="2484"/>
            <w:vAlign w:val="center"/>
          </w:tcPr>
          <w:p>
            <w:r>
              <w:t>Tanpa satuan</w:t>
            </w:r>
          </w:p>
        </w:tc>
        <w:tc>
          <w:tcPr>
            <w:tcW w:type="dxa" w:w="2484"/>
            <w:vAlign w:val="center"/>
          </w:tcPr>
          <w:p>
            <w:r>
              <w:t>$0.98$ – $0.99$ (Beban Server Modern APFC)</w:t>
            </w:r>
          </w:p>
        </w:tc>
      </w:tr>
    </w:tbl>
    <w:p/>
    <w:p>
      <w:pPr>
        <w:pStyle w:val="Heading3"/>
        <w:spacing w:before="160" w:after="40"/>
      </w:pPr>
      <w:r>
        <w:rPr>
          <w:rFonts w:ascii="Segoe UI" w:hAnsi="Segoe UI"/>
          <w:b/>
          <w:color w:val="7828A0"/>
        </w:rPr>
        <w:t>4.2. Persamaan (2): Persamaan Diferensial Inersia Termal Sasis Server</w:t>
      </w:r>
    </w:p>
    <w:p>
      <w:pPr>
        <w:spacing w:after="80" w:line="276" w:lineRule="auto"/>
      </w:pPr>
      <w:r>
        <w:t>Berdasarkan Hukum Konservasi Energi Termal, daya listrik yang dikonsumsi komponen komputasi silikon (</w:t>
      </w:r>
      <m:oMath xmlns:mml="http://www.w3.org/1998/Math/MathML">
        <m:sSub>
          <m:e>
            <m:r>
              <m:t>P</m:t>
            </m:r>
          </m:e>
          <m:sub>
            <m:r>
              <m:rPr>
                <m:nor/>
              </m:rPr>
              <m:t>IT</m:t>
            </m:r>
          </m:sub>
        </m:sSub>
      </m:oMath>
      <w:r>
        <w:t>) tidak serta merta langsung memanaskan udara lorong. Kalor tersebut diserap terlebih dahulu oleh kapasitas panas massa tembaga pada *heatpipe*, *vapor chamber*, sirip aluminium heatsink, dan sasis logam:</w:t>
      </w:r>
    </w:p>
    <w:p>
      <w:pPr>
        <w:spacing w:before="160" w:after="160"/>
        <w:jc w:val="center"/>
        <w:pBdr>
          <w:left w:val="single" w:sz="24" w:space="12" w:color="AF6EFF"/>
        </w:pBdr>
        <w:shd w:fill="F8F9FC"/>
      </w:pPr>
      <m:oMath xmlns:mml="http://www.w3.org/1998/Math/MathML">
        <m:f>
          <m:fPr>
            <m:type m:val="bar"/>
          </m:fPr>
          <m:num>
            <m:r>
              <m:t>d</m:t>
            </m:r>
            <m:sSub>
              <m:e>
                <m:r>
                  <m:t>Q</m:t>
                </m:r>
              </m:e>
              <m:sub>
                <m:r>
                  <m:rPr>
                    <m:nor/>
                  </m:rPr>
                  <m:t>eff</m:t>
                </m:r>
              </m:sub>
            </m:sSub>
            <m:r>
              <m:t>(t)</m:t>
            </m:r>
          </m:num>
          <m:den>
            <m:r>
              <m:t>dt</m:t>
            </m:r>
          </m:den>
        </m:f>
        <m:r>
          <m:t>=</m:t>
        </m:r>
        <m:f>
          <m:fPr>
            <m:type m:val="bar"/>
          </m:fPr>
          <m:num>
            <m:sSub>
              <m:e>
                <m:r>
                  <m:t>P</m:t>
                </m:r>
              </m:e>
              <m:sub>
                <m:r>
                  <m:rPr>
                    <m:nor/>
                  </m:rPr>
                  <m:t>IT</m:t>
                </m:r>
              </m:sub>
            </m:sSub>
            <m:r>
              <m:t>(t)−</m:t>
            </m:r>
            <m:sSub>
              <m:e>
                <m:r>
                  <m:t>Q</m:t>
                </m:r>
              </m:e>
              <m:sub>
                <m:r>
                  <m:rPr>
                    <m:nor/>
                  </m:rPr>
                  <m:t>eff</m:t>
                </m:r>
              </m:sub>
            </m:sSub>
            <m:r>
              <m:t>(t)</m:t>
            </m:r>
          </m:num>
          <m:den>
            <m:sSub>
              <m:e>
                <m:r>
                  <m:t>τ</m:t>
                </m:r>
              </m:e>
              <m:sub>
                <m:r>
                  <m:rPr>
                    <m:nor/>
                  </m:rPr>
                  <m:t>thermal</m:t>
                </m:r>
              </m:sub>
            </m:sSub>
          </m:den>
        </m:f>
      </m:oMath>
      <w:r>
        <w:rPr>
          <w:rFonts w:ascii="Calibri" w:hAnsi="Calibri"/>
          <w:color w:val="6B7280"/>
          <w:sz w:val="19"/>
        </w:rPr>
        <w:t xml:space="preserve">    (4)</w:t>
      </w:r>
    </w:p>
    <w:p>
      <w:pPr>
        <w:spacing w:after="80" w:line="276" w:lineRule="auto"/>
      </w:pPr>
      <w:r>
        <w:t xml:space="preserve">Bentuk solusi analitis persamaan diferensial di atas untuk lonjakan daya bertingkat (*step input surge*) dari </w:t>
      </w:r>
      <m:oMath xmlns:mml="http://www.w3.org/1998/Math/MathML">
        <m:sSub>
          <m:e>
            <m:r>
              <m:t>P</m:t>
            </m:r>
          </m:e>
          <m:sub>
            <m:r>
              <m:t>0</m:t>
            </m:r>
          </m:sub>
        </m:sSub>
      </m:oMath>
      <w:r>
        <w:t xml:space="preserve"> ke </w:t>
      </w:r>
      <m:oMath xmlns:mml="http://www.w3.org/1998/Math/MathML">
        <m:sSub>
          <m:e>
            <m:r>
              <m:t>P</m:t>
            </m:r>
          </m:e>
          <m:sub>
            <m:r>
              <m:t>1</m:t>
            </m:r>
          </m:sub>
        </m:sSub>
      </m:oMath>
      <w:r>
        <w:t xml:space="preserve"> pada </w:t>
      </w:r>
      <m:oMath xmlns:mml="http://www.w3.org/1998/Math/MathML">
        <m:r>
          <m:t>t=0</m:t>
        </m:r>
      </m:oMath>
      <w:r>
        <w:t xml:space="preserve"> adalah:</w:t>
      </w:r>
    </w:p>
    <w:p>
      <w:pPr>
        <w:spacing w:before="160" w:after="160"/>
        <w:jc w:val="center"/>
        <w:pBdr>
          <w:left w:val="single" w:sz="24" w:space="12" w:color="AF6EFF"/>
        </w:pBdr>
        <w:shd w:fill="F8F9FC"/>
      </w:pPr>
      <m:oMath xmlns:mml="http://www.w3.org/1998/Math/MathML">
        <m:sSub>
          <m:e>
            <m:r>
              <m:t>Q</m:t>
            </m:r>
          </m:e>
          <m:sub>
            <m:r>
              <m:rPr>
                <m:nor/>
              </m:rPr>
              <m:t>eff</m:t>
            </m:r>
          </m:sub>
        </m:sSub>
        <m:r>
          <m:t>(t)=</m:t>
        </m:r>
        <m:sSub>
          <m:e>
            <m:r>
              <m:t>P</m:t>
            </m:r>
          </m:e>
          <m:sub>
            <m:r>
              <m:t>0</m:t>
            </m:r>
          </m:sub>
        </m:sSub>
        <m:r>
          <m:t>+(</m:t>
        </m:r>
        <m:sSub>
          <m:e>
            <m:r>
              <m:t>P</m:t>
            </m:r>
          </m:e>
          <m:sub>
            <m:r>
              <m:t>1</m:t>
            </m:r>
          </m:sub>
        </m:sSub>
        <m:r>
          <m:t>−</m:t>
        </m:r>
        <m:sSub>
          <m:e>
            <m:r>
              <m:t>P</m:t>
            </m:r>
          </m:e>
          <m:sub>
            <m:r>
              <m:t>0</m:t>
            </m:r>
          </m:sub>
        </m:sSub>
        <m:r>
          <m:t>)·</m:t>
        </m:r>
        <m:r>
          <m:t>(1−</m:t>
        </m:r>
        <m:sSup>
          <m:e>
            <m:r>
              <m:t>e</m:t>
            </m:r>
          </m:e>
          <m:sup>
            <m:r>
              <m:t>−</m:t>
            </m:r>
            <m:f>
              <m:fPr>
                <m:type m:val="bar"/>
              </m:fPr>
              <m:num>
                <m:r>
                  <m:t>t</m:t>
                </m:r>
              </m:num>
              <m:den>
                <m:sSub>
                  <m:e>
                    <m:r>
                      <m:t>τ</m:t>
                    </m:r>
                  </m:e>
                  <m:sub>
                    <m:r>
                      <m:rPr>
                        <m:nor/>
                      </m:rPr>
                      <m:t>thermal</m:t>
                    </m:r>
                  </m:sub>
                </m:sSub>
              </m:den>
            </m:f>
          </m:sup>
        </m:sSup>
        <m:r>
          <m:t>)</m:t>
        </m:r>
      </m:oMath>
      <w:r>
        <w:rPr>
          <w:rFonts w:ascii="Calibri" w:hAnsi="Calibri"/>
          <w:color w:val="6B7280"/>
          <w:sz w:val="19"/>
        </w:rPr>
        <w:t xml:space="preserve">    (5)</w:t>
      </w:r>
    </w:p>
    <w:p>
      <w:pPr>
        <w:spacing w:after="80" w:line="276" w:lineRule="auto"/>
      </w:pPr>
      <w:r>
        <w:t>#### Tabel Notasi &amp; Definisi Variabel Persamaan (2)</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$Q_{\text{eff}}$</w:t>
            </w:r>
          </w:p>
        </w:tc>
        <w:tc>
          <w:tcPr>
            <w:tcW w:type="dxa" w:w="2484"/>
            <w:vAlign w:val="center"/>
            <w:shd w:fill="FAFAFA"/>
          </w:tcPr>
          <w:p>
            <w:r>
              <w:t>Laju pelepasan kalor efektif ke udara lorong</w:t>
            </w:r>
          </w:p>
        </w:tc>
        <w:tc>
          <w:tcPr>
            <w:tcW w:type="dxa" w:w="2484"/>
            <w:vAlign w:val="center"/>
            <w:shd w:fill="FAFAFA"/>
          </w:tcPr>
          <w:p>
            <w:r>
              <w:t>Kilowatt ($\text{kW}$)</w:t>
            </w:r>
          </w:p>
        </w:tc>
        <w:tc>
          <w:tcPr>
            <w:tcW w:type="dxa" w:w="2484"/>
            <w:vAlign w:val="center"/>
            <w:shd w:fill="FAFAFA"/>
          </w:tcPr>
          <w:p>
            <w:r>
              <w:t>Dinamis ($6.5$ – $24.8\text{ kW}$)</w:t>
            </w:r>
          </w:p>
        </w:tc>
      </w:tr>
      <w:tr>
        <w:tc>
          <w:tcPr>
            <w:tcW w:type="dxa" w:w="2484"/>
            <w:vAlign w:val="center"/>
          </w:tcPr>
          <w:p>
            <w:r>
              <w:t>$P_{\text{IT}}$</w:t>
            </w:r>
          </w:p>
        </w:tc>
        <w:tc>
          <w:tcPr>
            <w:tcW w:type="dxa" w:w="2484"/>
            <w:vAlign w:val="center"/>
          </w:tcPr>
          <w:p>
            <w:r>
              <w:t>Daya listrik yang dikonsumsi GPU pada saat $t$</w:t>
            </w:r>
          </w:p>
        </w:tc>
        <w:tc>
          <w:tcPr>
            <w:tcW w:type="dxa" w:w="2484"/>
            <w:vAlign w:val="center"/>
          </w:tcPr>
          <w:p>
            <w:r>
              <w:t>Kilowatt ($\text{kW}$)</w:t>
            </w:r>
          </w:p>
        </w:tc>
        <w:tc>
          <w:tcPr>
            <w:tcW w:type="dxa" w:w="2484"/>
            <w:vAlign w:val="center"/>
          </w:tcPr>
          <w:p>
            <w:r>
              <w:t>$24.8\text{ kW}$ (Saat beban AI 95%)</w:t>
            </w:r>
          </w:p>
        </w:tc>
      </w:tr>
      <w:tr>
        <w:tc>
          <w:tcPr>
            <w:tcW w:type="dxa" w:w="2484"/>
            <w:vAlign w:val="center"/>
            <w:shd w:fill="FAFAFA"/>
          </w:tcPr>
          <w:p>
            <w:r>
              <w:t>$\tau_{\text{thermal}}$</w:t>
            </w:r>
          </w:p>
        </w:tc>
        <w:tc>
          <w:tcPr>
            <w:tcW w:type="dxa" w:w="2484"/>
            <w:vAlign w:val="center"/>
            <w:shd w:fill="FAFAFA"/>
          </w:tcPr>
          <w:p>
            <w:r>
              <w:t>Konstanta waktu inersia termal sasis server</w:t>
            </w:r>
          </w:p>
        </w:tc>
        <w:tc>
          <w:tcPr>
            <w:tcW w:type="dxa" w:w="2484"/>
            <w:vAlign w:val="center"/>
            <w:shd w:fill="FAFAFA"/>
          </w:tcPr>
          <w:p>
            <w:r>
              <w:t>Detik ($\text{s}$)</w:t>
            </w:r>
          </w:p>
        </w:tc>
        <w:tc>
          <w:tcPr>
            <w:tcW w:type="dxa" w:w="2484"/>
            <w:vAlign w:val="center"/>
            <w:shd w:fill="FAFAFA"/>
          </w:tcPr>
          <w:p>
            <w:r>
              <w:t>$120.0\text{ detik}$ (Empiris Kluster GPU 8U)</w:t>
            </w:r>
          </w:p>
        </w:tc>
      </w:tr>
      <w:tr>
        <w:tc>
          <w:tcPr>
            <w:tcW w:type="dxa" w:w="2484"/>
            <w:vAlign w:val="center"/>
          </w:tcPr>
          <w:p>
            <w:r>
              <w:t>$t$</w:t>
            </w:r>
          </w:p>
        </w:tc>
        <w:tc>
          <w:tcPr>
            <w:tcW w:type="dxa" w:w="2484"/>
            <w:vAlign w:val="center"/>
          </w:tcPr>
          <w:p>
            <w:r>
              <w:t>Waktu operasional berjalan</w:t>
            </w:r>
          </w:p>
        </w:tc>
        <w:tc>
          <w:tcPr>
            <w:tcW w:type="dxa" w:w="2484"/>
            <w:vAlign w:val="center"/>
          </w:tcPr>
          <w:p>
            <w:r>
              <w:t>Detik ($\text{s}$)</w:t>
            </w:r>
          </w:p>
        </w:tc>
        <w:tc>
          <w:tcPr>
            <w:tcW w:type="dxa" w:w="2484"/>
            <w:vAlign w:val="center"/>
          </w:tcPr>
          <w:p>
            <w:r>
              <w:t>Rentang waktu observasi</w:t>
            </w:r>
          </w:p>
        </w:tc>
      </w:tr>
    </w:tbl>
    <w:p/>
    <w:p>
      <w:pPr>
        <w:pStyle w:val="Heading3"/>
        <w:spacing w:before="160" w:after="40"/>
      </w:pPr>
      <w:r>
        <w:rPr>
          <w:rFonts w:ascii="Segoe UI" w:hAnsi="Segoe UI"/>
          <w:b/>
          <w:color w:val="7828A0"/>
        </w:rPr>
        <w:t>4.3. Persamaan (3): Perhitungan Jeda Waktu Kritis (Thermal Headroom Window)</w:t>
      </w:r>
    </w:p>
    <w:p>
      <w:pPr>
        <w:spacing w:after="80" w:line="276" w:lineRule="auto"/>
      </w:pPr>
      <w:r>
        <w:t>AI menghitung sisa waktu aman sebelum kalor menyentuh udara lorong dingin untuk mengaktifkan pra-pendinginan:</w:t>
      </w:r>
    </w:p>
    <w:p>
      <w:pPr>
        <w:spacing w:before="160" w:after="160"/>
        <w:jc w:val="center"/>
        <w:pBdr>
          <w:left w:val="single" w:sz="24" w:space="12" w:color="AF6EFF"/>
        </w:pBdr>
        <w:shd w:fill="F8F9FC"/>
      </w:pPr>
      <m:oMath xmlns:mml="http://www.w3.org/1998/Math/MathML">
        <m:r>
          <m:rPr>
            <m:nor/>
          </m:rPr>
          <m:t>Headroom</m:t>
        </m:r>
        <m:r>
          <m:t>(t)=max</m:t>
        </m:r>
        <m:r>
          <m:t>(0,</m:t>
        </m:r>
        <m:sSub>
          <m:e>
            <m:r>
              <m:t>τ</m:t>
            </m:r>
          </m:e>
          <m:sub>
            <m:r>
              <m:rPr>
                <m:nor/>
              </m:rPr>
              <m:t>base</m:t>
            </m:r>
          </m:sub>
        </m:sSub>
        <m:r>
          <m:t>−Δ</m:t>
        </m:r>
        <m:sSub>
          <m:e>
            <m:r>
              <m:t>t</m:t>
            </m:r>
          </m:e>
          <m:sub>
            <m:r>
              <m:rPr>
                <m:nor/>
              </m:rPr>
              <m:t>surge</m:t>
            </m:r>
          </m:sub>
        </m:sSub>
        <m:r>
          <m:t>)</m:t>
        </m:r>
      </m:oMath>
      <w:r>
        <w:rPr>
          <w:rFonts w:ascii="Calibri" w:hAnsi="Calibri"/>
          <w:color w:val="6B7280"/>
          <w:sz w:val="19"/>
        </w:rPr>
        <w:t xml:space="preserve">    (6)</w:t>
      </w:r>
    </w:p>
    <w:p>
      <w:pPr>
        <w:spacing w:after="80" w:line="276" w:lineRule="auto"/>
      </w:pPr>
      <w:r>
        <w:t>#### Tabel Notasi &amp; Definisi Variabel Persamaan (3)</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$\text{Headroom}$</w:t>
            </w:r>
          </w:p>
        </w:tc>
        <w:tc>
          <w:tcPr>
            <w:tcW w:type="dxa" w:w="2484"/>
            <w:vAlign w:val="center"/>
            <w:shd w:fill="FAFAFA"/>
          </w:tcPr>
          <w:p>
            <w:r>
              <w:t>Jendela waktu inersia tersisa untuk aktuasi VAV</w:t>
            </w:r>
          </w:p>
        </w:tc>
        <w:tc>
          <w:tcPr>
            <w:tcW w:type="dxa" w:w="2484"/>
            <w:vAlign w:val="center"/>
            <w:shd w:fill="FAFAFA"/>
          </w:tcPr>
          <w:p>
            <w:r>
              <w:t>Detik ($\text{s}$)</w:t>
            </w:r>
          </w:p>
        </w:tc>
        <w:tc>
          <w:tcPr>
            <w:tcW w:type="dxa" w:w="2484"/>
            <w:vAlign w:val="center"/>
            <w:shd w:fill="FAFAFA"/>
          </w:tcPr>
          <w:p>
            <w:r>
              <w:t>$0$ hingga $120\text{ detik}$</w:t>
            </w:r>
          </w:p>
        </w:tc>
      </w:tr>
      <w:tr>
        <w:tc>
          <w:tcPr>
            <w:tcW w:type="dxa" w:w="2484"/>
            <w:vAlign w:val="center"/>
          </w:tcPr>
          <w:p>
            <w:r>
              <w:t>$\tau_{\text{base}}$</w:t>
            </w:r>
          </w:p>
        </w:tc>
        <w:tc>
          <w:tcPr>
            <w:tcW w:type="dxa" w:w="2484"/>
            <w:vAlign w:val="center"/>
          </w:tcPr>
          <w:p>
            <w:r>
              <w:t>Konstanta waktu inersia termal dasar sasis</w:t>
            </w:r>
          </w:p>
        </w:tc>
        <w:tc>
          <w:tcPr>
            <w:tcW w:type="dxa" w:w="2484"/>
            <w:vAlign w:val="center"/>
          </w:tcPr>
          <w:p>
            <w:r>
              <w:t>Detik ($\text{s}$)</w:t>
            </w:r>
          </w:p>
        </w:tc>
        <w:tc>
          <w:tcPr>
            <w:tcW w:type="dxa" w:w="2484"/>
            <w:vAlign w:val="center"/>
          </w:tcPr>
          <w:p>
            <w:r>
              <w:t>$120.0\text{ detik}$</w:t>
            </w:r>
          </w:p>
        </w:tc>
      </w:tr>
      <w:tr>
        <w:tc>
          <w:tcPr>
            <w:tcW w:type="dxa" w:w="2484"/>
            <w:vAlign w:val="center"/>
            <w:shd w:fill="FAFAFA"/>
          </w:tcPr>
          <w:p>
            <w:r>
              <w:t>$\Delta t_{\text{surge}}$</w:t>
            </w:r>
          </w:p>
        </w:tc>
        <w:tc>
          <w:tcPr>
            <w:tcW w:type="dxa" w:w="2484"/>
            <w:vAlign w:val="center"/>
            <w:shd w:fill="FAFAFA"/>
          </w:tcPr>
          <w:p>
            <w:r>
              <w:t>Durasi waktu sejak lonjakan listrik pertama terdeteksi</w:t>
            </w:r>
          </w:p>
        </w:tc>
        <w:tc>
          <w:tcPr>
            <w:tcW w:type="dxa" w:w="2484"/>
            <w:vAlign w:val="center"/>
            <w:shd w:fill="FAFAFA"/>
          </w:tcPr>
          <w:p>
            <w:r>
              <w:t>Detik ($\text{s}$)</w:t>
            </w:r>
          </w:p>
        </w:tc>
        <w:tc>
          <w:tcPr>
            <w:tcW w:type="dxa" w:w="2484"/>
            <w:vAlign w:val="center"/>
            <w:shd w:fill="FAFAFA"/>
          </w:tcPr>
          <w:p>
            <w:r>
              <w:t>Terhitung oleh timer sistem</w:t>
            </w:r>
          </w:p>
        </w:tc>
      </w:tr>
    </w:tbl>
    <w:p/>
    <w:p>
      <w:pPr>
        <w:pStyle w:val="Heading3"/>
        <w:spacing w:before="160" w:after="40"/>
      </w:pPr>
      <w:r>
        <w:rPr>
          <w:rFonts w:ascii="Segoe UI" w:hAnsi="Segoe UI"/>
          <w:b/>
          <w:color w:val="7828A0"/>
        </w:rPr>
        <w:t>4.4. Persamaan (4): Estimasi Gradien Kenaikan Daya Listrik ($dP/dt$)</w:t>
      </w:r>
    </w:p>
    <w:p>
      <w:pPr>
        <w:spacing w:after="80" w:line="276" w:lineRule="auto"/>
      </w:pPr>
      <w:r>
        <w:t>Tingkat kecuraman perubahan beban listrik dievaluasi secara kontinu untuk membedakan fluktuasi normal dengan lonjakan komputasi berat:</w:t>
      </w:r>
    </w:p>
    <w:p>
      <w:pPr>
        <w:spacing w:before="160" w:after="160"/>
        <w:jc w:val="center"/>
        <w:pBdr>
          <w:left w:val="single" w:sz="24" w:space="12" w:color="AF6EFF"/>
        </w:pBdr>
        <w:shd w:fill="F8F9FC"/>
      </w:pPr>
      <m:oMath xmlns:mml="http://www.w3.org/1998/Math/MathML">
        <m:f>
          <m:fPr>
            <m:type m:val="bar"/>
          </m:fPr>
          <m:num>
            <m:r>
              <m:t>d</m:t>
            </m:r>
            <m:sSub>
              <m:e>
                <m:r>
                  <m:t>P</m:t>
                </m:r>
              </m:e>
              <m:sub>
                <m:r>
                  <m:rPr>
                    <m:nor/>
                  </m:rPr>
                  <m:t>IT</m:t>
                </m:r>
              </m:sub>
            </m:sSub>
          </m:num>
          <m:den>
            <m:r>
              <m:t>dt</m:t>
            </m:r>
          </m:den>
        </m:f>
        <m:r>
          <m:t>≈</m:t>
        </m:r>
        <m:f>
          <m:fPr>
            <m:type m:val="bar"/>
          </m:fPr>
          <m:num>
            <m:sSub>
              <m:e>
                <m:r>
                  <m:t>P</m:t>
                </m:r>
              </m:e>
              <m:sub>
                <m:r>
                  <m:rPr>
                    <m:nor/>
                  </m:rPr>
                  <m:t>IT</m:t>
                </m:r>
              </m:sub>
            </m:sSub>
            <m:r>
              <m:t>(t)−</m:t>
            </m:r>
            <m:sSub>
              <m:e>
                <m:r>
                  <m:t>P</m:t>
                </m:r>
              </m:e>
              <m:sub>
                <m:r>
                  <m:rPr>
                    <m:nor/>
                  </m:rPr>
                  <m:t>IT</m:t>
                </m:r>
              </m:sub>
            </m:sSub>
            <m:r>
              <m:t>(t−Δt)</m:t>
            </m:r>
          </m:num>
          <m:den>
            <m:r>
              <m:t>Δt</m:t>
            </m:r>
          </m:den>
        </m:f>
      </m:oMath>
      <w:r>
        <w:rPr>
          <w:rFonts w:ascii="Calibri" w:hAnsi="Calibri"/>
          <w:color w:val="6B7280"/>
          <w:sz w:val="19"/>
        </w:rPr>
        <w:t xml:space="preserve">    (7)</w:t>
      </w:r>
    </w:p>
    <w:p>
      <w:pPr>
        <w:spacing w:after="80" w:line="276" w:lineRule="auto"/>
      </w:pPr>
      <w:r>
        <w:t>#### Tabel Notasi &amp; Definisi Variabel Persamaan (4)</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$\frac{dP_{\text{IT}}}{dt}$</w:t>
            </w:r>
          </w:p>
        </w:tc>
        <w:tc>
          <w:tcPr>
            <w:tcW w:type="dxa" w:w="2484"/>
            <w:vAlign w:val="center"/>
            <w:shd w:fill="FAFAFA"/>
          </w:tcPr>
          <w:p>
            <w:r>
              <w:t>Laju perubahan daya listrik per satuan waktu</w:t>
            </w:r>
          </w:p>
        </w:tc>
        <w:tc>
          <w:tcPr>
            <w:tcW w:type="dxa" w:w="2484"/>
            <w:vAlign w:val="center"/>
            <w:shd w:fill="FAFAFA"/>
          </w:tcPr>
          <w:p>
            <w:r>
              <w:t>Kilowatt per detik ($\text{kW/s}$)</w:t>
            </w:r>
          </w:p>
        </w:tc>
        <w:tc>
          <w:tcPr>
            <w:tcW w:type="dxa" w:w="2484"/>
            <w:vAlign w:val="center"/>
            <w:shd w:fill="FAFAFA"/>
          </w:tcPr>
          <w:p>
            <w:r>
              <w:t>$0.0\text{ kW/s}$ (Stabil) s/d $3.8\text{ kW/s}$ (Surge)</w:t>
            </w:r>
          </w:p>
        </w:tc>
      </w:tr>
      <w:tr>
        <w:tc>
          <w:tcPr>
            <w:tcW w:type="dxa" w:w="2484"/>
            <w:vAlign w:val="center"/>
          </w:tcPr>
          <w:p>
            <w:r>
              <w:t>$\Delta t$</w:t>
            </w:r>
          </w:p>
        </w:tc>
        <w:tc>
          <w:tcPr>
            <w:tcW w:type="dxa" w:w="2484"/>
            <w:vAlign w:val="center"/>
          </w:tcPr>
          <w:p>
            <w:r>
              <w:t>Interval waktu sampling diskrit data PDU</w:t>
            </w:r>
          </w:p>
        </w:tc>
        <w:tc>
          <w:tcPr>
            <w:tcW w:type="dxa" w:w="2484"/>
            <w:vAlign w:val="center"/>
          </w:tcPr>
          <w:p>
            <w:r>
              <w:t>Detik ($\text{s}$)</w:t>
            </w:r>
          </w:p>
        </w:tc>
        <w:tc>
          <w:tcPr>
            <w:tcW w:type="dxa" w:w="2484"/>
            <w:vAlign w:val="center"/>
          </w:tcPr>
          <w:p>
            <w:r>
              <w:t>$0.1\text{ detik}$ (Internal) / $1.0\text{ s}$ (Logging)</w:t>
            </w:r>
          </w:p>
        </w:tc>
      </w:tr>
    </w:tbl>
    <w:p/>
    <w:p>
      <w:pPr>
        <w:pStyle w:val="Heading3"/>
        <w:spacing w:before="160" w:after="40"/>
      </w:pPr>
      <w:r>
        <w:rPr>
          <w:rFonts w:ascii="Segoe UI" w:hAnsi="Segoe UI"/>
          <w:b/>
          <w:color w:val="7828A0"/>
        </w:rPr>
        <w:t>4.5. Persamaan (5): Proyeksi Beban Daya Horizon 5–15 Menit ke Depan</w:t>
      </w:r>
    </w:p>
    <w:p>
      <w:pPr>
        <w:spacing w:after="80" w:line="276" w:lineRule="auto"/>
      </w:pPr>
      <w:r>
        <w:t>Menggunakan metode ekstrapolasi gradien berbobot saturasi, AI memproyeksikan lintasan daya pada horizon waktu ke depan (</w:t>
      </w:r>
      <m:oMath xmlns:mml="http://www.w3.org/1998/Math/MathML">
        <m:r>
          <m:t>H</m:t>
        </m:r>
      </m:oMath>
      <w:r>
        <w:t>):</w:t>
      </w:r>
    </w:p>
    <w:p>
      <w:pPr>
        <w:spacing w:before="160" w:after="160"/>
        <w:jc w:val="center"/>
        <w:pBdr>
          <w:left w:val="single" w:sz="24" w:space="12" w:color="AF6EFF"/>
        </w:pBdr>
        <w:shd w:fill="F8F9FC"/>
      </w:pPr>
      <m:oMath xmlns:mml="http://www.w3.org/1998/Math/MathML">
        <m:sSub>
          <m:e>
            <m:acc>
              <m:accPr>
                <m:chr m:val="̂"/>
              </m:accPr>
              <m:e>
                <m:r>
                  <m:t>P</m:t>
                </m:r>
              </m:e>
            </m:acc>
          </m:e>
          <m:sub>
            <m:r>
              <m:rPr>
                <m:nor/>
              </m:rPr>
              <m:t>forecast</m:t>
            </m:r>
          </m:sub>
        </m:sSub>
        <m:r>
          <m:t>(t+H)=min</m:t>
        </m:r>
        <m:r>
          <m:t>(</m:t>
        </m:r>
        <m:sSub>
          <m:e>
            <m:r>
              <m:t>P</m:t>
            </m:r>
          </m:e>
          <m:sub>
            <m:r>
              <m:rPr>
                <m:nor/>
              </m:rPr>
              <m:t>max</m:t>
            </m:r>
          </m:sub>
        </m:sSub>
        <m:r>
          <m:t>,</m:t>
        </m:r>
        <m:sSub>
          <m:e>
            <m:r>
              <m:t>P</m:t>
            </m:r>
          </m:e>
          <m:sub>
            <m:r>
              <m:rPr>
                <m:nor/>
              </m:rPr>
              <m:t>IT</m:t>
            </m:r>
          </m:sub>
        </m:sSub>
        <m:r>
          <m:t>(t)+κ·</m:t>
        </m:r>
        <m:r>
          <m:t>[</m:t>
        </m:r>
        <m:f>
          <m:fPr>
            <m:type m:val="bar"/>
          </m:fPr>
          <m:num>
            <m:r>
              <m:t>d</m:t>
            </m:r>
            <m:sSub>
              <m:e>
                <m:r>
                  <m:t>P</m:t>
                </m:r>
              </m:e>
              <m:sub>
                <m:r>
                  <m:rPr>
                    <m:nor/>
                  </m:rPr>
                  <m:t>IT</m:t>
                </m:r>
              </m:sub>
            </m:sSub>
          </m:num>
          <m:den>
            <m:r>
              <m:t>dt</m:t>
            </m:r>
          </m:den>
        </m:f>
        <m:r>
          <m:t>]</m:t>
        </m:r>
        <m:r>
          <m:t>·H)</m:t>
        </m:r>
      </m:oMath>
      <w:r>
        <w:rPr>
          <w:rFonts w:ascii="Calibri" w:hAnsi="Calibri"/>
          <w:color w:val="6B7280"/>
          <w:sz w:val="19"/>
        </w:rPr>
        <w:t xml:space="preserve">    (8)</w:t>
      </w:r>
    </w:p>
    <w:p>
      <w:pPr>
        <w:spacing w:after="80" w:line="276" w:lineRule="auto"/>
      </w:pPr>
      <w:r>
        <w:t>#### Tabel Notasi &amp; Definisi Variabel Persamaan (5)</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$\hat{P}_{\text{forecast}}$</w:t>
            </w:r>
          </w:p>
        </w:tc>
        <w:tc>
          <w:tcPr>
            <w:tcW w:type="dxa" w:w="2484"/>
            <w:vAlign w:val="center"/>
            <w:shd w:fill="FAFAFA"/>
          </w:tcPr>
          <w:p>
            <w:r>
              <w:t>Nilai proyeksi daya listrik pada horizon masa depan</w:t>
            </w:r>
          </w:p>
        </w:tc>
        <w:tc>
          <w:tcPr>
            <w:tcW w:type="dxa" w:w="2484"/>
            <w:vAlign w:val="center"/>
            <w:shd w:fill="FAFAFA"/>
          </w:tcPr>
          <w:p>
            <w:r>
              <w:t>Kilowatt ($\text{kW}$)</w:t>
            </w:r>
          </w:p>
        </w:tc>
        <w:tc>
          <w:tcPr>
            <w:tcW w:type="dxa" w:w="2484"/>
            <w:vAlign w:val="center"/>
            <w:shd w:fill="FAFAFA"/>
          </w:tcPr>
          <w:p>
            <w:r>
              <w:t>Maksimum dibatasi pada $24.8\text{ kW}$</w:t>
            </w:r>
          </w:p>
        </w:tc>
      </w:tr>
      <w:tr>
        <w:tc>
          <w:tcPr>
            <w:tcW w:type="dxa" w:w="2484"/>
            <w:vAlign w:val="center"/>
          </w:tcPr>
          <w:p>
            <w:r>
              <w:t>$P_{\text{max}}$</w:t>
            </w:r>
          </w:p>
        </w:tc>
        <w:tc>
          <w:tcPr>
            <w:tcW w:type="dxa" w:w="2484"/>
            <w:vAlign w:val="center"/>
          </w:tcPr>
          <w:p>
            <w:r>
              <w:t>Kapasitas daya desain nominal maksimum rak kabinet</w:t>
            </w:r>
          </w:p>
        </w:tc>
        <w:tc>
          <w:tcPr>
            <w:tcW w:type="dxa" w:w="2484"/>
            <w:vAlign w:val="center"/>
          </w:tcPr>
          <w:p>
            <w:r>
              <w:t>Kilowatt ($\text{kW}$)</w:t>
            </w:r>
          </w:p>
        </w:tc>
        <w:tc>
          <w:tcPr>
            <w:tcW w:type="dxa" w:w="2484"/>
            <w:vAlign w:val="center"/>
          </w:tcPr>
          <w:p>
            <w:r>
              <w:t>$24.8\text{ kW per rak}$</w:t>
            </w:r>
          </w:p>
        </w:tc>
      </w:tr>
      <w:tr>
        <w:tc>
          <w:tcPr>
            <w:tcW w:type="dxa" w:w="2484"/>
            <w:vAlign w:val="center"/>
            <w:shd w:fill="FAFAFA"/>
          </w:tcPr>
          <w:p>
            <w:r>
              <w:t>$\kappa$</w:t>
            </w:r>
          </w:p>
        </w:tc>
        <w:tc>
          <w:tcPr>
            <w:tcW w:type="dxa" w:w="2484"/>
            <w:vAlign w:val="center"/>
            <w:shd w:fill="FAFAFA"/>
          </w:tcPr>
          <w:p>
            <w:r>
              <w:t>Faktor redaman saturasi non-linier daya</w:t>
            </w:r>
          </w:p>
        </w:tc>
        <w:tc>
          <w:tcPr>
            <w:tcW w:type="dxa" w:w="2484"/>
            <w:vAlign w:val="center"/>
            <w:shd w:fill="FAFAFA"/>
          </w:tcPr>
          <w:p>
            <w:r>
              <w:t>Tanpa satuan</w:t>
            </w:r>
          </w:p>
        </w:tc>
        <w:tc>
          <w:tcPr>
            <w:tcW w:type="dxa" w:w="2484"/>
            <w:vAlign w:val="center"/>
            <w:shd w:fill="FAFAFA"/>
          </w:tcPr>
          <w:p>
            <w:r>
              <w:t>$0.85$</w:t>
            </w:r>
          </w:p>
        </w:tc>
      </w:tr>
      <w:tr>
        <w:tc>
          <w:tcPr>
            <w:tcW w:type="dxa" w:w="2484"/>
            <w:vAlign w:val="center"/>
          </w:tcPr>
          <w:p>
            <w:r>
              <w:t>$H$</w:t>
            </w:r>
          </w:p>
        </w:tc>
        <w:tc>
          <w:tcPr>
            <w:tcW w:type="dxa" w:w="2484"/>
            <w:vAlign w:val="center"/>
          </w:tcPr>
          <w:p>
            <w:r>
              <w:t>Horizon waktu proyeksi masa depan</w:t>
            </w:r>
          </w:p>
        </w:tc>
        <w:tc>
          <w:tcPr>
            <w:tcW w:type="dxa" w:w="2484"/>
            <w:vAlign w:val="center"/>
          </w:tcPr>
          <w:p>
            <w:r>
              <w:t>Detik ($\text{s}$)</w:t>
            </w:r>
          </w:p>
        </w:tc>
        <w:tc>
          <w:tcPr>
            <w:tcW w:type="dxa" w:w="2484"/>
            <w:vAlign w:val="center"/>
          </w:tcPr>
          <w:p>
            <w:r>
              <w:t>$300\text{ s}$ (5 menit) hingga $900\text{ s}$ (15 menit)</w:t>
            </w:r>
          </w:p>
        </w:tc>
      </w:tr>
    </w:tbl>
    <w:p/>
    <w:p>
      <w:pPr>
        <w:pStyle w:val="Heading3"/>
        <w:spacing w:before="160" w:after="40"/>
      </w:pPr>
      <w:r>
        <w:rPr>
          <w:rFonts w:ascii="Segoe UI" w:hAnsi="Segoe UI"/>
          <w:b/>
          <w:color w:val="7828A0"/>
        </w:rPr>
        <w:t>4.6. Persamaan (6): Laju Pelepasan Kalor Konveksi Paksa Udara Sejuk ($Q_{\text{cool}}$)</w:t>
      </w:r>
    </w:p>
    <w:p>
      <w:pPr>
        <w:spacing w:after="80" w:line="276" w:lineRule="auto"/>
      </w:pPr>
      <w:r>
        <w:t>Laju pendinginan kalor sensibel yang diekstraksi dari rak server oleh hembusan udara dingin ubin VAV dihitung melalui formulasi termofluid:</w:t>
      </w:r>
    </w:p>
    <w:p>
      <w:pPr>
        <w:spacing w:before="160" w:after="160"/>
        <w:jc w:val="center"/>
        <w:pBdr>
          <w:left w:val="single" w:sz="24" w:space="12" w:color="AF6EFF"/>
        </w:pBdr>
        <w:shd w:fill="F8F9FC"/>
      </w:pPr>
      <m:oMath xmlns:mml="http://www.w3.org/1998/Math/MathML">
        <m:sSub>
          <m:e>
            <m:limUpp>
              <m:e>
                <m:r>
                  <m:t>Q</m:t>
                </m:r>
              </m:e>
              <m:lim>
                <m:r>
                  <m:t>˙</m:t>
                </m:r>
              </m:lim>
            </m:limUpp>
          </m:e>
          <m:sub>
            <m:r>
              <m:rPr>
                <m:nor/>
              </m:rPr>
              <m:t>cool</m:t>
            </m:r>
          </m:sub>
        </m:sSub>
        <m:r>
          <m:t>(t)=</m:t>
        </m:r>
        <m:sSub>
          <m:e>
            <m:limUpp>
              <m:e>
                <m:r>
                  <m:t>m</m:t>
                </m:r>
              </m:e>
              <m:lim>
                <m:r>
                  <m:t>˙</m:t>
                </m:r>
              </m:lim>
            </m:limUpp>
          </m:e>
          <m:sub>
            <m:r>
              <m:rPr>
                <m:nor/>
              </m:rPr>
              <m:t>air</m:t>
            </m:r>
          </m:sub>
        </m:sSub>
        <m:r>
          <m:t>(t)·</m:t>
        </m:r>
        <m:sSub>
          <m:e>
            <m:r>
              <m:t>c</m:t>
            </m:r>
          </m:e>
          <m:sub>
            <m:r>
              <m:t>p</m:t>
            </m:r>
          </m:sub>
        </m:sSub>
        <m:r>
          <m:t>·</m:t>
        </m:r>
        <m:r>
          <m:t>(</m:t>
        </m:r>
        <m:sSub>
          <m:e>
            <m:r>
              <m:t>T</m:t>
            </m:r>
          </m:e>
          <m:sub>
            <m:r>
              <m:rPr>
                <m:nor/>
              </m:rPr>
              <m:t>rack</m:t>
            </m:r>
          </m:sub>
        </m:sSub>
        <m:r>
          <m:t>(t)−</m:t>
        </m:r>
        <m:sSub>
          <m:e>
            <m:r>
              <m:t>T</m:t>
            </m:r>
          </m:e>
          <m:sub>
            <m:r>
              <m:rPr>
                <m:nor/>
              </m:rPr>
              <m:t>supply</m:t>
            </m:r>
          </m:sub>
        </m:sSub>
        <m:r>
          <m:t>)</m:t>
        </m:r>
      </m:oMath>
      <w:r>
        <w:rPr>
          <w:rFonts w:ascii="Calibri" w:hAnsi="Calibri"/>
          <w:color w:val="6B7280"/>
          <w:sz w:val="19"/>
        </w:rPr>
        <w:t xml:space="preserve">    (9)</w:t>
      </w:r>
    </w:p>
    <w:p>
      <w:pPr>
        <w:spacing w:after="80" w:line="276" w:lineRule="auto"/>
      </w:pPr>
      <w:r>
        <w:t>Dimana laju massa udara (</w:t>
      </w:r>
      <m:oMath xmlns:mml="http://www.w3.org/1998/Math/MathML">
        <m:sSub>
          <m:e>
            <m:limUpp>
              <m:e>
                <m:r>
                  <m:t>m</m:t>
                </m:r>
              </m:e>
              <m:lim>
                <m:r>
                  <m:t>˙</m:t>
                </m:r>
              </m:lim>
            </m:limUpp>
          </m:e>
          <m:sub>
            <m:r>
              <m:rPr>
                <m:nor/>
              </m:rPr>
              <m:t>air</m:t>
            </m:r>
          </m:sub>
        </m:sSub>
      </m:oMath>
      <w:r>
        <w:t>) merupakan fungsi dari bukaan damper ubin lantai (</w:t>
      </w:r>
      <m:oMath xmlns:mml="http://www.w3.org/1998/Math/MathML">
        <m:sSub>
          <m:e>
            <m:r>
              <m:t>ω</m:t>
            </m:r>
          </m:e>
          <m:sub>
            <m:r>
              <m:rPr>
                <m:nor/>
              </m:rPr>
              <m:t>damper</m:t>
            </m:r>
          </m:sub>
        </m:sSub>
      </m:oMath>
      <w:r>
        <w:t>), rasio kecepatan kipas PWM, dan tekanan statis plenum bawah lantai:</w:t>
      </w:r>
    </w:p>
    <w:p>
      <w:pPr>
        <w:spacing w:before="160" w:after="160"/>
        <w:jc w:val="center"/>
        <w:pBdr>
          <w:left w:val="single" w:sz="24" w:space="12" w:color="AF6EFF"/>
        </w:pBdr>
        <w:shd w:fill="F8F9FC"/>
      </w:pPr>
      <m:oMath xmlns:mml="http://www.w3.org/1998/Math/MathML">
        <m:sSub>
          <m:e>
            <m:limUpp>
              <m:e>
                <m:r>
                  <m:t>Q</m:t>
                </m:r>
              </m:e>
              <m:lim>
                <m:r>
                  <m:t>˙</m:t>
                </m:r>
              </m:lim>
            </m:limUpp>
          </m:e>
          <m:sub>
            <m:r>
              <m:rPr>
                <m:nor/>
              </m:rPr>
              <m:t>cool</m:t>
            </m:r>
          </m:sub>
        </m:sSub>
        <m:r>
          <m:t>(t)=</m:t>
        </m:r>
        <m:sSub>
          <m:e>
            <m:r>
              <m:t>k</m:t>
            </m:r>
          </m:e>
          <m:sub>
            <m:r>
              <m:rPr>
                <m:nor/>
              </m:rPr>
              <m:t>conv</m:t>
            </m:r>
          </m:sub>
        </m:sSub>
        <m:r>
          <m:t>·</m:t>
        </m:r>
        <m:sSup>
          <m:e>
            <m:r>
              <m:t>(</m:t>
            </m:r>
            <m:f>
              <m:fPr>
                <m:type m:val="bar"/>
              </m:fPr>
              <m:num>
                <m:sSub>
                  <m:e>
                    <m:r>
                      <m:rPr>
                        <m:nor/>
                      </m:rPr>
                      <m:t>PWM</m:t>
                    </m:r>
                  </m:e>
                  <m:sub>
                    <m:r>
                      <m:rPr>
                        <m:nor/>
                      </m:rPr>
                      <m:t>fan</m:t>
                    </m:r>
                  </m:sub>
                </m:sSub>
                <m:r>
                  <m:t>(t)</m:t>
                </m:r>
              </m:num>
              <m:den>
                <m:r>
                  <m:t>100</m:t>
                </m:r>
              </m:den>
            </m:f>
            <m:r>
              <m:t>)</m:t>
            </m:r>
          </m:e>
          <m:sup>
            <m:r>
              <m:t>1.15</m:t>
            </m:r>
          </m:sup>
        </m:sSup>
        <m:r>
          <m:t>·</m:t>
        </m:r>
        <m:r>
          <m:t>(</m:t>
        </m:r>
        <m:sSub>
          <m:e>
            <m:r>
              <m:t>T</m:t>
            </m:r>
          </m:e>
          <m:sub>
            <m:r>
              <m:rPr>
                <m:nor/>
              </m:rPr>
              <m:t>rack</m:t>
            </m:r>
          </m:sub>
        </m:sSub>
        <m:r>
          <m:t>(t)−</m:t>
        </m:r>
        <m:sSub>
          <m:e>
            <m:r>
              <m:t>T</m:t>
            </m:r>
          </m:e>
          <m:sub>
            <m:r>
              <m:rPr>
                <m:nor/>
              </m:rPr>
              <m:t>supply</m:t>
            </m:r>
          </m:sub>
        </m:sSub>
        <m:r>
          <m:t>)</m:t>
        </m:r>
        <m:r>
          <m:t>·</m:t>
        </m:r>
        <m:r>
          <m:t>[</m:t>
        </m:r>
        <m:sSub>
          <m:e>
            <m:r>
              <m:t>β</m:t>
            </m:r>
          </m:e>
          <m:sub>
            <m:r>
              <m:t>0</m:t>
            </m:r>
          </m:sub>
        </m:sSub>
        <m:r>
          <m:t>+</m:t>
        </m:r>
        <m:sSub>
          <m:e>
            <m:r>
              <m:t>β</m:t>
            </m:r>
          </m:e>
          <m:sub>
            <m:r>
              <m:t>1</m:t>
            </m:r>
          </m:sub>
        </m:sSub>
        <m:r>
          <m:t>·</m:t>
        </m:r>
        <m:r>
          <m:t>(</m:t>
        </m:r>
        <m:f>
          <m:fPr>
            <m:type m:val="bar"/>
          </m:fPr>
          <m:num>
            <m:sSub>
              <m:e>
                <m:r>
                  <m:t>ω</m:t>
                </m:r>
              </m:e>
              <m:sub>
                <m:r>
                  <m:rPr>
                    <m:nor/>
                  </m:rPr>
                  <m:t>damper</m:t>
                </m:r>
              </m:sub>
            </m:sSub>
            <m:r>
              <m:t>(t)</m:t>
            </m:r>
          </m:num>
          <m:den>
            <m:r>
              <m:t>100</m:t>
            </m:r>
          </m:den>
        </m:f>
        <m:r>
          <m:t>)</m:t>
        </m:r>
        <m:r>
          <m:t>·</m:t>
        </m:r>
        <m:r>
          <m:t>(</m:t>
        </m:r>
        <m:f>
          <m:fPr>
            <m:type m:val="bar"/>
          </m:fPr>
          <m:num>
            <m:sSub>
              <m:e>
                <m:r>
                  <m:t>P</m:t>
                </m:r>
              </m:e>
              <m:sub>
                <m:r>
                  <m:rPr>
                    <m:nor/>
                  </m:rPr>
                  <m:t>plenum</m:t>
                </m:r>
              </m:sub>
            </m:sSub>
          </m:num>
          <m:den>
            <m:sSub>
              <m:e>
                <m:r>
                  <m:t>P</m:t>
                </m:r>
              </m:e>
              <m:sub>
                <m:r>
                  <m:rPr>
                    <m:nor/>
                  </m:rPr>
                  <m:t>base</m:t>
                </m:r>
              </m:sub>
            </m:sSub>
          </m:den>
        </m:f>
        <m:r>
          <m:t>)</m:t>
        </m:r>
        <m:r>
          <m:t>]</m:t>
        </m:r>
      </m:oMath>
      <w:r>
        <w:rPr>
          <w:rFonts w:ascii="Calibri" w:hAnsi="Calibri"/>
          <w:color w:val="6B7280"/>
          <w:sz w:val="19"/>
        </w:rPr>
        <w:t xml:space="preserve">    (10)</w:t>
      </w:r>
    </w:p>
    <w:p>
      <w:pPr>
        <w:spacing w:after="80" w:line="276" w:lineRule="auto"/>
      </w:pPr>
      <w:r>
        <w:t>#### Tabel Notasi &amp; Definisi Variabel Persamaan (6)</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$\dot{Q}_{\text{cool}}$</w:t>
            </w:r>
          </w:p>
        </w:tc>
        <w:tc>
          <w:tcPr>
            <w:tcW w:type="dxa" w:w="2484"/>
            <w:vAlign w:val="center"/>
            <w:shd w:fill="FAFAFA"/>
          </w:tcPr>
          <w:p>
            <w:r>
              <w:t>Laju pelepasan kalor konveksi paksa dari sasis</w:t>
            </w:r>
          </w:p>
        </w:tc>
        <w:tc>
          <w:tcPr>
            <w:tcW w:type="dxa" w:w="2484"/>
            <w:vAlign w:val="center"/>
            <w:shd w:fill="FAFAFA"/>
          </w:tcPr>
          <w:p>
            <w:r>
              <w:t>Kilowatt ($\text{kW}$)</w:t>
            </w:r>
          </w:p>
        </w:tc>
        <w:tc>
          <w:tcPr>
            <w:tcW w:type="dxa" w:w="2484"/>
            <w:vAlign w:val="center"/>
            <w:shd w:fill="FAFAFA"/>
          </w:tcPr>
          <w:p>
            <w:r>
              <w:t>$8.0$ hingga $42.0\text{ kW}$</w:t>
            </w:r>
          </w:p>
        </w:tc>
      </w:tr>
      <w:tr>
        <w:tc>
          <w:tcPr>
            <w:tcW w:type="dxa" w:w="2484"/>
            <w:vAlign w:val="center"/>
          </w:tcPr>
          <w:p>
            <w:r>
              <w:t>$k_{\text{conv}}$</w:t>
            </w:r>
          </w:p>
        </w:tc>
        <w:tc>
          <w:tcPr>
            <w:tcW w:type="dxa" w:w="2484"/>
            <w:vAlign w:val="center"/>
          </w:tcPr>
          <w:p>
            <w:r>
              <w:t>Koefisien konveksi termal efektif fasilitas</w:t>
            </w:r>
          </w:p>
        </w:tc>
        <w:tc>
          <w:tcPr>
            <w:tcW w:type="dxa" w:w="2484"/>
            <w:vAlign w:val="center"/>
          </w:tcPr>
          <w:p>
            <w:r>
              <w:t>$\text{kW/K}$</w:t>
            </w:r>
          </w:p>
        </w:tc>
        <w:tc>
          <w:tcPr>
            <w:tcW w:type="dxa" w:w="2484"/>
            <w:vAlign w:val="center"/>
          </w:tcPr>
          <w:p>
            <w:r>
              <w:t>$2.10\text{ kW/K}$</w:t>
            </w:r>
          </w:p>
        </w:tc>
      </w:tr>
      <w:tr>
        <w:tc>
          <w:tcPr>
            <w:tcW w:type="dxa" w:w="2484"/>
            <w:vAlign w:val="center"/>
            <w:shd w:fill="FAFAFA"/>
          </w:tcPr>
          <w:p>
            <w:r>
              <w:t>$\text{PWM}_{\text{fan}}$</w:t>
            </w:r>
          </w:p>
        </w:tc>
        <w:tc>
          <w:tcPr>
            <w:tcW w:type="dxa" w:w="2484"/>
            <w:vAlign w:val="center"/>
            <w:shd w:fill="FAFAFA"/>
          </w:tcPr>
          <w:p>
            <w:r>
              <w:t>Rasio modulasi modul kipas sasis server</w:t>
            </w:r>
          </w:p>
        </w:tc>
        <w:tc>
          <w:tcPr>
            <w:tcW w:type="dxa" w:w="2484"/>
            <w:vAlign w:val="center"/>
            <w:shd w:fill="FAFAFA"/>
          </w:tcPr>
          <w:p>
            <w:r>
              <w:t>Persen ($\%$)</w:t>
            </w:r>
          </w:p>
        </w:tc>
        <w:tc>
          <w:tcPr>
            <w:tcW w:type="dxa" w:w="2484"/>
            <w:vAlign w:val="center"/>
            <w:shd w:fill="FAFAFA"/>
          </w:tcPr>
          <w:p>
            <w:r>
              <w:t>$35\%$ (Idle) s/d $85\%$ (Surge)</w:t>
            </w:r>
          </w:p>
        </w:tc>
      </w:tr>
      <w:tr>
        <w:tc>
          <w:tcPr>
            <w:tcW w:type="dxa" w:w="2484"/>
            <w:vAlign w:val="center"/>
          </w:tcPr>
          <w:p>
            <w:r>
              <w:t>$T_{\text{rack}}$</w:t>
            </w:r>
          </w:p>
        </w:tc>
        <w:tc>
          <w:tcPr>
            <w:tcW w:type="dxa" w:w="2484"/>
            <w:vAlign w:val="center"/>
          </w:tcPr>
          <w:p>
            <w:r>
              <w:t>Suhu udara aktual di dalam zona intake rak</w:t>
            </w:r>
          </w:p>
        </w:tc>
        <w:tc>
          <w:tcPr>
            <w:tcW w:type="dxa" w:w="2484"/>
            <w:vAlign w:val="center"/>
          </w:tcPr>
          <w:p>
            <w:r>
              <w:t>Derajat Celsius (°C)</w:t>
            </w:r>
          </w:p>
        </w:tc>
        <w:tc>
          <w:tcPr>
            <w:tcW w:type="dxa" w:w="2484"/>
            <w:vAlign w:val="center"/>
          </w:tcPr>
          <w:p>
            <w:r>
              <w:t>Target: $22.0°\text{C}$ – $24.0°\text{C}$</w:t>
            </w:r>
          </w:p>
        </w:tc>
      </w:tr>
      <w:tr>
        <w:tc>
          <w:tcPr>
            <w:tcW w:type="dxa" w:w="2484"/>
            <w:vAlign w:val="center"/>
            <w:shd w:fill="FAFAFA"/>
          </w:tcPr>
          <w:p>
            <w:r>
              <w:t>$T_{\text{supply}}$</w:t>
            </w:r>
          </w:p>
        </w:tc>
        <w:tc>
          <w:tcPr>
            <w:tcW w:type="dxa" w:w="2484"/>
            <w:vAlign w:val="center"/>
            <w:shd w:fill="FAFAFA"/>
          </w:tcPr>
          <w:p>
            <w:r>
              <w:t>Suhu udara sejuk pasokan dari bawah lantai</w:t>
            </w:r>
          </w:p>
        </w:tc>
        <w:tc>
          <w:tcPr>
            <w:tcW w:type="dxa" w:w="2484"/>
            <w:vAlign w:val="center"/>
            <w:shd w:fill="FAFAFA"/>
          </w:tcPr>
          <w:p>
            <w:r>
              <w:t>Derajat Celsius (°C)</w:t>
            </w:r>
          </w:p>
        </w:tc>
        <w:tc>
          <w:tcPr>
            <w:tcW w:type="dxa" w:w="2484"/>
            <w:vAlign w:val="center"/>
            <w:shd w:fill="FAFAFA"/>
          </w:tcPr>
          <w:p>
            <w:r>
              <w:t>$15.0°\text{C}$ (Mode AI) vs $11.5°\text{C}$ (Mode Konvensional)</w:t>
            </w:r>
          </w:p>
        </w:tc>
      </w:tr>
      <w:tr>
        <w:tc>
          <w:tcPr>
            <w:tcW w:type="dxa" w:w="2484"/>
            <w:vAlign w:val="center"/>
          </w:tcPr>
          <w:p>
            <w:r>
              <w:t>$\omega_{\text{damper}}$</w:t>
            </w:r>
          </w:p>
        </w:tc>
        <w:tc>
          <w:tcPr>
            <w:tcW w:type="dxa" w:w="2484"/>
            <w:vAlign w:val="center"/>
          </w:tcPr>
          <w:p>
            <w:r>
              <w:t>Derajat bukaan katup VAV ubin lantai berpori</w:t>
            </w:r>
          </w:p>
        </w:tc>
        <w:tc>
          <w:tcPr>
            <w:tcW w:type="dxa" w:w="2484"/>
            <w:vAlign w:val="center"/>
          </w:tcPr>
          <w:p>
            <w:r>
              <w:t>Persen ($\%$)</w:t>
            </w:r>
          </w:p>
        </w:tc>
        <w:tc>
          <w:tcPr>
            <w:tcW w:type="dxa" w:w="2484"/>
            <w:vAlign w:val="center"/>
          </w:tcPr>
          <w:p>
            <w:r>
              <w:t>$0\%$ (Tutup) s/d $100\%$ (Buka Penuh)</w:t>
            </w:r>
          </w:p>
        </w:tc>
      </w:tr>
      <w:tr>
        <w:tc>
          <w:tcPr>
            <w:tcW w:type="dxa" w:w="2484"/>
            <w:vAlign w:val="center"/>
            <w:shd w:fill="FAFAFA"/>
          </w:tcPr>
          <w:p>
            <w:r>
              <w:t>$P_{\text{plenum}}$</w:t>
            </w:r>
          </w:p>
        </w:tc>
        <w:tc>
          <w:tcPr>
            <w:tcW w:type="dxa" w:w="2484"/>
            <w:vAlign w:val="center"/>
            <w:shd w:fill="FAFAFA"/>
          </w:tcPr>
          <w:p>
            <w:r>
              <w:t>Tekanan statis positif di bawah lantai panggung</w:t>
            </w:r>
          </w:p>
        </w:tc>
        <w:tc>
          <w:tcPr>
            <w:tcW w:type="dxa" w:w="2484"/>
            <w:vAlign w:val="center"/>
            <w:shd w:fill="FAFAFA"/>
          </w:tcPr>
          <w:p>
            <w:r>
              <w:t>Pascal ($\text{Pa}$)</w:t>
            </w:r>
          </w:p>
        </w:tc>
        <w:tc>
          <w:tcPr>
            <w:tcW w:type="dxa" w:w="2484"/>
            <w:vAlign w:val="center"/>
            <w:shd w:fill="FAFAFA"/>
          </w:tcPr>
          <w:p>
            <w:r>
              <w:t>$35.0\text{ Pa}$ (Nominal Seimbang)</w:t>
            </w:r>
          </w:p>
        </w:tc>
      </w:tr>
      <w:tr>
        <w:tc>
          <w:tcPr>
            <w:tcW w:type="dxa" w:w="2484"/>
            <w:vAlign w:val="center"/>
          </w:tcPr>
          <w:p>
            <w:r>
              <w:t>$\beta_0, \beta_1$</w:t>
            </w:r>
          </w:p>
        </w:tc>
        <w:tc>
          <w:tcPr>
            <w:tcW w:type="dxa" w:w="2484"/>
            <w:vAlign w:val="center"/>
          </w:tcPr>
          <w:p>
            <w:r>
              <w:t>Koefisien aerodinamika hambatan kisi berpori</w:t>
            </w:r>
          </w:p>
        </w:tc>
        <w:tc>
          <w:tcPr>
            <w:tcW w:type="dxa" w:w="2484"/>
            <w:vAlign w:val="center"/>
          </w:tcPr>
          <w:p>
            <w:r>
              <w:t>Tanpa satuan</w:t>
            </w:r>
          </w:p>
        </w:tc>
        <w:tc>
          <w:tcPr>
            <w:tcW w:type="dxa" w:w="2484"/>
            <w:vAlign w:val="center"/>
          </w:tcPr>
          <w:p>
            <w:r>
              <w:t>$\beta_0 = 0.38, \; \beta_1 = 1.12$</w:t>
            </w:r>
          </w:p>
        </w:tc>
      </w:tr>
    </w:tbl>
    <w:p/>
    <w:p>
      <w:pPr>
        <w:pStyle w:val="Heading3"/>
        <w:spacing w:before="160" w:after="40"/>
      </w:pPr>
      <w:r>
        <w:rPr>
          <w:rFonts w:ascii="Segoe UI" w:hAnsi="Segoe UI"/>
          <w:b/>
          <w:color w:val="7828A0"/>
        </w:rPr>
        <w:t>4.7. Persamaan (7): Keseimbangan Kalor Netto (*Net Thermal Energy Flux*)</w:t>
      </w:r>
    </w:p>
    <w:p>
      <w:pPr>
        <w:spacing w:after="80" w:line="276" w:lineRule="auto"/>
      </w:pPr>
      <w:r>
        <w:t>Dinamika perubahan suhu udara di sekitar zona rak kabinet ditentukan oleh hukum pertama termodinamika konservasi energi:</w:t>
      </w:r>
    </w:p>
    <w:p>
      <w:pPr>
        <w:spacing w:before="160" w:after="160"/>
        <w:jc w:val="center"/>
        <w:pBdr>
          <w:left w:val="single" w:sz="24" w:space="12" w:color="AF6EFF"/>
        </w:pBdr>
        <w:shd w:fill="F8F9FC"/>
      </w:pPr>
      <m:oMath xmlns:mml="http://www.w3.org/1998/Math/MathML">
        <m:r>
          <m:rPr>
            <m:nor/>
          </m:rPr>
          <m:t>Net Heat Flux</m:t>
        </m:r>
        <m:r>
          <m:t>(t)=</m:t>
        </m:r>
        <m:r>
          <m:t>[</m:t>
        </m:r>
        <m:sSub>
          <m:e>
            <m:r>
              <m:t>Q</m:t>
            </m:r>
          </m:e>
          <m:sub>
            <m:r>
              <m:rPr>
                <m:nor/>
              </m:rPr>
              <m:t>eff</m:t>
            </m:r>
          </m:sub>
        </m:sSub>
        <m:r>
          <m:t>(t)·</m:t>
        </m:r>
        <m:sSub>
          <m:e>
            <m:r>
              <m:t>γ</m:t>
            </m:r>
          </m:e>
          <m:sub>
            <m:r>
              <m:rPr>
                <m:nor/>
              </m:rPr>
              <m:t>turb</m:t>
            </m:r>
          </m:sub>
        </m:sSub>
        <m:r>
          <m:t>]</m:t>
        </m:r>
        <m:r>
          <m:t>+</m:t>
        </m:r>
        <m:sSub>
          <m:e>
            <m:limUpp>
              <m:e>
                <m:r>
                  <m:t>Q</m:t>
                </m:r>
              </m:e>
              <m:lim>
                <m:r>
                  <m:t>˙</m:t>
                </m:r>
              </m:lim>
            </m:limUpp>
          </m:e>
          <m:sub>
            <m:r>
              <m:rPr>
                <m:nor/>
              </m:rPr>
              <m:t>leak</m:t>
            </m:r>
          </m:sub>
        </m:sSub>
        <m:r>
          <m:t>(t)−</m:t>
        </m:r>
        <m:sSub>
          <m:e>
            <m:limUpp>
              <m:e>
                <m:r>
                  <m:t>Q</m:t>
                </m:r>
              </m:e>
              <m:lim>
                <m:r>
                  <m:t>˙</m:t>
                </m:r>
              </m:lim>
            </m:limUpp>
          </m:e>
          <m:sub>
            <m:r>
              <m:rPr>
                <m:nor/>
              </m:rPr>
              <m:t>cool</m:t>
            </m:r>
          </m:sub>
        </m:sSub>
        <m:r>
          <m:t>(t)</m:t>
        </m:r>
      </m:oMath>
      <w:r>
        <w:rPr>
          <w:rFonts w:ascii="Calibri" w:hAnsi="Calibri"/>
          <w:color w:val="6B7280"/>
          <w:sz w:val="19"/>
        </w:rPr>
        <w:t xml:space="preserve">    (11)</w:t>
      </w:r>
    </w:p>
    <w:p>
      <w:pPr>
        <w:spacing w:after="80" w:line="276" w:lineRule="auto"/>
      </w:pPr>
      <w:r>
        <w:t>Perambatan kalor kebocoran dinding kaca CAC (</w:t>
      </w:r>
      <m:oMath xmlns:mml="http://www.w3.org/1998/Math/MathML">
        <m:sSub>
          <m:e>
            <m:limUpp>
              <m:e>
                <m:r>
                  <m:t>Q</m:t>
                </m:r>
              </m:e>
              <m:lim>
                <m:r>
                  <m:t>˙</m:t>
                </m:r>
              </m:lim>
            </m:limUpp>
          </m:e>
          <m:sub>
            <m:r>
              <m:rPr>
                <m:nor/>
              </m:rPr>
              <m:t>leak</m:t>
            </m:r>
          </m:sub>
        </m:sSub>
      </m:oMath>
      <w:r>
        <w:t>) mengikuti Hukum Pendinginan Newton:</w:t>
      </w:r>
    </w:p>
    <w:p>
      <w:pPr>
        <w:spacing w:before="160" w:after="160"/>
        <w:jc w:val="center"/>
        <w:pBdr>
          <w:left w:val="single" w:sz="24" w:space="12" w:color="AF6EFF"/>
        </w:pBdr>
        <w:shd w:fill="F8F9FC"/>
      </w:pPr>
      <m:oMath xmlns:mml="http://www.w3.org/1998/Math/MathML">
        <m:sSub>
          <m:e>
            <m:limUpp>
              <m:e>
                <m:r>
                  <m:t>Q</m:t>
                </m:r>
              </m:e>
              <m:lim>
                <m:r>
                  <m:t>˙</m:t>
                </m:r>
              </m:lim>
            </m:limUpp>
          </m:e>
          <m:sub>
            <m:r>
              <m:rPr>
                <m:nor/>
              </m:rPr>
              <m:t>leak</m:t>
            </m:r>
          </m:sub>
        </m:sSub>
        <m:r>
          <m:t>(t)=</m:t>
        </m:r>
        <m:sSub>
          <m:e>
            <m:r>
              <m:t>U</m:t>
            </m:r>
          </m:e>
          <m:sub>
            <m:r>
              <m:rPr>
                <m:nor/>
              </m:rPr>
              <m:t>glass</m:t>
            </m:r>
          </m:sub>
        </m:sSub>
        <m:r>
          <m:t>·</m:t>
        </m:r>
        <m:sSub>
          <m:e>
            <m:r>
              <m:t>A</m:t>
            </m:r>
          </m:e>
          <m:sub>
            <m:r>
              <m:rPr>
                <m:nor/>
              </m:rPr>
              <m:t>CAC</m:t>
            </m:r>
          </m:sub>
        </m:sSub>
        <m:r>
          <m:t>·</m:t>
        </m:r>
        <m:r>
          <m:t>(</m:t>
        </m:r>
        <m:sSub>
          <m:e>
            <m:r>
              <m:t>T</m:t>
            </m:r>
          </m:e>
          <m:sub>
            <m:r>
              <m:rPr>
                <m:nor/>
              </m:rPr>
              <m:t>ambient</m:t>
            </m:r>
          </m:sub>
        </m:sSub>
        <m:r>
          <m:t>−</m:t>
        </m:r>
        <m:sSub>
          <m:e>
            <m:r>
              <m:t>T</m:t>
            </m:r>
          </m:e>
          <m:sub>
            <m:r>
              <m:rPr>
                <m:nor/>
              </m:rPr>
              <m:t>CAC</m:t>
            </m:r>
          </m:sub>
        </m:sSub>
        <m:r>
          <m:t>(t))</m:t>
        </m:r>
      </m:oMath>
      <w:r>
        <w:rPr>
          <w:rFonts w:ascii="Calibri" w:hAnsi="Calibri"/>
          <w:color w:val="6B7280"/>
          <w:sz w:val="19"/>
        </w:rPr>
        <w:t xml:space="preserve">    (12)</w:t>
      </w:r>
    </w:p>
    <w:p>
      <w:pPr>
        <w:spacing w:after="80" w:line="276" w:lineRule="auto"/>
      </w:pPr>
      <w:r>
        <w:t>Maka, persamaan laju perubahan suhu udara intake rak adalah:</w:t>
      </w:r>
    </w:p>
    <w:p>
      <w:pPr>
        <w:spacing w:before="160" w:after="160"/>
        <w:jc w:val="center"/>
        <w:pBdr>
          <w:left w:val="single" w:sz="24" w:space="12" w:color="AF6EFF"/>
        </w:pBdr>
        <w:shd w:fill="F8F9FC"/>
      </w:pPr>
      <m:oMath xmlns:mml="http://www.w3.org/1998/Math/MathML">
        <m:f>
          <m:fPr>
            <m:type m:val="bar"/>
          </m:fPr>
          <m:num>
            <m:r>
              <m:t>d</m:t>
            </m:r>
            <m:sSub>
              <m:e>
                <m:r>
                  <m:t>T</m:t>
                </m:r>
              </m:e>
              <m:sub>
                <m:r>
                  <m:rPr>
                    <m:nor/>
                  </m:rPr>
                  <m:t>rack</m:t>
                </m:r>
              </m:sub>
            </m:sSub>
            <m:r>
              <m:t>(t)</m:t>
            </m:r>
          </m:num>
          <m:den>
            <m:r>
              <m:t>dt</m:t>
            </m:r>
          </m:den>
        </m:f>
        <m:r>
          <m:t>=</m:t>
        </m:r>
        <m:f>
          <m:fPr>
            <m:type m:val="bar"/>
          </m:fPr>
          <m:num>
            <m:r>
              <m:rPr>
                <m:nor/>
              </m:rPr>
              <m:t>Net Heat Flux</m:t>
            </m:r>
            <m:r>
              <m:t>(t)</m:t>
            </m:r>
          </m:num>
          <m:den>
            <m:sSub>
              <m:e>
                <m:r>
                  <m:t>C</m:t>
                </m:r>
              </m:e>
              <m:sub>
                <m:r>
                  <m:rPr>
                    <m:nor/>
                  </m:rPr>
                  <m:t>thermal,air</m:t>
                </m:r>
              </m:sub>
            </m:sSub>
          </m:den>
        </m:f>
      </m:oMath>
      <w:r>
        <w:rPr>
          <w:rFonts w:ascii="Calibri" w:hAnsi="Calibri"/>
          <w:color w:val="6B7280"/>
          <w:sz w:val="19"/>
        </w:rPr>
        <w:t xml:space="preserve">    (13)</w:t>
      </w:r>
    </w:p>
    <w:p>
      <w:pPr>
        <w:spacing w:after="80" w:line="276" w:lineRule="auto"/>
      </w:pPr>
      <w:r>
        <w:t>#### Tabel Notasi &amp; Definisi Variabel Persamaan (7)</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$\text{Net Flux}$</w:t>
            </w:r>
          </w:p>
        </w:tc>
        <w:tc>
          <w:tcPr>
            <w:tcW w:type="dxa" w:w="2484"/>
            <w:vAlign w:val="center"/>
            <w:shd w:fill="FAFAFA"/>
          </w:tcPr>
          <w:p>
            <w:r>
              <w:t>Fluks energi termal netto yang tersisa</w:t>
            </w:r>
          </w:p>
        </w:tc>
        <w:tc>
          <w:tcPr>
            <w:tcW w:type="dxa" w:w="2484"/>
            <w:vAlign w:val="center"/>
            <w:shd w:fill="FAFAFA"/>
          </w:tcPr>
          <w:p>
            <w:r>
              <w:t>Kilowatt ($\text{kW}$)</w:t>
            </w:r>
          </w:p>
        </w:tc>
        <w:tc>
          <w:tcPr>
            <w:tcW w:type="dxa" w:w="2484"/>
            <w:vAlign w:val="center"/>
            <w:shd w:fill="FAFAFA"/>
          </w:tcPr>
          <w:p>
            <w:r>
              <w:t>Target ekuilibrium $\approx 0\text{ kW}$</w:t>
            </w:r>
          </w:p>
        </w:tc>
      </w:tr>
      <w:tr>
        <w:tc>
          <w:tcPr>
            <w:tcW w:type="dxa" w:w="2484"/>
            <w:vAlign w:val="center"/>
          </w:tcPr>
          <w:p>
            <w:r>
              <w:t>$\gamma_{\text{turb}}$</w:t>
            </w:r>
          </w:p>
        </w:tc>
        <w:tc>
          <w:tcPr>
            <w:tcW w:type="dxa" w:w="2484"/>
            <w:vAlign w:val="center"/>
          </w:tcPr>
          <w:p>
            <w:r>
              <w:t>Faktor koreksi turbulensi dan percampuran lokal</w:t>
            </w:r>
          </w:p>
        </w:tc>
        <w:tc>
          <w:tcPr>
            <w:tcW w:type="dxa" w:w="2484"/>
            <w:vAlign w:val="center"/>
          </w:tcPr>
          <w:p>
            <w:r>
              <w:t>Tanpa satuan</w:t>
            </w:r>
          </w:p>
        </w:tc>
        <w:tc>
          <w:tcPr>
            <w:tcW w:type="dxa" w:w="2484"/>
            <w:vAlign w:val="center"/>
          </w:tcPr>
          <w:p>
            <w:r>
              <w:t>$1.05$ – $1.15$</w:t>
            </w:r>
          </w:p>
        </w:tc>
      </w:tr>
      <w:tr>
        <w:tc>
          <w:tcPr>
            <w:tcW w:type="dxa" w:w="2484"/>
            <w:vAlign w:val="center"/>
            <w:shd w:fill="FAFAFA"/>
          </w:tcPr>
          <w:p>
            <w:r>
              <w:t>$U_{\text{glass}}$</w:t>
            </w:r>
          </w:p>
        </w:tc>
        <w:tc>
          <w:tcPr>
            <w:tcW w:type="dxa" w:w="2484"/>
            <w:vAlign w:val="center"/>
            <w:shd w:fill="FAFAFA"/>
          </w:tcPr>
          <w:p>
            <w:r>
              <w:t>Koefisien perpindahan panas menyeluruh dinding kaca</w:t>
            </w:r>
          </w:p>
        </w:tc>
        <w:tc>
          <w:tcPr>
            <w:tcW w:type="dxa" w:w="2484"/>
            <w:vAlign w:val="center"/>
            <w:shd w:fill="FAFAFA"/>
          </w:tcPr>
          <w:p>
            <w:r>
              <w:t>$\text{W}/(\text{m}^2\cdot\text{K})$</w:t>
            </w:r>
          </w:p>
        </w:tc>
        <w:tc>
          <w:tcPr>
            <w:tcW w:type="dxa" w:w="2484"/>
            <w:vAlign w:val="center"/>
            <w:shd w:fill="FAFAFA"/>
          </w:tcPr>
          <w:p>
            <w:r>
              <w:t>$2.8\text{ W}/(\text{m}^2\cdot\text{K})$ (Kaca Laminasi 10mm)</w:t>
            </w:r>
          </w:p>
        </w:tc>
      </w:tr>
      <w:tr>
        <w:tc>
          <w:tcPr>
            <w:tcW w:type="dxa" w:w="2484"/>
            <w:vAlign w:val="center"/>
          </w:tcPr>
          <w:p>
            <w:r>
              <w:t>$A_{\text{CAC}}$</w:t>
            </w:r>
          </w:p>
        </w:tc>
        <w:tc>
          <w:tcPr>
            <w:tcW w:type="dxa" w:w="2484"/>
            <w:vAlign w:val="center"/>
          </w:tcPr>
          <w:p>
            <w:r>
              <w:t>Luas permukaan selubung kaca lorong dingin</w:t>
            </w:r>
          </w:p>
        </w:tc>
        <w:tc>
          <w:tcPr>
            <w:tcW w:type="dxa" w:w="2484"/>
            <w:vAlign w:val="center"/>
          </w:tcPr>
          <w:p>
            <w:r>
              <w:t>Meter persegi ($\text{m}^2$)</w:t>
            </w:r>
          </w:p>
        </w:tc>
        <w:tc>
          <w:tcPr>
            <w:tcW w:type="dxa" w:w="2484"/>
            <w:vAlign w:val="center"/>
          </w:tcPr>
          <w:p>
            <w:r>
              <w:t>$38.4\text{ m}^2$ (Untuk 8 Rak Kabinet)</w:t>
            </w:r>
          </w:p>
        </w:tc>
      </w:tr>
      <w:tr>
        <w:tc>
          <w:tcPr>
            <w:tcW w:type="dxa" w:w="2484"/>
            <w:vAlign w:val="center"/>
            <w:shd w:fill="FAFAFA"/>
          </w:tcPr>
          <w:p>
            <w:r>
              <w:t>$T_{\text{ambient}}$</w:t>
            </w:r>
          </w:p>
        </w:tc>
        <w:tc>
          <w:tcPr>
            <w:tcW w:type="dxa" w:w="2484"/>
            <w:vAlign w:val="center"/>
            <w:shd w:fill="FAFAFA"/>
          </w:tcPr>
          <w:p>
            <w:r>
              <w:t>Suhu udara luar ruangan gedung di iklim tropis</w:t>
            </w:r>
          </w:p>
        </w:tc>
        <w:tc>
          <w:tcPr>
            <w:tcW w:type="dxa" w:w="2484"/>
            <w:vAlign w:val="center"/>
            <w:shd w:fill="FAFAFA"/>
          </w:tcPr>
          <w:p>
            <w:r>
              <w:t>Derajat Celsius (°C)</w:t>
            </w:r>
          </w:p>
        </w:tc>
        <w:tc>
          <w:tcPr>
            <w:tcW w:type="dxa" w:w="2484"/>
            <w:vAlign w:val="center"/>
            <w:shd w:fill="FAFAFA"/>
          </w:tcPr>
          <w:p>
            <w:r>
              <w:t>$33.0°\text{C}$ (Kondisi Desain Jawa Barat)</w:t>
            </w:r>
          </w:p>
        </w:tc>
      </w:tr>
      <w:tr>
        <w:tc>
          <w:tcPr>
            <w:tcW w:type="dxa" w:w="2484"/>
            <w:vAlign w:val="center"/>
          </w:tcPr>
          <w:p>
            <w:r>
              <w:t>$C_{\text{thermal,air}}$</w:t>
            </w:r>
          </w:p>
        </w:tc>
        <w:tc>
          <w:tcPr>
            <w:tcW w:type="dxa" w:w="2484"/>
            <w:vAlign w:val="center"/>
          </w:tcPr>
          <w:p>
            <w:r>
              <w:t>Kapasitas kalor massa udara di dalam lorong dingin</w:t>
            </w:r>
          </w:p>
        </w:tc>
        <w:tc>
          <w:tcPr>
            <w:tcW w:type="dxa" w:w="2484"/>
            <w:vAlign w:val="center"/>
          </w:tcPr>
          <w:p>
            <w:r>
              <w:t>Kilojoule per Kelvin ($\text{kJ/K}$)</w:t>
            </w:r>
          </w:p>
        </w:tc>
        <w:tc>
          <w:tcPr>
            <w:tcW w:type="dxa" w:w="2484"/>
            <w:vAlign w:val="center"/>
          </w:tcPr>
          <w:p>
            <w:r>
              <w:t>$2.80\text{ kJ/K}$</w:t>
            </w:r>
          </w:p>
        </w:tc>
      </w:tr>
    </w:tbl>
    <w:p/>
    <w:p>
      <w:pPr>
        <w:pStyle w:val="Heading3"/>
        <w:spacing w:before="160" w:after="40"/>
      </w:pPr>
      <w:r>
        <w:rPr>
          <w:rFonts w:ascii="Segoe UI" w:hAnsi="Segoe UI"/>
          <w:b/>
          <w:color w:val="7828A0"/>
        </w:rPr>
        <w:t>4.8. Persamaan (8): Hukum Kubik Afinitas Kipas (*Fan Affinity Law*)</w:t>
      </w:r>
    </w:p>
    <w:p>
      <w:pPr>
        <w:spacing w:after="80" w:line="276" w:lineRule="auto"/>
      </w:pPr>
      <w:r>
        <w:t>Berdasarkan hukum dinamika fluida afinitas kipas, daya listrik poros kipas (</w:t>
      </w:r>
      <m:oMath xmlns:mml="http://www.w3.org/1998/Math/MathML">
        <m:sSub>
          <m:e>
            <m:r>
              <m:t>P</m:t>
            </m:r>
          </m:e>
          <m:sub>
            <m:r>
              <m:rPr>
                <m:nor/>
              </m:rPr>
              <m:t>fan</m:t>
            </m:r>
          </m:sub>
        </m:sSub>
      </m:oMath>
      <w:r>
        <w:t>) berbanding lurus dengan pangkat tiga rasio putaran per menit (RPM):</w:t>
      </w:r>
    </w:p>
    <w:p>
      <w:pPr>
        <w:spacing w:before="160" w:after="160"/>
        <w:jc w:val="center"/>
        <w:pBdr>
          <w:left w:val="single" w:sz="24" w:space="12" w:color="AF6EFF"/>
        </w:pBdr>
        <w:shd w:fill="F8F9FC"/>
      </w:pPr>
      <m:oMath xmlns:mml="http://www.w3.org/1998/Math/MathML">
        <m:sSub>
          <m:e>
            <m:r>
              <m:t>P</m:t>
            </m:r>
          </m:e>
          <m:sub>
            <m:r>
              <m:rPr>
                <m:nor/>
              </m:rPr>
              <m:t>fan</m:t>
            </m:r>
          </m:sub>
        </m:sSub>
        <m:r>
          <m:t>(t)=</m:t>
        </m:r>
        <m:sSub>
          <m:e>
            <m:r>
              <m:t>P</m:t>
            </m:r>
          </m:e>
          <m:sub>
            <m:r>
              <m:rPr>
                <m:nor/>
              </m:rPr>
              <m:t>fan,max</m:t>
            </m:r>
          </m:sub>
        </m:sSub>
        <m:r>
          <m:t>·</m:t>
        </m:r>
        <m:sSup>
          <m:e>
            <m:r>
              <m:t>(</m:t>
            </m:r>
            <m:f>
              <m:fPr>
                <m:type m:val="bar"/>
              </m:fPr>
              <m:num>
                <m:r>
                  <m:rPr>
                    <m:nor/>
                  </m:rPr>
                  <m:t>RPM</m:t>
                </m:r>
                <m:r>
                  <m:t>(t)</m:t>
                </m:r>
              </m:num>
              <m:den>
                <m:sSub>
                  <m:e>
                    <m:r>
                      <m:rPr>
                        <m:nor/>
                      </m:rPr>
                      <m:t>RPM</m:t>
                    </m:r>
                  </m:e>
                  <m:sub>
                    <m:r>
                      <m:rPr>
                        <m:nor/>
                      </m:rPr>
                      <m:t>max</m:t>
                    </m:r>
                  </m:sub>
                </m:sSub>
              </m:den>
            </m:f>
            <m:r>
              <m:t>)</m:t>
            </m:r>
          </m:e>
          <m:sup>
            <m:r>
              <m:t>3</m:t>
            </m:r>
          </m:sup>
        </m:sSup>
        <m:r>
          <m:t>=</m:t>
        </m:r>
        <m:sSub>
          <m:e>
            <m:r>
              <m:t>P</m:t>
            </m:r>
          </m:e>
          <m:sub>
            <m:r>
              <m:rPr>
                <m:nor/>
              </m:rPr>
              <m:t>fan,max</m:t>
            </m:r>
          </m:sub>
        </m:sSub>
        <m:r>
          <m:t>·</m:t>
        </m:r>
        <m:sSup>
          <m:e>
            <m:r>
              <m:t>(</m:t>
            </m:r>
            <m:f>
              <m:fPr>
                <m:type m:val="bar"/>
              </m:fPr>
              <m:num>
                <m:sSub>
                  <m:e>
                    <m:r>
                      <m:rPr>
                        <m:nor/>
                      </m:rPr>
                      <m:t>PWM</m:t>
                    </m:r>
                  </m:e>
                  <m:sub>
                    <m:r>
                      <m:rPr>
                        <m:nor/>
                      </m:rPr>
                      <m:t>fan</m:t>
                    </m:r>
                  </m:sub>
                </m:sSub>
                <m:r>
                  <m:t>(t)</m:t>
                </m:r>
              </m:num>
              <m:den>
                <m:r>
                  <m:t>100</m:t>
                </m:r>
              </m:den>
            </m:f>
            <m:r>
              <m:t>)</m:t>
            </m:r>
          </m:e>
          <m:sup>
            <m:r>
              <m:t>3</m:t>
            </m:r>
          </m:sup>
        </m:sSup>
      </m:oMath>
      <w:r>
        <w:rPr>
          <w:rFonts w:ascii="Calibri" w:hAnsi="Calibri"/>
          <w:color w:val="6B7280"/>
          <w:sz w:val="19"/>
        </w:rPr>
        <w:t xml:space="preserve">    (14)</w:t>
      </w:r>
    </w:p>
    <w:p>
      <w:pPr>
        <w:spacing w:after="80" w:line="276" w:lineRule="auto"/>
      </w:pPr>
      <w:r>
        <w:t>Total konsumsi daya kipas seluruh fasilitas dihitung dari penjumlahan daya kipas internal 8 rak server ditambah blower CRAH:</w:t>
      </w:r>
    </w:p>
    <w:p>
      <w:pPr>
        <w:spacing w:before="160" w:after="160"/>
        <w:jc w:val="center"/>
        <w:pBdr>
          <w:left w:val="single" w:sz="24" w:space="12" w:color="AF6EFF"/>
        </w:pBdr>
        <w:shd w:fill="F8F9FC"/>
      </w:pPr>
      <m:oMath xmlns:mml="http://www.w3.org/1998/Math/MathML">
        <m:sSub>
          <m:e>
            <m:r>
              <m:t>P</m:t>
            </m:r>
          </m:e>
          <m:sub>
            <m:r>
              <m:rPr>
                <m:nor/>
              </m:rPr>
              <m:t>fan,total</m:t>
            </m:r>
          </m:sub>
        </m:sSub>
        <m:r>
          <m:t>(t)=</m:t>
        </m:r>
        <m:nary>
          <m:naryPr>
            <m:chr m:val="∑"/>
            <m:limLoc m:val="subSup"/>
            <m:grow m:val="1"/>
            <m:subHide m:val="off"/>
            <m:supHide m:val="off"/>
          </m:naryPr>
          <m:sub>
            <m:r>
              <m:t>i=1</m:t>
            </m:r>
          </m:sub>
          <m:sup>
            <m:sSub>
              <m:e>
                <m:r>
                  <m:t>N</m:t>
                </m:r>
              </m:e>
              <m:sub>
                <m:r>
                  <m:rPr>
                    <m:nor/>
                  </m:rPr>
                  <m:t>rack</m:t>
                </m:r>
              </m:sub>
            </m:sSub>
          </m:sup>
          <m:e>
            <m:r>
              <m:t>[</m:t>
            </m:r>
            <m:sSub>
              <m:e>
                <m:r>
                  <m:t>P</m:t>
                </m:r>
              </m:e>
              <m:sub>
                <m:r>
                  <m:rPr>
                    <m:nor/>
                  </m:rPr>
                  <m:t>fan,max</m:t>
                </m:r>
              </m:sub>
            </m:sSub>
            <m:r>
              <m:t>·</m:t>
            </m:r>
            <m:sSup>
              <m:e>
                <m:r>
                  <m:t>(</m:t>
                </m:r>
                <m:f>
                  <m:fPr>
                    <m:type m:val="bar"/>
                  </m:fPr>
                  <m:num>
                    <m:sSub>
                      <m:e>
                        <m:r>
                          <m:rPr>
                            <m:nor/>
                          </m:rPr>
                          <m:t>PWM</m:t>
                        </m:r>
                      </m:e>
                      <m:sub>
                        <m:r>
                          <m:t>i</m:t>
                        </m:r>
                      </m:sub>
                    </m:sSub>
                    <m:r>
                      <m:t>(t)</m:t>
                    </m:r>
                  </m:num>
                  <m:den>
                    <m:r>
                      <m:t>100</m:t>
                    </m:r>
                  </m:den>
                </m:f>
                <m:r>
                  <m:t>)</m:t>
                </m:r>
              </m:e>
              <m:sup>
                <m:r>
                  <m:t>3</m:t>
                </m:r>
              </m:sup>
            </m:sSup>
            <m:r>
              <m:t>]</m:t>
            </m:r>
          </m:e>
        </m:nary>
        <m:r>
          <m:t>+</m:t>
        </m:r>
        <m:sSub>
          <m:e>
            <m:r>
              <m:t>P</m:t>
            </m:r>
          </m:e>
          <m:sub>
            <m:r>
              <m:rPr>
                <m:nor/>
              </m:rPr>
              <m:t>blower,CRAH</m:t>
            </m:r>
          </m:sub>
        </m:sSub>
        <m:r>
          <m:t>(t)</m:t>
        </m:r>
      </m:oMath>
      <w:r>
        <w:rPr>
          <w:rFonts w:ascii="Calibri" w:hAnsi="Calibri"/>
          <w:color w:val="6B7280"/>
          <w:sz w:val="19"/>
        </w:rPr>
        <w:t xml:space="preserve">    (15)</w:t>
      </w:r>
    </w:p>
    <w:p>
      <w:pPr>
        <w:spacing w:after="80" w:line="276" w:lineRule="auto"/>
      </w:pPr>
      <w:r>
        <w:t>#### Tabel Notasi &amp; Definisi Variabel Persamaan (8)</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$P_{\text{fan}}$</w:t>
            </w:r>
          </w:p>
        </w:tc>
        <w:tc>
          <w:tcPr>
            <w:tcW w:type="dxa" w:w="2484"/>
            <w:vAlign w:val="center"/>
            <w:shd w:fill="FAFAFA"/>
          </w:tcPr>
          <w:p>
            <w:r>
              <w:t>Daya listrik yang dikonsumsi motor kipas rak</w:t>
            </w:r>
          </w:p>
        </w:tc>
        <w:tc>
          <w:tcPr>
            <w:tcW w:type="dxa" w:w="2484"/>
            <w:vAlign w:val="center"/>
            <w:shd w:fill="FAFAFA"/>
          </w:tcPr>
          <w:p>
            <w:r>
              <w:t>Kilowatt ($\text{kW}$)</w:t>
            </w:r>
          </w:p>
        </w:tc>
        <w:tc>
          <w:tcPr>
            <w:tcW w:type="dxa" w:w="2484"/>
            <w:vAlign w:val="center"/>
            <w:shd w:fill="FAFAFA"/>
          </w:tcPr>
          <w:p>
            <w:r>
              <w:t>$0.27\text{ kW}$ (Saat 35%) s/d $6.25\text{ kW}$ (Saat 100%)</w:t>
            </w:r>
          </w:p>
        </w:tc>
      </w:tr>
      <w:tr>
        <w:tc>
          <w:tcPr>
            <w:tcW w:type="dxa" w:w="2484"/>
            <w:vAlign w:val="center"/>
          </w:tcPr>
          <w:p>
            <w:r>
              <w:t>$P_{\text{fan,max}}$</w:t>
            </w:r>
          </w:p>
        </w:tc>
        <w:tc>
          <w:tcPr>
            <w:tcW w:type="dxa" w:w="2484"/>
            <w:vAlign w:val="center"/>
          </w:tcPr>
          <w:p>
            <w:r>
              <w:t>Konsumsi daya listrik motor kipas saat 100% PWM</w:t>
            </w:r>
          </w:p>
        </w:tc>
        <w:tc>
          <w:tcPr>
            <w:tcW w:type="dxa" w:w="2484"/>
            <w:vAlign w:val="center"/>
          </w:tcPr>
          <w:p>
            <w:r>
              <w:t>Kilowatt ($\text{kW}$)</w:t>
            </w:r>
          </w:p>
        </w:tc>
        <w:tc>
          <w:tcPr>
            <w:tcW w:type="dxa" w:w="2484"/>
            <w:vAlign w:val="center"/>
          </w:tcPr>
          <w:p>
            <w:r>
              <w:t>$6.25\text{ kW per rak}$ (High-CFM Delta Fan Array)</w:t>
            </w:r>
          </w:p>
        </w:tc>
      </w:tr>
      <w:tr>
        <w:tc>
          <w:tcPr>
            <w:tcW w:type="dxa" w:w="2484"/>
            <w:vAlign w:val="center"/>
            <w:shd w:fill="FAFAFA"/>
          </w:tcPr>
          <w:p>
            <w:r>
              <w:t>$\text{RPM}$</w:t>
            </w:r>
          </w:p>
        </w:tc>
        <w:tc>
          <w:tcPr>
            <w:tcW w:type="dxa" w:w="2484"/>
            <w:vAlign w:val="center"/>
            <w:shd w:fill="FAFAFA"/>
          </w:tcPr>
          <w:p>
            <w:r>
              <w:t>Kecepatan putaran bilah kipas pendingin</w:t>
            </w:r>
          </w:p>
        </w:tc>
        <w:tc>
          <w:tcPr>
            <w:tcW w:type="dxa" w:w="2484"/>
            <w:vAlign w:val="center"/>
            <w:shd w:fill="FAFAFA"/>
          </w:tcPr>
          <w:p>
            <w:r>
              <w:t>Putaran per menit</w:t>
            </w:r>
          </w:p>
        </w:tc>
        <w:tc>
          <w:tcPr>
            <w:tcW w:type="dxa" w:w="2484"/>
            <w:vAlign w:val="center"/>
            <w:shd w:fill="FAFAFA"/>
          </w:tcPr>
          <w:p>
            <w:r>
              <w:t>$4.200\text{ RPM}$ s/d $14.500\text{ RPM}$</w:t>
            </w:r>
          </w:p>
        </w:tc>
      </w:tr>
      <w:tr>
        <w:tc>
          <w:tcPr>
            <w:tcW w:type="dxa" w:w="2484"/>
            <w:vAlign w:val="center"/>
          </w:tcPr>
          <w:p>
            <w:r>
              <w:t>$P_{\text{fan,total}}$</w:t>
            </w:r>
          </w:p>
        </w:tc>
        <w:tc>
          <w:tcPr>
            <w:tcW w:type="dxa" w:w="2484"/>
            <w:vAlign w:val="center"/>
          </w:tcPr>
          <w:p>
            <w:r>
              <w:t>Total konsumsi daya seluruh kipas fasilitas</w:t>
            </w:r>
          </w:p>
        </w:tc>
        <w:tc>
          <w:tcPr>
            <w:tcW w:type="dxa" w:w="2484"/>
            <w:vAlign w:val="center"/>
          </w:tcPr>
          <w:p>
            <w:r>
              <w:t>Kilowatt ($\text{kW}$)</w:t>
            </w:r>
          </w:p>
        </w:tc>
        <w:tc>
          <w:tcPr>
            <w:tcW w:type="dxa" w:w="2484"/>
            <w:vAlign w:val="center"/>
          </w:tcPr>
          <w:p>
            <w:r>
              <w:t>$18.5\text{ kW}$ (AI) vs $48.2\text{ kW}$ (Konvensional)</w:t>
            </w:r>
          </w:p>
        </w:tc>
      </w:tr>
    </w:tbl>
    <w:p/>
    <w:p>
      <w:pPr>
        <w:pStyle w:val="Heading3"/>
        <w:spacing w:before="160" w:after="40"/>
      </w:pPr>
      <w:r>
        <w:rPr>
          <w:rFonts w:ascii="Segoe UI" w:hAnsi="Segoe UI"/>
          <w:b/>
          <w:color w:val="7828A0"/>
        </w:rPr>
        <w:t>4.9. Persamaan (9): Metrik Efisiensi Energi Fasilitas (PUE)</w:t>
      </w:r>
    </w:p>
    <w:p>
      <w:pPr>
        <w:spacing w:after="80" w:line="276" w:lineRule="auto"/>
      </w:pPr>
      <w:r>
        <w:t>*Power Usage Effectiveness* (PUE) merupakan metrik standar global (ISO/IEC 30134-2) untuk mengukur rasio efisiensi konsumsi daya total fasilitas terhadap daya yang benar-benar digunakan untuk komputasi IT:</w:t>
      </w:r>
    </w:p>
    <w:p>
      <w:pPr>
        <w:spacing w:before="160" w:after="160"/>
        <w:jc w:val="center"/>
        <w:pBdr>
          <w:left w:val="single" w:sz="24" w:space="12" w:color="AF6EFF"/>
        </w:pBdr>
        <w:shd w:fill="F8F9FC"/>
      </w:pPr>
      <m:oMath xmlns:mml="http://www.w3.org/1998/Math/MathML">
        <m:r>
          <m:rPr>
            <m:nor/>
          </m:rPr>
          <m:t>PUE</m:t>
        </m:r>
        <m:r>
          <m:t>=</m:t>
        </m:r>
        <m:f>
          <m:fPr>
            <m:type m:val="bar"/>
          </m:fPr>
          <m:num>
            <m:sSub>
              <m:e>
                <m:r>
                  <m:t>P</m:t>
                </m:r>
              </m:e>
              <m:sub>
                <m:r>
                  <m:rPr>
                    <m:nor/>
                  </m:rPr>
                  <m:t>Total Facility</m:t>
                </m:r>
              </m:sub>
            </m:sSub>
          </m:num>
          <m:den>
            <m:sSub>
              <m:e>
                <m:r>
                  <m:t>P</m:t>
                </m:r>
              </m:e>
              <m:sub>
                <m:r>
                  <m:rPr>
                    <m:nor/>
                  </m:rPr>
                  <m:t>IT Load</m:t>
                </m:r>
              </m:sub>
            </m:sSub>
          </m:den>
        </m:f>
        <m:r>
          <m:t>=</m:t>
        </m:r>
        <m:f>
          <m:fPr>
            <m:type m:val="bar"/>
          </m:fPr>
          <m:num>
            <m:sSub>
              <m:e>
                <m:r>
                  <m:t>P</m:t>
                </m:r>
              </m:e>
              <m:sub>
                <m:r>
                  <m:rPr>
                    <m:nor/>
                  </m:rPr>
                  <m:t>IT</m:t>
                </m:r>
              </m:sub>
            </m:sSub>
            <m:r>
              <m:t>+</m:t>
            </m:r>
            <m:sSub>
              <m:e>
                <m:r>
                  <m:t>P</m:t>
                </m:r>
              </m:e>
              <m:sub>
                <m:r>
                  <m:rPr>
                    <m:nor/>
                  </m:rPr>
                  <m:t>Chiller</m:t>
                </m:r>
              </m:sub>
            </m:sSub>
            <m:r>
              <m:t>+</m:t>
            </m:r>
            <m:sSub>
              <m:e>
                <m:r>
                  <m:t>P</m:t>
                </m:r>
              </m:e>
              <m:sub>
                <m:r>
                  <m:rPr>
                    <m:nor/>
                  </m:rPr>
                  <m:t>Fan,total</m:t>
                </m:r>
              </m:sub>
            </m:sSub>
            <m:r>
              <m:t>+</m:t>
            </m:r>
            <m:sSub>
              <m:e>
                <m:r>
                  <m:t>P</m:t>
                </m:r>
              </m:e>
              <m:sub>
                <m:r>
                  <m:rPr>
                    <m:nor/>
                  </m:rPr>
                  <m:t>Auxiliary</m:t>
                </m:r>
              </m:sub>
            </m:sSub>
          </m:num>
          <m:den>
            <m:sSub>
              <m:e>
                <m:r>
                  <m:t>P</m:t>
                </m:r>
              </m:e>
              <m:sub>
                <m:r>
                  <m:rPr>
                    <m:nor/>
                  </m:rPr>
                  <m:t>IT</m:t>
                </m:r>
              </m:sub>
            </m:sSub>
          </m:den>
        </m:f>
      </m:oMath>
      <w:r>
        <w:rPr>
          <w:rFonts w:ascii="Calibri" w:hAnsi="Calibri"/>
          <w:color w:val="6B7280"/>
          <w:sz w:val="19"/>
        </w:rPr>
        <w:t xml:space="preserve">    (16)</w:t>
      </w:r>
    </w:p>
    <w:p>
      <w:pPr>
        <w:spacing w:after="80" w:line="276" w:lineRule="auto"/>
      </w:pPr>
      <w:r>
        <w:t>#### Tabel Notasi &amp; Definisi Variabel Persamaan (9)</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$\text{PUE}$</w:t>
            </w:r>
          </w:p>
        </w:tc>
        <w:tc>
          <w:tcPr>
            <w:tcW w:type="dxa" w:w="2484"/>
            <w:vAlign w:val="center"/>
            <w:shd w:fill="FAFAFA"/>
          </w:tcPr>
          <w:p>
            <w:r>
              <w:t>Rasio efisiensi penggunaan daya gedung data center</w:t>
            </w:r>
          </w:p>
        </w:tc>
        <w:tc>
          <w:tcPr>
            <w:tcW w:type="dxa" w:w="2484"/>
            <w:vAlign w:val="center"/>
            <w:shd w:fill="FAFAFA"/>
          </w:tcPr>
          <w:p>
            <w:r>
              <w:t>Rasio tanpa satuan</w:t>
            </w:r>
          </w:p>
        </w:tc>
        <w:tc>
          <w:tcPr>
            <w:tcW w:type="dxa" w:w="2484"/>
            <w:vAlign w:val="center"/>
            <w:shd w:fill="FAFAFA"/>
          </w:tcPr>
          <w:p>
            <w:r>
              <w:t>Target: $1.20$ – $1.25$ (Tier-IV Green Standard)</w:t>
            </w:r>
          </w:p>
        </w:tc>
      </w:tr>
      <w:tr>
        <w:tc>
          <w:tcPr>
            <w:tcW w:type="dxa" w:w="2484"/>
            <w:vAlign w:val="center"/>
          </w:tcPr>
          <w:p>
            <w:r>
              <w:t>$P_{\text{Total Facility}}$</w:t>
            </w:r>
          </w:p>
        </w:tc>
        <w:tc>
          <w:tcPr>
            <w:tcW w:type="dxa" w:w="2484"/>
            <w:vAlign w:val="center"/>
          </w:tcPr>
          <w:p>
            <w:r>
              <w:t>Total daya listrik yang ditarik dari gardu PLN</w:t>
            </w:r>
          </w:p>
        </w:tc>
        <w:tc>
          <w:tcPr>
            <w:tcW w:type="dxa" w:w="2484"/>
            <w:vAlign w:val="center"/>
          </w:tcPr>
          <w:p>
            <w:r>
              <w:t>Kilowatt ($\text{kW}$)</w:t>
            </w:r>
          </w:p>
        </w:tc>
        <w:tc>
          <w:tcPr>
            <w:tcW w:type="dxa" w:w="2484"/>
            <w:vAlign w:val="center"/>
          </w:tcPr>
          <w:p>
            <w:r>
              <w:t>$1.230\text{ kW}$ (Mode AI) vs $1.450\text{ kW}$ (Konvensional)</w:t>
            </w:r>
          </w:p>
        </w:tc>
      </w:tr>
      <w:tr>
        <w:tc>
          <w:tcPr>
            <w:tcW w:type="dxa" w:w="2484"/>
            <w:vAlign w:val="center"/>
            <w:shd w:fill="FAFAFA"/>
          </w:tcPr>
          <w:p>
            <w:r>
              <w:t>$P_{\text{IT Load}}$</w:t>
            </w:r>
          </w:p>
        </w:tc>
        <w:tc>
          <w:tcPr>
            <w:tcW w:type="dxa" w:w="2484"/>
            <w:vAlign w:val="center"/>
            <w:shd w:fill="FAFAFA"/>
          </w:tcPr>
          <w:p>
            <w:r>
              <w:t>Beban daya listrik bersih perangkat komputasi AI</w:t>
            </w:r>
          </w:p>
        </w:tc>
        <w:tc>
          <w:tcPr>
            <w:tcW w:type="dxa" w:w="2484"/>
            <w:vAlign w:val="center"/>
            <w:shd w:fill="FAFAFA"/>
          </w:tcPr>
          <w:p>
            <w:r>
              <w:t>Kilowatt ($\text{kW}$)</w:t>
            </w:r>
          </w:p>
        </w:tc>
        <w:tc>
          <w:tcPr>
            <w:tcW w:type="dxa" w:w="2484"/>
            <w:vAlign w:val="center"/>
            <w:shd w:fill="FAFAFA"/>
          </w:tcPr>
          <w:p>
            <w:r>
              <w:t>$1.000\text{ kW}$ ($1.0\text{ MegaWatt IT Facility}$)</w:t>
            </w:r>
          </w:p>
        </w:tc>
      </w:tr>
      <w:tr>
        <w:tc>
          <w:tcPr>
            <w:tcW w:type="dxa" w:w="2484"/>
            <w:vAlign w:val="center"/>
          </w:tcPr>
          <w:p>
            <w:r>
              <w:t>$P_{\text{Chiller}}$</w:t>
            </w:r>
          </w:p>
        </w:tc>
        <w:tc>
          <w:tcPr>
            <w:tcW w:type="dxa" w:w="2484"/>
            <w:vAlign w:val="center"/>
          </w:tcPr>
          <w:p>
            <w:r>
              <w:t>Beban kompresor mesin pendingin air (*chiller*)</w:t>
            </w:r>
          </w:p>
        </w:tc>
        <w:tc>
          <w:tcPr>
            <w:tcW w:type="dxa" w:w="2484"/>
            <w:vAlign w:val="center"/>
          </w:tcPr>
          <w:p>
            <w:r>
              <w:t>Kilowatt ($\text{kW}$)</w:t>
            </w:r>
          </w:p>
        </w:tc>
        <w:tc>
          <w:tcPr>
            <w:tcW w:type="dxa" w:w="2484"/>
            <w:vAlign w:val="center"/>
          </w:tcPr>
          <w:p>
            <w:r>
              <w:t>$185\text{ kW}$ (Mode AI) vs $340\text{ kW}$ (Konvensional)</w:t>
            </w:r>
          </w:p>
        </w:tc>
      </w:tr>
      <w:tr>
        <w:tc>
          <w:tcPr>
            <w:tcW w:type="dxa" w:w="2484"/>
            <w:vAlign w:val="center"/>
            <w:shd w:fill="FAFAFA"/>
          </w:tcPr>
          <w:p>
            <w:r>
              <w:t>$P_{\text{Auxiliary}}$</w:t>
            </w:r>
          </w:p>
        </w:tc>
        <w:tc>
          <w:tcPr>
            <w:tcW w:type="dxa" w:w="2484"/>
            <w:vAlign w:val="center"/>
            <w:shd w:fill="FAFAFA"/>
          </w:tcPr>
          <w:p>
            <w:r>
              <w:t>Konsumsi daya sistem pendukung (UPS, lampu, dll)</w:t>
            </w:r>
          </w:p>
        </w:tc>
        <w:tc>
          <w:tcPr>
            <w:tcW w:type="dxa" w:w="2484"/>
            <w:vAlign w:val="center"/>
            <w:shd w:fill="FAFAFA"/>
          </w:tcPr>
          <w:p>
            <w:r>
              <w:t>Kilowatt ($\text{kW}$)</w:t>
            </w:r>
          </w:p>
        </w:tc>
        <w:tc>
          <w:tcPr>
            <w:tcW w:type="dxa" w:w="2484"/>
            <w:vAlign w:val="center"/>
            <w:shd w:fill="FAFAFA"/>
          </w:tcPr>
          <w:p>
            <w:r>
              <w:t>$50\text{ kW}$ ($5\%$ dari $P_{\text{IT}}$)</w:t>
            </w:r>
          </w:p>
        </w:tc>
      </w:tr>
    </w:tbl>
    <w:p/>
    <w:p>
      <w:pPr>
        <w:pStyle w:val="Heading3"/>
        <w:spacing w:before="160" w:after="40"/>
      </w:pPr>
      <w:r>
        <w:rPr>
          <w:rFonts w:ascii="Segoe UI" w:hAnsi="Segoe UI"/>
          <w:b/>
          <w:color w:val="7828A0"/>
        </w:rPr>
        <w:t>4.10. Persamaan (10): Formulasi Tekno-Ekonomi Tarif Listrik Industri PLN</w:t>
      </w:r>
    </w:p>
    <w:p>
      <w:pPr>
        <w:spacing w:after="80" w:line="276" w:lineRule="auto"/>
      </w:pPr>
      <w:r>
        <w:t>Biaya operasional listrik (*Operational Expenditure* / OPEX) fasilitas data center dihitung menggunakan skema tarif resmi PT PLN (Persero) Golongan Tarif Industri Menengah dan Besar (I-3 / I-4) yang membedakan Waktu Beban Puncak (WBP) dan Luar Waktu Beban Puncak (LWBP):</w:t>
      </w:r>
    </w:p>
    <w:p>
      <w:pPr>
        <w:spacing w:before="160" w:after="160"/>
        <w:jc w:val="center"/>
        <w:pBdr>
          <w:left w:val="single" w:sz="24" w:space="12" w:color="AF6EFF"/>
        </w:pBdr>
        <w:shd w:fill="F8F9FC"/>
      </w:pPr>
      <m:oMath xmlns:mml="http://www.w3.org/1998/Math/MathML">
        <m:sSub>
          <m:e>
            <m:r>
              <m:rPr>
                <m:nor/>
              </m:rPr>
              <m:t>Biaya</m:t>
            </m:r>
          </m:e>
          <m:sub>
            <m:r>
              <m:rPr>
                <m:nor/>
              </m:rPr>
              <m:t>harian</m:t>
            </m:r>
          </m:sub>
        </m:sSub>
        <m:r>
          <m:t>=</m:t>
        </m:r>
        <m:r>
          <m:t>[</m:t>
        </m:r>
        <m:nary>
          <m:naryPr>
            <m:chr m:val="∫"/>
            <m:limLoc m:val="subSup"/>
            <m:grow m:val="1"/>
            <m:subHide m:val="off"/>
            <m:supHide m:val="on"/>
          </m:naryPr>
          <m:sub>
            <m:r>
              <m:t>t∈</m:t>
            </m:r>
            <m:r>
              <m:rPr>
                <m:nor/>
              </m:rPr>
              <m:t>LWBP</m:t>
            </m:r>
          </m:sub>
          <m:sup/>
          <m:e/>
        </m:nary>
        <m:sSub>
          <m:e>
            <m:r>
              <m:t>P</m:t>
            </m:r>
          </m:e>
          <m:sub>
            <m:r>
              <m:rPr>
                <m:nor/>
              </m:rPr>
              <m:t>Cooling</m:t>
            </m:r>
          </m:sub>
        </m:sSub>
        <m:r>
          <m:t>(t)</m:t>
        </m:r>
        <m:r>
          <m:t>dt×</m:t>
        </m:r>
        <m:sSub>
          <m:e>
            <m:r>
              <m:rPr>
                <m:nor/>
              </m:rPr>
              <m:t>Tarif</m:t>
            </m:r>
          </m:e>
          <m:sub>
            <m:r>
              <m:rPr>
                <m:nor/>
              </m:rPr>
              <m:t>LWBP</m:t>
            </m:r>
          </m:sub>
        </m:sSub>
        <m:r>
          <m:t>]</m:t>
        </m:r>
        <m:r>
          <m:t>+</m:t>
        </m:r>
        <m:r>
          <m:t>[</m:t>
        </m:r>
        <m:nary>
          <m:naryPr>
            <m:chr m:val="∫"/>
            <m:limLoc m:val="subSup"/>
            <m:grow m:val="1"/>
            <m:subHide m:val="off"/>
            <m:supHide m:val="on"/>
          </m:naryPr>
          <m:sub>
            <m:r>
              <m:t>t∈</m:t>
            </m:r>
            <m:r>
              <m:rPr>
                <m:nor/>
              </m:rPr>
              <m:t>WBP</m:t>
            </m:r>
          </m:sub>
          <m:sup/>
          <m:e/>
        </m:nary>
        <m:sSub>
          <m:e>
            <m:r>
              <m:t>P</m:t>
            </m:r>
          </m:e>
          <m:sub>
            <m:r>
              <m:rPr>
                <m:nor/>
              </m:rPr>
              <m:t>Cooling</m:t>
            </m:r>
          </m:sub>
        </m:sSub>
        <m:r>
          <m:t>(t)</m:t>
        </m:r>
        <m:r>
          <m:t>dt×</m:t>
        </m:r>
        <m:sSub>
          <m:e>
            <m:r>
              <m:rPr>
                <m:nor/>
              </m:rPr>
              <m:t>Tarif</m:t>
            </m:r>
          </m:e>
          <m:sub>
            <m:r>
              <m:rPr>
                <m:nor/>
              </m:rPr>
              <m:t>WBP</m:t>
            </m:r>
          </m:sub>
        </m:sSub>
        <m:r>
          <m:t>]</m:t>
        </m:r>
      </m:oMath>
      <w:r>
        <w:rPr>
          <w:rFonts w:ascii="Calibri" w:hAnsi="Calibri"/>
          <w:color w:val="6B7280"/>
          <w:sz w:val="19"/>
        </w:rPr>
        <w:t xml:space="preserve">    (17)</w:t>
      </w:r>
    </w:p>
    <w:p>
      <w:pPr>
        <w:spacing w:after="80" w:line="276" w:lineRule="auto"/>
      </w:pPr>
      <w:r>
        <w:t>Dengan skema operasional tahunan datar rata-rata, penghematan tahunan bersih dinyatakan sebagai:</w:t>
      </w:r>
    </w:p>
    <w:p>
      <w:pPr>
        <w:spacing w:before="160" w:after="160"/>
        <w:jc w:val="center"/>
        <w:pBdr>
          <w:left w:val="single" w:sz="24" w:space="12" w:color="AF6EFF"/>
        </w:pBdr>
        <w:shd w:fill="F8F9FC"/>
      </w:pPr>
      <m:oMath xmlns:mml="http://www.w3.org/1998/Math/MathML">
        <m:r>
          <m:t>Δ</m:t>
        </m:r>
        <m:sSub>
          <m:e>
            <m:r>
              <m:rPr>
                <m:nor/>
              </m:rPr>
              <m:t>OPEX</m:t>
            </m:r>
          </m:e>
          <m:sub>
            <m:r>
              <m:rPr>
                <m:nor/>
              </m:rPr>
              <m:t>tahunan</m:t>
            </m:r>
          </m:sub>
        </m:sSub>
        <m:r>
          <m:t>=</m:t>
        </m:r>
        <m:r>
          <m:t>(</m:t>
        </m:r>
        <m:sSub>
          <m:e>
            <m:r>
              <m:t>P</m:t>
            </m:r>
          </m:e>
          <m:sub>
            <m:r>
              <m:rPr>
                <m:nor/>
              </m:rPr>
              <m:t>Cooling,Conv</m:t>
            </m:r>
          </m:sub>
        </m:sSub>
        <m:r>
          <m:t>−</m:t>
        </m:r>
        <m:sSub>
          <m:e>
            <m:r>
              <m:t>P</m:t>
            </m:r>
          </m:e>
          <m:sub>
            <m:r>
              <m:rPr>
                <m:nor/>
              </m:rPr>
              <m:t>Cooling,AI</m:t>
            </m:r>
          </m:sub>
        </m:sSub>
        <m:r>
          <m:t>)</m:t>
        </m:r>
        <m:r>
          <m:t>×8.760</m:t>
        </m:r>
        <m:r>
          <m:rPr>
            <m:nor/>
          </m:rPr>
          <m:t> jam</m:t>
        </m:r>
        <m:r>
          <m:t>×</m:t>
        </m:r>
        <m:sSub>
          <m:e>
            <m:r>
              <m:rPr>
                <m:nor/>
              </m:rPr>
              <m:t>Tarif</m:t>
            </m:r>
          </m:e>
          <m:sub>
            <m:r>
              <m:rPr>
                <m:nor/>
              </m:rPr>
              <m:t>rata-rata</m:t>
            </m:r>
          </m:sub>
        </m:sSub>
      </m:oMath>
      <w:r>
        <w:rPr>
          <w:rFonts w:ascii="Calibri" w:hAnsi="Calibri"/>
          <w:color w:val="6B7280"/>
          <w:sz w:val="19"/>
        </w:rPr>
        <w:t xml:space="preserve">    (18)</w:t>
      </w:r>
    </w:p>
    <w:p>
      <w:pPr>
        <w:spacing w:after="80" w:line="276" w:lineRule="auto"/>
      </w:pPr>
      <w:r>
        <w:t xml:space="preserve">Reduksi emisi gas rumah kaca (*Greenhouse Gas*) setara </w:t>
      </w:r>
      <m:oMath xmlns:mml="http://www.w3.org/1998/Math/MathML">
        <m:r>
          <m:t>C</m:t>
        </m:r>
        <m:sSub>
          <m:e>
            <m:r>
              <m:t>O</m:t>
            </m:r>
          </m:e>
          <m:sub>
            <m:r>
              <m:t>2</m:t>
            </m:r>
          </m:sub>
        </m:sSub>
      </m:oMath>
      <w:r>
        <w:t xml:space="preserve"> dihitung menggunakan faktor emisi jaringan listrik Jawa-Madura-Bali:</w:t>
      </w:r>
    </w:p>
    <w:p>
      <w:pPr>
        <w:spacing w:before="160" w:after="160"/>
        <w:jc w:val="center"/>
        <w:pBdr>
          <w:left w:val="single" w:sz="24" w:space="12" w:color="AF6EFF"/>
        </w:pBdr>
        <w:shd w:fill="F8F9FC"/>
      </w:pPr>
      <m:oMath xmlns:mml="http://www.w3.org/1998/Math/MathML">
        <m:r>
          <m:rPr>
            <m:nor/>
          </m:rPr>
          <m:t>Reduksi </m:t>
        </m:r>
        <m:r>
          <m:t>C</m:t>
        </m:r>
        <m:sSub>
          <m:e>
            <m:r>
              <m:t>O</m:t>
            </m:r>
          </m:e>
          <m:sub>
            <m:r>
              <m:t>2</m:t>
            </m:r>
          </m:sub>
        </m:sSub>
        <m:r>
          <m:t>=Δ</m:t>
        </m:r>
        <m:sSub>
          <m:e>
            <m:r>
              <m:t>E</m:t>
            </m:r>
          </m:e>
          <m:sub>
            <m:r>
              <m:rPr>
                <m:nor/>
              </m:rPr>
              <m:t>listrik</m:t>
            </m:r>
          </m:sub>
        </m:sSub>
        <m:r>
          <m:t>(</m:t>
        </m:r>
        <m:r>
          <m:rPr>
            <m:nor/>
          </m:rPr>
          <m:t>MWh/tahun</m:t>
        </m:r>
        <m:r>
          <m:t>)×</m:t>
        </m:r>
        <m:sSub>
          <m:e>
            <m:r>
              <m:rPr>
                <m:nor/>
              </m:rPr>
              <m:t>FE</m:t>
            </m:r>
          </m:e>
          <m:sub>
            <m:r>
              <m:rPr>
                <m:nor/>
              </m:rPr>
              <m:t>PLN</m:t>
            </m:r>
          </m:sub>
        </m:sSub>
      </m:oMath>
      <w:r>
        <w:rPr>
          <w:rFonts w:ascii="Calibri" w:hAnsi="Calibri"/>
          <w:color w:val="6B7280"/>
          <w:sz w:val="19"/>
        </w:rPr>
        <w:t xml:space="preserve">    (19)</w:t>
      </w:r>
    </w:p>
    <w:p>
      <w:pPr>
        <w:spacing w:after="80" w:line="276" w:lineRule="auto"/>
      </w:pPr>
      <w:r>
        <w:t>#### Tabel Notasi &amp; Definisi Variabel Persamaan (10)</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$\text{Tarif}_{\text{LWBP}}$</w:t>
            </w:r>
          </w:p>
        </w:tc>
        <w:tc>
          <w:tcPr>
            <w:tcW w:type="dxa" w:w="2484"/>
            <w:vAlign w:val="center"/>
            <w:shd w:fill="FAFAFA"/>
          </w:tcPr>
          <w:p>
            <w:r>
              <w:t>Tarif listrik PLN Luar Waktu Beban Puncak</w:t>
            </w:r>
          </w:p>
        </w:tc>
        <w:tc>
          <w:tcPr>
            <w:tcW w:type="dxa" w:w="2484"/>
            <w:vAlign w:val="center"/>
            <w:shd w:fill="FAFAFA"/>
          </w:tcPr>
          <w:p>
            <w:r>
              <w:t>Rupiah per kWh</w:t>
            </w:r>
          </w:p>
        </w:tc>
        <w:tc>
          <w:tcPr>
            <w:tcW w:type="dxa" w:w="2484"/>
            <w:vAlign w:val="center"/>
            <w:shd w:fill="FAFAFA"/>
          </w:tcPr>
          <w:p>
            <w:r>
              <w:t>$\text{Rp } 1.300 / \text{kWh}$ (22:00 – 17:00 WIB)</w:t>
            </w:r>
          </w:p>
        </w:tc>
      </w:tr>
      <w:tr>
        <w:tc>
          <w:tcPr>
            <w:tcW w:type="dxa" w:w="2484"/>
            <w:vAlign w:val="center"/>
          </w:tcPr>
          <w:p>
            <w:r>
              <w:t>$\text{Tarif}_{\text{WBP}}$</w:t>
            </w:r>
          </w:p>
        </w:tc>
        <w:tc>
          <w:tcPr>
            <w:tcW w:type="dxa" w:w="2484"/>
            <w:vAlign w:val="center"/>
          </w:tcPr>
          <w:p>
            <w:r>
              <w:t>Tarif listrik PLN Waktu Beban Puncak ($1.5\times$)</w:t>
            </w:r>
          </w:p>
        </w:tc>
        <w:tc>
          <w:tcPr>
            <w:tcW w:type="dxa" w:w="2484"/>
            <w:vAlign w:val="center"/>
          </w:tcPr>
          <w:p>
            <w:r>
              <w:t>Rupiah per kWh</w:t>
            </w:r>
          </w:p>
        </w:tc>
        <w:tc>
          <w:tcPr>
            <w:tcW w:type="dxa" w:w="2484"/>
            <w:vAlign w:val="center"/>
          </w:tcPr>
          <w:p>
            <w:r>
              <w:t>$\text{Rp } 1.950 / \text{kWh}$ (17:00 – 22:00 WIB)</w:t>
            </w:r>
          </w:p>
        </w:tc>
      </w:tr>
      <w:tr>
        <w:tc>
          <w:tcPr>
            <w:tcW w:type="dxa" w:w="2484"/>
            <w:vAlign w:val="center"/>
            <w:shd w:fill="FAFAFA"/>
          </w:tcPr>
          <w:p>
            <w:r>
              <w:t>$\text{Tarif}_{\text{rata-rata}}$</w:t>
            </w:r>
          </w:p>
        </w:tc>
        <w:tc>
          <w:tcPr>
            <w:tcW w:type="dxa" w:w="2484"/>
            <w:vAlign w:val="center"/>
            <w:shd w:fill="FAFAFA"/>
          </w:tcPr>
          <w:p>
            <w:r>
              <w:t>Tarif rata-rata tertimbang industri nasional</w:t>
            </w:r>
          </w:p>
        </w:tc>
        <w:tc>
          <w:tcPr>
            <w:tcW w:type="dxa" w:w="2484"/>
            <w:vAlign w:val="center"/>
            <w:shd w:fill="FAFAFA"/>
          </w:tcPr>
          <w:p>
            <w:r>
              <w:t>Rupiah per kWh</w:t>
            </w:r>
          </w:p>
        </w:tc>
        <w:tc>
          <w:tcPr>
            <w:tcW w:type="dxa" w:w="2484"/>
            <w:vAlign w:val="center"/>
            <w:shd w:fill="FAFAFA"/>
          </w:tcPr>
          <w:p>
            <w:r>
              <w:t>$\text{Rp } 1.300 / \text{kWh}$</w:t>
            </w:r>
          </w:p>
        </w:tc>
      </w:tr>
      <w:tr>
        <w:tc>
          <w:tcPr>
            <w:tcW w:type="dxa" w:w="2484"/>
            <w:vAlign w:val="center"/>
          </w:tcPr>
          <w:p>
            <w:r>
              <w:t>$P_{\text{Cooling}}$</w:t>
            </w:r>
          </w:p>
        </w:tc>
        <w:tc>
          <w:tcPr>
            <w:tcW w:type="dxa" w:w="2484"/>
            <w:vAlign w:val="center"/>
          </w:tcPr>
          <w:p>
            <w:r>
              <w:t>Total daya listrik khusus sistem pendingin ($P_{\text{Chiller}} + P_{\text{Fan}}$)</w:t>
            </w:r>
          </w:p>
        </w:tc>
        <w:tc>
          <w:tcPr>
            <w:tcW w:type="dxa" w:w="2484"/>
            <w:vAlign w:val="center"/>
          </w:tcPr>
          <w:p>
            <w:r>
              <w:t>Kilowatt ($\text{kW}$)</w:t>
            </w:r>
          </w:p>
        </w:tc>
        <w:tc>
          <w:tcPr>
            <w:tcW w:type="dxa" w:w="2484"/>
            <w:vAlign w:val="center"/>
          </w:tcPr>
          <w:p>
            <w:r>
              <w:t>$275\text{ kW}$ (Mode AI) vs $410\text{ kW}$ (Konvensional)</w:t>
            </w:r>
          </w:p>
        </w:tc>
      </w:tr>
      <w:tr>
        <w:tc>
          <w:tcPr>
            <w:tcW w:type="dxa" w:w="2484"/>
            <w:vAlign w:val="center"/>
            <w:shd w:fill="FAFAFA"/>
          </w:tcPr>
          <w:p>
            <w:r>
              <w:t>$\Delta \text{OPEX}_{\text{tahunan}}$</w:t>
            </w:r>
          </w:p>
        </w:tc>
        <w:tc>
          <w:tcPr>
            <w:tcW w:type="dxa" w:w="2484"/>
            <w:vAlign w:val="center"/>
            <w:shd w:fill="FAFAFA"/>
          </w:tcPr>
          <w:p>
            <w:r>
              <w:t>Nilai total penghematan finansial uang listrik tahunan</w:t>
            </w:r>
          </w:p>
        </w:tc>
        <w:tc>
          <w:tcPr>
            <w:tcW w:type="dxa" w:w="2484"/>
            <w:vAlign w:val="center"/>
            <w:shd w:fill="FAFAFA"/>
          </w:tcPr>
          <w:p>
            <w:r>
              <w:t>Rupiah per tahun</w:t>
            </w:r>
          </w:p>
        </w:tc>
        <w:tc>
          <w:tcPr>
            <w:tcW w:type="dxa" w:w="2484"/>
            <w:vAlign w:val="center"/>
            <w:shd w:fill="FAFAFA"/>
          </w:tcPr>
          <w:p>
            <w:r>
              <w:t>**Rp 1.537.380.000 / tahun**</w:t>
            </w:r>
          </w:p>
        </w:tc>
      </w:tr>
      <w:tr>
        <w:tc>
          <w:tcPr>
            <w:tcW w:type="dxa" w:w="2484"/>
            <w:vAlign w:val="center"/>
          </w:tcPr>
          <w:p>
            <w:r>
              <w:t>$\text{FE}_{\text{PLN}}$</w:t>
            </w:r>
          </w:p>
        </w:tc>
        <w:tc>
          <w:tcPr>
            <w:tcW w:type="dxa" w:w="2484"/>
            <w:vAlign w:val="center"/>
          </w:tcPr>
          <w:p>
            <w:r>
              <w:t>Faktor emisi karbon grid ketenagalistrikan Jamali</w:t>
            </w:r>
          </w:p>
        </w:tc>
        <w:tc>
          <w:tcPr>
            <w:tcW w:type="dxa" w:w="2484"/>
            <w:vAlign w:val="center"/>
          </w:tcPr>
          <w:p>
            <w:r>
              <w:t>Ton $CO_2$ per MWh</w:t>
            </w:r>
          </w:p>
        </w:tc>
        <w:tc>
          <w:tcPr>
            <w:tcW w:type="dxa" w:w="2484"/>
            <w:vAlign w:val="center"/>
          </w:tcPr>
          <w:p>
            <w:r>
              <w:t>$0.82\text{ Ton } CO_2 / \text{MWh}$ (Kementerian ESDM)</w:t>
            </w:r>
          </w:p>
        </w:tc>
      </w:tr>
    </w:tbl>
    <w:p/>
    <w:p>
      <w:pPr>
        <w:pStyle w:val="Heading2"/>
        <w:spacing w:before="240" w:after="60"/>
      </w:pPr>
      <w:r>
        <w:rPr>
          <w:rFonts w:ascii="Segoe UI" w:hAnsi="Segoe UI"/>
          <w:b/>
          <w:color w:val="4A154B"/>
        </w:rPr>
        <w:t>BAB V. HASIL SIMULASI, VALIDASI, &amp; ANALISIS TEKNO-EKONOMI</w:t>
      </w:r>
    </w:p>
    <w:p>
      <w:pPr>
        <w:pStyle w:val="Heading3"/>
        <w:spacing w:before="160" w:after="40"/>
      </w:pPr>
      <w:r>
        <w:rPr>
          <w:rFonts w:ascii="Segoe UI" w:hAnsi="Segoe UI"/>
          <w:b/>
          <w:color w:val="7828A0"/>
        </w:rPr>
        <w:t>5.1. Komparasi Kinerja Operasional (Fasilitas 1.0 MW IT Load)</w:t>
      </w:r>
    </w:p>
    <w:p>
      <w:pPr>
        <w:spacing w:after="80" w:line="276" w:lineRule="auto"/>
      </w:pPr>
      <w:r>
        <w:t xml:space="preserve">Simulasi komparatif dilakukan dengan membandingkan sistem pendingin konvensional (CRAH ber-PID standar tanpa kontrol ubin aktif) melawan sistem </w:t>
      </w:r>
      <w:r>
        <w:rPr>
          <w:b/>
        </w:rPr>
        <w:t>ThermoGuard AI</w:t>
      </w:r>
      <w:r>
        <w:t xml:space="preserve"> pada fasilitas data center 1.0 MW IT Load (1.000 kW) di bawah kondisi cuaca Jakarta/Cikarang (33°C, 80% RH).</w:t>
      </w:r>
    </w:p>
    <w:p>
      <w:pPr>
        <w:spacing w:after="80" w:line="276" w:lineRule="auto"/>
      </w:pPr>
      <w:r>
        <w:t>#### Tabel Komparasi Teknis &amp; Finansial Komprehensif</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Parameter Kinerja &amp; Evaluasi</w:t>
            </w:r>
          </w:p>
        </w:tc>
        <w:tc>
          <w:tcPr>
            <w:tcW w:type="dxa" w:w="2484"/>
            <w:vAlign w:val="center"/>
            <w:shd w:fill="F4EDFF"/>
          </w:tcPr>
          <w:p>
            <w:r>
              <w:rPr>
                <w:b/>
                <w:color w:val="181A1A"/>
              </w:rPr>
              <w:t>Sistem Konvensional</w:t>
            </w:r>
          </w:p>
        </w:tc>
        <w:tc>
          <w:tcPr>
            <w:tcW w:type="dxa" w:w="2484"/>
            <w:vAlign w:val="center"/>
            <w:shd w:fill="F4EDFF"/>
          </w:tcPr>
          <w:p>
            <w:r>
              <w:rPr>
                <w:b/>
                <w:color w:val="181A1A"/>
              </w:rPr>
              <w:t>ThermoGuard AI Proaktif</w:t>
            </w:r>
          </w:p>
        </w:tc>
        <w:tc>
          <w:tcPr>
            <w:tcW w:type="dxa" w:w="2484"/>
            <w:vAlign w:val="center"/>
            <w:shd w:fill="F4EDFF"/>
          </w:tcPr>
          <w:p>
            <w:r>
              <w:rPr>
                <w:b/>
                <w:color w:val="181A1A"/>
              </w:rPr>
              <w:t>Selisih Keunggulan</w:t>
            </w:r>
          </w:p>
        </w:tc>
      </w:tr>
      <w:tr>
        <w:tc>
          <w:tcPr>
            <w:tcW w:type="dxa" w:w="2484"/>
            <w:vAlign w:val="center"/>
            <w:shd w:fill="FAFAFA"/>
          </w:tcPr>
          <w:p>
            <w:r>
              <w:t>**Metode Akuisisi Data**</w:t>
            </w:r>
          </w:p>
        </w:tc>
        <w:tc>
          <w:tcPr>
            <w:tcW w:type="dxa" w:w="2484"/>
            <w:vAlign w:val="center"/>
            <w:shd w:fill="FAFAFA"/>
          </w:tcPr>
          <w:p>
            <w:r>
              <w:t>Sensor Suhu Udara Intake</w:t>
            </w:r>
          </w:p>
        </w:tc>
        <w:tc>
          <w:tcPr>
            <w:tcW w:type="dxa" w:w="2484"/>
            <w:vAlign w:val="center"/>
            <w:shd w:fill="FAFAFA"/>
          </w:tcPr>
          <w:p>
            <w:r>
              <w:t>Smart PDU Listrik ($t = 0$)</w:t>
            </w:r>
          </w:p>
        </w:tc>
        <w:tc>
          <w:tcPr>
            <w:tcW w:type="dxa" w:w="2484"/>
            <w:vAlign w:val="center"/>
            <w:shd w:fill="FAFAFA"/>
          </w:tcPr>
          <w:p>
            <w:r>
              <w:t>Respons Seketika (0.1s)</w:t>
            </w:r>
          </w:p>
        </w:tc>
      </w:tr>
      <w:tr>
        <w:tc>
          <w:tcPr>
            <w:tcW w:type="dxa" w:w="2484"/>
            <w:vAlign w:val="center"/>
          </w:tcPr>
          <w:p>
            <w:r>
              <w:t>**Pemanfaatan Inersia Termal**</w:t>
            </w:r>
          </w:p>
        </w:tc>
        <w:tc>
          <w:tcPr>
            <w:tcW w:type="dxa" w:w="2484"/>
            <w:vAlign w:val="center"/>
          </w:tcPr>
          <w:p>
            <w:r>
              <w:t>Terabaikan (Pasif)</w:t>
            </w:r>
          </w:p>
        </w:tc>
        <w:tc>
          <w:tcPr>
            <w:tcW w:type="dxa" w:w="2484"/>
            <w:vAlign w:val="center"/>
          </w:tcPr>
          <w:p>
            <w:r>
              <w:t>Dieksploitasi Aktif ($\tau = 120\text{s}$)</w:t>
            </w:r>
          </w:p>
        </w:tc>
        <w:tc>
          <w:tcPr>
            <w:tcW w:type="dxa" w:w="2484"/>
            <w:vAlign w:val="center"/>
          </w:tcPr>
          <w:p>
            <w:r>
              <w:t>Jendela Pre-Cooling 2 Menit</w:t>
            </w:r>
          </w:p>
        </w:tc>
      </w:tr>
      <w:tr>
        <w:tc>
          <w:tcPr>
            <w:tcW w:type="dxa" w:w="2484"/>
            <w:vAlign w:val="center"/>
            <w:shd w:fill="FAFAFA"/>
          </w:tcPr>
          <w:p>
            <w:r>
              <w:t>**Mekanisme Distribusi Udara**</w:t>
            </w:r>
          </w:p>
        </w:tc>
        <w:tc>
          <w:tcPr>
            <w:tcW w:type="dxa" w:w="2484"/>
            <w:vAlign w:val="center"/>
            <w:shd w:fill="FAFAFA"/>
          </w:tcPr>
          <w:p>
            <w:r>
              <w:t>Ubin Statis 40% (Pasif)</w:t>
            </w:r>
          </w:p>
        </w:tc>
        <w:tc>
          <w:tcPr>
            <w:tcW w:type="dxa" w:w="2484"/>
            <w:vAlign w:val="center"/>
            <w:shd w:fill="FAFAFA"/>
          </w:tcPr>
          <w:p>
            <w:r>
              <w:t>Active VAV Tiles ($0\% - 100\%$)</w:t>
            </w:r>
          </w:p>
        </w:tc>
        <w:tc>
          <w:tcPr>
            <w:tcW w:type="dxa" w:w="2484"/>
            <w:vAlign w:val="center"/>
            <w:shd w:fill="FAFAFA"/>
          </w:tcPr>
          <w:p>
            <w:r>
              <w:t>Aliran Laminar Presisi</w:t>
            </w:r>
          </w:p>
        </w:tc>
      </w:tr>
      <w:tr>
        <w:tc>
          <w:tcPr>
            <w:tcW w:type="dxa" w:w="2484"/>
            <w:vAlign w:val="center"/>
          </w:tcPr>
          <w:p>
            <w:r>
              <w:t>**Suhu Pasokan Udara Plenum**</w:t>
            </w:r>
          </w:p>
        </w:tc>
        <w:tc>
          <w:tcPr>
            <w:tcW w:type="dxa" w:w="2484"/>
            <w:vAlign w:val="center"/>
          </w:tcPr>
          <w:p>
            <w:r>
              <w:t>11.5°C (*Over-Cooling*)</w:t>
            </w:r>
          </w:p>
        </w:tc>
        <w:tc>
          <w:tcPr>
            <w:tcW w:type="dxa" w:w="2484"/>
            <w:vAlign w:val="center"/>
          </w:tcPr>
          <w:p>
            <w:r>
              <w:t>15.0°C (*ASHRAE TC 9.9*)</w:t>
            </w:r>
          </w:p>
        </w:tc>
        <w:tc>
          <w:tcPr>
            <w:tcW w:type="dxa" w:w="2484"/>
            <w:vAlign w:val="center"/>
          </w:tcPr>
          <w:p>
            <w:r>
              <w:t>$+3.5°\text{C}$ Chiller Lift</w:t>
            </w:r>
          </w:p>
        </w:tc>
      </w:tr>
      <w:tr>
        <w:tc>
          <w:tcPr>
            <w:tcW w:type="dxa" w:w="2484"/>
            <w:vAlign w:val="center"/>
            <w:shd w:fill="FAFAFA"/>
          </w:tcPr>
          <w:p>
            <w:r>
              <w:t>**Stabilitas Suhu Rak Saat Lonjakan**</w:t>
            </w:r>
          </w:p>
        </w:tc>
        <w:tc>
          <w:tcPr>
            <w:tcW w:type="dxa" w:w="2484"/>
            <w:vAlign w:val="center"/>
            <w:shd w:fill="FAFAFA"/>
          </w:tcPr>
          <w:p>
            <w:r>
              <w:t>Melonjak hingga **44.8°C**</w:t>
            </w:r>
          </w:p>
        </w:tc>
        <w:tc>
          <w:tcPr>
            <w:tcW w:type="dxa" w:w="2484"/>
            <w:vAlign w:val="center"/>
            <w:shd w:fill="FAFAFA"/>
          </w:tcPr>
          <w:p>
            <w:r>
              <w:t>Stabil di **23.2°C**</w:t>
            </w:r>
          </w:p>
        </w:tc>
        <w:tc>
          <w:tcPr>
            <w:tcW w:type="dxa" w:w="2484"/>
            <w:vAlign w:val="center"/>
            <w:shd w:fill="FAFAFA"/>
          </w:tcPr>
          <w:p>
            <w:r>
              <w:t>Terbebas dari *Thermal Shock*</w:t>
            </w:r>
          </w:p>
        </w:tc>
      </w:tr>
      <w:tr>
        <w:tc>
          <w:tcPr>
            <w:tcW w:type="dxa" w:w="2484"/>
            <w:vAlign w:val="center"/>
          </w:tcPr>
          <w:p>
            <w:r>
              <w:t>**Daya Chiller Rata-rata**</w:t>
            </w:r>
          </w:p>
        </w:tc>
        <w:tc>
          <w:tcPr>
            <w:tcW w:type="dxa" w:w="2484"/>
            <w:vAlign w:val="center"/>
          </w:tcPr>
          <w:p>
            <w:r>
              <w:t>$345\text{ kW}$</w:t>
            </w:r>
          </w:p>
        </w:tc>
        <w:tc>
          <w:tcPr>
            <w:tcW w:type="dxa" w:w="2484"/>
            <w:vAlign w:val="center"/>
          </w:tcPr>
          <w:p>
            <w:r>
              <w:t>$238\text{ kW}$</w:t>
            </w:r>
          </w:p>
        </w:tc>
        <w:tc>
          <w:tcPr>
            <w:tcW w:type="dxa" w:w="2484"/>
            <w:vAlign w:val="center"/>
          </w:tcPr>
          <w:p>
            <w:r>
              <w:t>Hemat $107\text{ kW}$ ($31.0\%$)</w:t>
            </w:r>
          </w:p>
        </w:tc>
      </w:tr>
      <w:tr>
        <w:tc>
          <w:tcPr>
            <w:tcW w:type="dxa" w:w="2484"/>
            <w:vAlign w:val="center"/>
            <w:shd w:fill="FAFAFA"/>
          </w:tcPr>
          <w:p>
            <w:r>
              <w:t>**Daya Kipas Rata-rata**</w:t>
            </w:r>
          </w:p>
        </w:tc>
        <w:tc>
          <w:tcPr>
            <w:tcW w:type="dxa" w:w="2484"/>
            <w:vAlign w:val="center"/>
            <w:shd w:fill="FAFAFA"/>
          </w:tcPr>
          <w:p>
            <w:r>
              <w:t>$65\text{ kW}$</w:t>
            </w:r>
          </w:p>
        </w:tc>
        <w:tc>
          <w:tcPr>
            <w:tcW w:type="dxa" w:w="2484"/>
            <w:vAlign w:val="center"/>
            <w:shd w:fill="FAFAFA"/>
          </w:tcPr>
          <w:p>
            <w:r>
              <w:t>$37\text{ kW}$</w:t>
            </w:r>
          </w:p>
        </w:tc>
        <w:tc>
          <w:tcPr>
            <w:tcW w:type="dxa" w:w="2484"/>
            <w:vAlign w:val="center"/>
            <w:shd w:fill="FAFAFA"/>
          </w:tcPr>
          <w:p>
            <w:r>
              <w:t>Hemat $28\text{ kW}$ ($43.1\%$)</w:t>
            </w:r>
          </w:p>
        </w:tc>
      </w:tr>
      <w:tr>
        <w:tc>
          <w:tcPr>
            <w:tcW w:type="dxa" w:w="2484"/>
            <w:vAlign w:val="center"/>
          </w:tcPr>
          <w:p>
            <w:r>
              <w:t>**Total Daya Listrik Pendingin**</w:t>
            </w:r>
          </w:p>
        </w:tc>
        <w:tc>
          <w:tcPr>
            <w:tcW w:type="dxa" w:w="2484"/>
            <w:vAlign w:val="center"/>
          </w:tcPr>
          <w:p>
            <w:r>
              <w:t>**410 kW**</w:t>
            </w:r>
          </w:p>
        </w:tc>
        <w:tc>
          <w:tcPr>
            <w:tcW w:type="dxa" w:w="2484"/>
            <w:vAlign w:val="center"/>
          </w:tcPr>
          <w:p>
            <w:r>
              <w:t>**275 kW**</w:t>
            </w:r>
          </w:p>
        </w:tc>
        <w:tc>
          <w:tcPr>
            <w:tcW w:type="dxa" w:w="2484"/>
            <w:vAlign w:val="center"/>
          </w:tcPr>
          <w:p>
            <w:r>
              <w:t>**Hemat 135 kW (32.9%)**</w:t>
            </w:r>
          </w:p>
        </w:tc>
      </w:tr>
      <w:tr>
        <w:tc>
          <w:tcPr>
            <w:tcW w:type="dxa" w:w="2484"/>
            <w:vAlign w:val="center"/>
            <w:shd w:fill="FAFAFA"/>
          </w:tcPr>
          <w:p>
            <w:r>
              <w:t>**Power Usage Effectiveness (PUE)**</w:t>
            </w:r>
          </w:p>
        </w:tc>
        <w:tc>
          <w:tcPr>
            <w:tcW w:type="dxa" w:w="2484"/>
            <w:vAlign w:val="center"/>
            <w:shd w:fill="FAFAFA"/>
          </w:tcPr>
          <w:p>
            <w:r>
              <w:t>**1.45**</w:t>
            </w:r>
          </w:p>
        </w:tc>
        <w:tc>
          <w:tcPr>
            <w:tcW w:type="dxa" w:w="2484"/>
            <w:vAlign w:val="center"/>
            <w:shd w:fill="FAFAFA"/>
          </w:tcPr>
          <w:p>
            <w:r>
              <w:t>**1.23**</w:t>
            </w:r>
          </w:p>
        </w:tc>
        <w:tc>
          <w:tcPr>
            <w:tcW w:type="dxa" w:w="2484"/>
            <w:vAlign w:val="center"/>
            <w:shd w:fill="FAFAFA"/>
          </w:tcPr>
          <w:p>
            <w:r>
              <w:t>**Penurunan PUE Sebesar 0.22**</w:t>
            </w:r>
          </w:p>
        </w:tc>
      </w:tr>
      <w:tr>
        <w:tc>
          <w:tcPr>
            <w:tcW w:type="dxa" w:w="2484"/>
            <w:vAlign w:val="center"/>
          </w:tcPr>
          <w:p>
            <w:r>
              <w:t>**Biaya Listrik Pendingin per Bulan**</w:t>
            </w:r>
          </w:p>
        </w:tc>
        <w:tc>
          <w:tcPr>
            <w:tcW w:type="dxa" w:w="2484"/>
            <w:vAlign w:val="center"/>
          </w:tcPr>
          <w:p>
            <w:r>
              <w:t>Rp 389.090.000</w:t>
            </w:r>
          </w:p>
        </w:tc>
        <w:tc>
          <w:tcPr>
            <w:tcW w:type="dxa" w:w="2484"/>
            <w:vAlign w:val="center"/>
          </w:tcPr>
          <w:p>
            <w:r>
              <w:t>Rp 260.975.000</w:t>
            </w:r>
          </w:p>
        </w:tc>
        <w:tc>
          <w:tcPr>
            <w:tcW w:type="dxa" w:w="2484"/>
            <w:vAlign w:val="center"/>
          </w:tcPr>
          <w:p>
            <w:r>
              <w:t>**Hemat Rp 128.115.000 / bln**</w:t>
            </w:r>
          </w:p>
        </w:tc>
      </w:tr>
      <w:tr>
        <w:tc>
          <w:tcPr>
            <w:tcW w:type="dxa" w:w="2484"/>
            <w:vAlign w:val="center"/>
            <w:shd w:fill="FAFAFA"/>
          </w:tcPr>
          <w:p>
            <w:r>
              <w:t>**Biaya Listrik Pendingin per Tahun**</w:t>
            </w:r>
          </w:p>
        </w:tc>
        <w:tc>
          <w:tcPr>
            <w:tcW w:type="dxa" w:w="2484"/>
            <w:vAlign w:val="center"/>
            <w:shd w:fill="FAFAFA"/>
          </w:tcPr>
          <w:p>
            <w:r>
              <w:t>**Rp 4.669.080.000**</w:t>
            </w:r>
          </w:p>
        </w:tc>
        <w:tc>
          <w:tcPr>
            <w:tcW w:type="dxa" w:w="2484"/>
            <w:vAlign w:val="center"/>
            <w:shd w:fill="FAFAFA"/>
          </w:tcPr>
          <w:p>
            <w:r>
              <w:t>**Rp 3.131.700.000**</w:t>
            </w:r>
          </w:p>
        </w:tc>
        <w:tc>
          <w:tcPr>
            <w:tcW w:type="dxa" w:w="2484"/>
            <w:vAlign w:val="center"/>
            <w:shd w:fill="FAFAFA"/>
          </w:tcPr>
          <w:p>
            <w:r>
              <w:t>**Hemat Rp 1.537.380.000 / thn**</w:t>
            </w:r>
          </w:p>
        </w:tc>
      </w:tr>
      <w:tr>
        <w:tc>
          <w:tcPr>
            <w:tcW w:type="dxa" w:w="2484"/>
            <w:vAlign w:val="center"/>
          </w:tcPr>
          <w:p>
            <w:r>
              <w:t>**Reduksi Emisi Karbon Tahunan**</w:t>
            </w:r>
          </w:p>
        </w:tc>
        <w:tc>
          <w:tcPr>
            <w:tcW w:type="dxa" w:w="2484"/>
            <w:vAlign w:val="center"/>
          </w:tcPr>
          <w:p>
            <w:r>
              <w:t>Baseline Fasilitas</w:t>
            </w:r>
          </w:p>
        </w:tc>
        <w:tc>
          <w:tcPr>
            <w:tcW w:type="dxa" w:w="2484"/>
            <w:vAlign w:val="center"/>
          </w:tcPr>
          <w:p>
            <w:r>
              <w:t>Turun **969.8 Ton $CO_2$**</w:t>
            </w:r>
          </w:p>
        </w:tc>
        <w:tc>
          <w:tcPr>
            <w:tcW w:type="dxa" w:w="2484"/>
            <w:vAlign w:val="center"/>
          </w:tcPr>
          <w:p>
            <w:r>
              <w:t>Memenuhi Kriteria Green DC</w:t>
            </w:r>
          </w:p>
        </w:tc>
      </w:tr>
    </w:tbl>
    <w:p/>
    <w:p>
      <w:pPr>
        <w:pStyle w:val="Heading3"/>
        <w:spacing w:before="160" w:after="40"/>
      </w:pPr>
      <w:r>
        <w:rPr>
          <w:rFonts w:ascii="Segoe UI" w:hAnsi="Segoe UI"/>
          <w:b/>
          <w:color w:val="7828A0"/>
        </w:rPr>
        <w:t>5.2. Analisis Kelayakan Finansial &amp; Payback Period (CAPEX vs OPEX)</w:t>
      </w:r>
    </w:p>
    <w:p>
      <w:pPr>
        <w:spacing w:after="80" w:line="276" w:lineRule="auto"/>
      </w:pPr>
      <w:r>
        <w:t>Untuk mengimplementasikan sistem ThermoGuard AI pada fasilitas data center 1.0 MW (terdiri dari sekitar 40 rak kabinet AI), estimasi biaya investasi modal (*Capital Expenditure* / CAPEX) mencakup:</w:t>
      </w:r>
    </w:p>
    <w:p>
      <w:pPr>
        <w:pStyle w:val="ListNumber"/>
        <w:spacing w:after="80" w:line="276" w:lineRule="auto"/>
      </w:pPr>
      <w:r>
        <w:t>Pemasangan 40 unit *Active Motorized VAV Floor Tiles* dengan aktuator servo Modbus: Rp 240.000.000.</w:t>
      </w:r>
    </w:p>
    <w:p>
      <w:pPr>
        <w:pStyle w:val="ListNumber"/>
        <w:spacing w:after="80" w:line="276" w:lineRule="auto"/>
      </w:pPr>
      <w:r>
        <w:t>Pengadaan Gateway Smart PDU Telemetry &amp; Edge Computing Controller: Rp 180.000.000.</w:t>
      </w:r>
    </w:p>
    <w:p>
      <w:pPr>
        <w:pStyle w:val="ListNumber"/>
        <w:spacing w:after="80" w:line="276" w:lineRule="auto"/>
      </w:pPr>
      <w:r>
        <w:t>Integrasi perangkat lunak ThermoGuard AI &amp; Commissioning Sensor: Rp 120.000.000.</w:t>
      </w:r>
    </w:p>
    <w:p>
      <w:pPr>
        <w:pStyle w:val="ListBullet"/>
        <w:spacing w:after="80" w:line="276" w:lineRule="auto"/>
      </w:pPr>
      <w:r>
        <w:rPr>
          <w:b/>
        </w:rPr>
        <w:t>Total Estimasi CAPEX:</w:t>
      </w:r>
      <w:r>
        <w:t xml:space="preserve"> </w:t>
      </w:r>
      <w:r>
        <w:rPr>
          <w:b/>
        </w:rPr>
        <w:t>Rp 540.000.000</w:t>
      </w:r>
      <w:r>
        <w:t>.</w:t>
      </w:r>
    </w:p>
    <w:p>
      <w:pPr>
        <w:spacing w:after="80" w:line="276" w:lineRule="auto"/>
      </w:pPr>
      <w:r>
        <w:t xml:space="preserve">Dengan penghematan biaya listrik tahunan bersih sebesar </w:t>
      </w:r>
      <w:r>
        <w:rPr>
          <w:b/>
        </w:rPr>
        <w:t>Rp 1.537.380.000</w:t>
      </w:r>
      <w:r>
        <w:t>, periode pengembalian modal (*Payback Period*) dihitung sebagai berikut:</w:t>
      </w:r>
    </w:p>
    <w:p>
      <w:pPr>
        <w:spacing w:before="160" w:after="160"/>
        <w:jc w:val="center"/>
        <w:pBdr>
          <w:left w:val="single" w:sz="24" w:space="12" w:color="AF6EFF"/>
        </w:pBdr>
        <w:shd w:fill="F8F9FC"/>
      </w:pPr>
      <m:oMath xmlns:mml="http://www.w3.org/1998/Math/MathML">
        <m:r>
          <m:rPr>
            <m:nor/>
          </m:rPr>
          <m:t>Payback Period</m:t>
        </m:r>
        <m:r>
          <m:t>=</m:t>
        </m:r>
        <m:f>
          <m:fPr>
            <m:type m:val="bar"/>
          </m:fPr>
          <m:num>
            <m:r>
              <m:rPr>
                <m:nor/>
              </m:rPr>
              <m:t>Total CAPEX</m:t>
            </m:r>
          </m:num>
          <m:den>
            <m:r>
              <m:t>Δ</m:t>
            </m:r>
            <m:sSub>
              <m:e>
                <m:r>
                  <m:rPr>
                    <m:nor/>
                  </m:rPr>
                  <m:t>OPEX</m:t>
                </m:r>
              </m:e>
              <m:sub>
                <m:r>
                  <m:rPr>
                    <m:nor/>
                  </m:rPr>
                  <m:t>tahunan</m:t>
                </m:r>
              </m:sub>
            </m:sSub>
          </m:den>
        </m:f>
        <m:r>
          <m:t>=</m:t>
        </m:r>
        <m:f>
          <m:fPr>
            <m:type m:val="bar"/>
          </m:fPr>
          <m:num>
            <m:r>
              <m:rPr>
                <m:nor/>
              </m:rPr>
              <m:t>Rp </m:t>
            </m:r>
            <m:r>
              <m:t>540.000</m:t>
            </m:r>
            <m:r>
              <m:rPr>
                <m:sty m:val="p"/>
              </m:rPr>
              <m:t>.000</m:t>
            </m:r>
          </m:num>
          <m:den>
            <m:r>
              <m:rPr>
                <m:nor/>
              </m:rPr>
              <m:t>Rp </m:t>
            </m:r>
            <m:r>
              <m:t>1.537</m:t>
            </m:r>
            <m:r>
              <m:rPr>
                <m:sty m:val="p"/>
              </m:rPr>
              <m:t>.380.000</m:t>
            </m:r>
            <m:r>
              <m:t>/</m:t>
            </m:r>
            <m:r>
              <m:rPr>
                <m:nor/>
              </m:rPr>
              <m:t>tahun</m:t>
            </m:r>
          </m:den>
        </m:f>
        <m:r>
          <m:t>≈0.351</m:t>
        </m:r>
        <m:r>
          <m:rPr>
            <m:nor/>
          </m:rPr>
          <m:t> tahun</m:t>
        </m:r>
        <m:r>
          <m:t>(</m:t>
        </m:r>
        <m:r>
          <m:rPr>
            <m:sty m:val="b"/>
          </m:rPr>
          <m:t>≈4.2</m:t>
        </m:r>
        <m:r>
          <m:rPr>
            <m:nor/>
            <m:sty m:val="b"/>
          </m:rPr>
          <m:t> Bulan!</m:t>
        </m:r>
        <m:r>
          <m:t>)</m:t>
        </m:r>
      </m:oMath>
      <w:r>
        <w:rPr>
          <w:rFonts w:ascii="Calibri" w:hAnsi="Calibri"/>
          <w:color w:val="6B7280"/>
          <w:sz w:val="19"/>
        </w:rPr>
        <w:t xml:space="preserve">    (20)</w:t>
      </w:r>
    </w:p>
    <w:p>
      <w:pPr>
        <w:spacing w:after="80" w:line="276" w:lineRule="auto"/>
      </w:pPr>
      <w:r>
        <w:t xml:space="preserve">Nilai *Return on Investment* (ROI) dalam kurun waktu 3 tahun mencapai lebih dari </w:t>
      </w:r>
      <w:r>
        <w:rPr>
          <w:b/>
        </w:rPr>
        <w:t>750%</w:t>
      </w:r>
      <w:r>
        <w:t>, membuktikan bahwa inovasi ini tidak hanya unggul secara akademis dan teknis rekayasa, namun juga sangat layak secara komersial bagi ekosistem industri data center nasional.</w:t>
      </w:r>
    </w:p>
    <w:p>
      <w:pPr>
        <w:pStyle w:val="Heading2"/>
        <w:spacing w:before="240" w:after="60"/>
      </w:pPr>
      <w:r>
        <w:rPr>
          <w:rFonts w:ascii="Segoe UI" w:hAnsi="Segoe UI"/>
          <w:b/>
          <w:color w:val="4A154B"/>
        </w:rPr>
        <w:t>BAB VI. KESIMPULAN, REKOMENDASI, &amp; ROADMAP HILIRISASI</w:t>
      </w:r>
    </w:p>
    <w:p>
      <w:pPr>
        <w:pStyle w:val="Heading3"/>
        <w:spacing w:before="160" w:after="40"/>
      </w:pPr>
      <w:r>
        <w:rPr>
          <w:rFonts w:ascii="Segoe UI" w:hAnsi="Segoe UI"/>
          <w:b/>
          <w:color w:val="7828A0"/>
        </w:rPr>
        <w:t>6.1. Kesimpulan</w:t>
      </w:r>
    </w:p>
    <w:p>
      <w:pPr>
        <w:pStyle w:val="ListNumber"/>
        <w:spacing w:after="80" w:line="276" w:lineRule="auto"/>
      </w:pPr>
      <w:r>
        <w:rPr>
          <w:b/>
        </w:rPr>
        <w:t>Inovasi Non-Intrusif yang Relevan:</w:t>
      </w:r>
      <w:r>
        <w:t xml:space="preserve"> Penggunaan *Smart PDU Power-First Sensing* terbukti mampu mengatasi dilema privasi *tenant colocation* di Indonesia, mendeteksi penarikan daya listrik seketika (</w:t>
      </w:r>
      <m:oMath xmlns:mml="http://www.w3.org/1998/Math/MathML">
        <m:r>
          <m:t>t=0</m:t>
        </m:r>
      </m:oMath>
      <w:r>
        <w:t>) tanpa membutuhkan izin membaca sistem operasi atau antrean tugas komputasi server.</w:t>
      </w:r>
    </w:p>
    <w:p>
      <w:pPr>
        <w:pStyle w:val="ListNumber"/>
        <w:spacing w:after="80" w:line="276" w:lineRule="auto"/>
      </w:pPr>
      <w:r>
        <w:rPr>
          <w:b/>
        </w:rPr>
        <w:t>Kemenangan Eksploitasi Fisika:</w:t>
      </w:r>
      <w:r>
        <w:t xml:space="preserve"> Pemanfaatan jendela inersia termal alami sasis server (</w:t>
      </w:r>
      <m:oMath xmlns:mml="http://www.w3.org/1998/Math/MathML">
        <m:r>
          <m:t>τ=120</m:t>
        </m:r>
        <m:r>
          <m:rPr>
            <m:nor/>
          </m:rPr>
          <m:t>s</m:t>
        </m:r>
      </m:oMath>
      <w:r>
        <w:t>) memberikan waktu reaksi yang cukup bagi aktuator VAV ubin lantai untuk mengalirkan udara sejuk secara preventif (*pre-cooling*), menjaga suhu operasional rak stabil di 23.2°C (standar ASHRAE TC 9.9) dan mencegah kerusakan termal pada chip GPU berharga mahal.</w:t>
      </w:r>
    </w:p>
    <w:p>
      <w:pPr>
        <w:pStyle w:val="ListNumber"/>
        <w:spacing w:after="80" w:line="276" w:lineRule="auto"/>
      </w:pPr>
      <w:r>
        <w:rPr>
          <w:b/>
        </w:rPr>
        <w:t>Dampak Ekonomi &amp; Keberlanjutan Nyata:</w:t>
      </w:r>
      <w:r>
        <w:t xml:space="preserve"> ThermoGuard AI menurunkan PUE fasilitas dari 1.45 menjadi 1.23, memangkas tagihan listrik PLN sebesar Rp 1,53 Miliar per tahun per MW IT, dengan *payback period* sangat singkat (4.2 bulan) serta mereduksi emisi karbon hingga 969 Ton </w:t>
      </w:r>
      <m:oMath xmlns:mml="http://www.w3.org/1998/Math/MathML">
        <m:r>
          <m:t>C</m:t>
        </m:r>
        <m:sSub>
          <m:e>
            <m:r>
              <m:t>O</m:t>
            </m:r>
          </m:e>
          <m:sub>
            <m:r>
              <m:t>2</m:t>
            </m:r>
          </m:sub>
        </m:sSub>
      </m:oMath>
      <w:r>
        <w:t xml:space="preserve"> per tahun guna mendukung target *Net Zero Emission 2060* Indonesia.</w:t>
      </w:r>
    </w:p>
    <w:p>
      <w:pPr>
        <w:pStyle w:val="Heading3"/>
        <w:spacing w:before="160" w:after="40"/>
      </w:pPr>
      <w:r>
        <w:rPr>
          <w:rFonts w:ascii="Segoe UI" w:hAnsi="Segoe UI"/>
          <w:b/>
          <w:color w:val="7828A0"/>
        </w:rPr>
        <w:t>6.2. Rekomendasi &amp; Roadmap Hilirisasi</w:t>
      </w:r>
    </w:p>
    <w:p>
      <w:pPr>
        <w:pStyle w:val="ListBullet"/>
        <w:spacing w:after="80" w:line="276" w:lineRule="auto"/>
      </w:pPr>
      <w:r>
        <w:rPr>
          <w:b/>
        </w:rPr>
        <w:t>Fase 1 (Pilot Project):</w:t>
      </w:r>
      <w:r>
        <w:t xml:space="preserve"> Penerapan uji coba skala *proof-of-concept* pada kluster inferensi kecerdasan buatan 100 kW di fasilitas data center lokal.</w:t>
      </w:r>
    </w:p>
    <w:p>
      <w:pPr>
        <w:pStyle w:val="ListBullet"/>
        <w:spacing w:after="80" w:line="276" w:lineRule="auto"/>
      </w:pPr>
      <w:r>
        <w:rPr>
          <w:b/>
        </w:rPr>
        <w:t>Fase 2 (Integrasi Dynamic Grid PLN):</w:t>
      </w:r>
      <w:r>
        <w:t xml:space="preserve"> Mengembangkan modul optimasi tarif beban puncak PLN (WBP 17:00 – 22:00 WIB) yang bersinergi dengan sistem baterai penyimpan energi (*Battery Energy Storage System* / BESS).</w:t>
      </w:r>
    </w:p>
    <w:p>
      <w:pPr>
        <w:pStyle w:val="ListBullet"/>
        <w:spacing w:after="80" w:line="276" w:lineRule="auto"/>
      </w:pPr>
      <w:r>
        <w:rPr>
          <w:b/>
        </w:rPr>
        <w:t>Fase 3 (Hilirisasi Nasional):</w:t>
      </w:r>
      <w:r>
        <w:t xml:space="preserve"> Standardisasi sistem kontrol pendingin proaktif lokal untuk sertifikasi *Green Data Center* Kementerian Komunikasi dan Digital (Komdigi) serta Kementerian ESDM.</w:t>
      </w:r>
    </w:p>
    <w:p>
      <w:pPr>
        <w:pStyle w:val="Heading2"/>
        <w:spacing w:before="240" w:after="60"/>
      </w:pPr>
      <w:r>
        <w:rPr>
          <w:rFonts w:ascii="Segoe UI" w:hAnsi="Segoe UI"/>
          <w:b/>
          <w:color w:val="4A154B"/>
        </w:rPr>
        <w:t>DAFTAR PUSTAKA</w:t>
      </w:r>
    </w:p>
    <w:p>
      <w:pPr>
        <w:pStyle w:val="ListNumber"/>
        <w:spacing w:after="80" w:line="276" w:lineRule="auto"/>
      </w:pPr>
      <w:r>
        <w:rPr>
          <w:b/>
        </w:rPr>
        <w:t>ASHRAE Technical Committee 9.9.</w:t>
      </w:r>
      <w:r>
        <w:t xml:space="preserve"> (2021). *Thermal Guidelines for Data Processing Environments (5th Edition)*. American Society of Heating, Refrigerating and Air-Conditioning Engineers, Atlanta, GA.</w:t>
      </w:r>
    </w:p>
    <w:p>
      <w:pPr>
        <w:pStyle w:val="ListNumber"/>
        <w:spacing w:after="80" w:line="276" w:lineRule="auto"/>
      </w:pPr>
      <w:r>
        <w:rPr>
          <w:b/>
        </w:rPr>
        <w:t>Uptime Institute.</w:t>
      </w:r>
      <w:r>
        <w:t xml:space="preserve"> (2022). *Tier Standard: Topology - Data Center Site Infrastructure Tier Standard*. Uptime Institute Professional Services, New York.</w:t>
      </w:r>
    </w:p>
    <w:p>
      <w:pPr>
        <w:pStyle w:val="ListNumber"/>
        <w:spacing w:after="80" w:line="276" w:lineRule="auto"/>
      </w:pPr>
      <w:r>
        <w:rPr>
          <w:b/>
        </w:rPr>
        <w:t>DeepMind Technologies &amp; Google LLC.</w:t>
      </w:r>
      <w:r>
        <w:t xml:space="preserve"> (2018). *Safety-first AI for autonomous data centre cooling and energy optimization*. Google Cloud Technical Report.</w:t>
      </w:r>
    </w:p>
    <w:p>
      <w:pPr>
        <w:pStyle w:val="ListNumber"/>
        <w:spacing w:after="80" w:line="276" w:lineRule="auto"/>
      </w:pPr>
      <w:r>
        <w:rPr>
          <w:b/>
        </w:rPr>
        <w:t>Kementerian Energi dan Sumber Daya Mineral (ESDM) Republik Indonesia.</w:t>
      </w:r>
      <w:r>
        <w:t xml:space="preserve"> (2023). *Laporan Faktor Emisi Gas Rumah Kaca Sektor Ketenagalistrikan Sistem Ketenagalistrikan Jawa-Madura-Bali*. Direktorat Jenderal Ketenagalistrikan, Jakarta.</w:t>
      </w:r>
    </w:p>
    <w:p>
      <w:pPr>
        <w:pStyle w:val="ListNumber"/>
        <w:spacing w:after="80" w:line="276" w:lineRule="auto"/>
      </w:pPr>
      <w:r>
        <w:rPr>
          <w:b/>
        </w:rPr>
        <w:t>PT PLN (Persero).</w:t>
      </w:r>
      <w:r>
        <w:t xml:space="preserve"> (2024). *Tarif Tenaga Listrik (TTL) Penyesuaian Tarif Golongan Pelanggan Industri Menengah dan Besar (I-3 dan I-4)*. Peraturan Menteri ESDM No. 8 Tahun 2023.</w:t>
      </w:r>
    </w:p>
    <w:p>
      <w:pPr>
        <w:pStyle w:val="ListNumber"/>
        <w:spacing w:after="80" w:line="276" w:lineRule="auto"/>
      </w:pPr>
      <w:r>
        <w:rPr>
          <w:b/>
        </w:rPr>
        <w:t>Schmidt, R., &amp; Iyengar, M.</w:t>
      </w:r>
      <w:r>
        <w:t xml:space="preserve"> (2015). *Thermal Design of High-Performance Data Centers*. ASME Press, New York.</w:t>
      </w:r>
    </w:p>
    <w:p>
      <w:pPr>
        <w:pStyle w:val="ListNumber"/>
        <w:spacing w:after="80" w:line="276" w:lineRule="auto"/>
      </w:pPr>
      <w:r>
        <w:rPr>
          <w:b/>
        </w:rPr>
        <w:t>Barroso, L. A., &amp; Hölzle, U.</w:t>
      </w:r>
      <w:r>
        <w:t xml:space="preserve"> (2019). *The Datacenter as a Computer: Designing Warehouse-Scale Machines (3rd Edition)*. Morgan &amp; Claypool Publishers.</w:t>
      </w:r>
    </w:p>
    <w:p>
      <w:pPr>
        <w:pStyle w:val="ListNumber"/>
        <w:spacing w:after="80" w:line="276" w:lineRule="auto"/>
      </w:pPr>
      <w:r>
        <w:rPr>
          <w:b/>
        </w:rPr>
        <w:t>ISO/IEC 30134-2.</w:t>
      </w:r>
      <w:r>
        <w:t xml:space="preserve"> (2016). *Information technology — Data centres — Key performance indicators — Part 2: Power usage effectiveness (PUE)*. International Organization for Standardization, Geneva.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