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2400"/>
        <w:jc w:val="center"/>
      </w:pPr>
      <w:r>
        <w:rPr>
          <w:rFonts w:ascii="Calibri" w:cs="Calibri" w:eastAsia="Calibri" w:hAnsi="Calibri"/>
          <w:b/>
          <w:bCs/>
          <w:sz w:val="32"/>
          <w:szCs w:val="32"/>
        </w:rPr>
        <w:t xml:space="preserve">Universidad del Valle de Guatemala</w:t>
      </w:r>
    </w:p>
    <w:p>
      <w:pPr>
        <w:spacing w:after="400"/>
        <w:jc w:val="center"/>
      </w:pPr>
      <w:r>
        <w:rPr>
          <w:rFonts w:ascii="Calibri" w:cs="Calibri" w:eastAsia="Calibri" w:hAnsi="Calibri"/>
          <w:b/>
          <w:bCs/>
          <w:sz w:val="40"/>
          <w:szCs w:val="40"/>
        </w:rPr>
        <w:t xml:space="preserve">Página Web - AEUVG</w:t>
      </w:r>
    </w:p>
    <w:p>
      <w:pPr>
        <w:spacing w:after="2000"/>
        <w:jc w:val="center"/>
      </w:pPr>
      <w:r>
        <w:rPr>
          <w:rFonts w:ascii="Calibri" w:cs="Calibri" w:eastAsia="Calibri" w:hAnsi="Calibri"/>
          <w:sz w:val="30"/>
          <w:szCs w:val="30"/>
        </w:rPr>
        <w:t xml:space="preserve">Documento de Desarrollo del Sprint 1</w:t>
      </w:r>
    </w:p>
    <w:p>
      <w:pPr>
        <w:spacing w:after="200"/>
        <w:jc w:val="center"/>
      </w:pPr>
      <w:r>
        <w:rPr>
          <w:rFonts w:ascii="Calibri" w:cs="Calibri" w:eastAsia="Calibri" w:hAnsi="Calibri"/>
          <w:sz w:val="24"/>
          <w:szCs w:val="24"/>
        </w:rPr>
        <w:t xml:space="preserve">Harry Daniel Méndez Mendoza - 24089</w:t>
      </w:r>
    </w:p>
    <w:p>
      <w:pPr>
        <w:spacing w:after="2000"/>
        <w:jc w:val="center"/>
      </w:pPr>
      <w:r>
        <w:rPr>
          <w:rFonts w:ascii="Calibri" w:cs="Calibri" w:eastAsia="Calibri" w:hAnsi="Calibri"/>
          <w:sz w:val="24"/>
          <w:szCs w:val="24"/>
        </w:rPr>
        <w:t xml:space="preserve">Juan Gabriel Gualim Molina - 24852</w:t>
      </w:r>
    </w:p>
    <w:p>
      <w:pPr>
        <w:spacing w:after="160" w:line="300"/>
        <w:jc w:val="center"/>
      </w:pPr>
      <w:r>
        <w:rPr>
          <w:rFonts w:ascii="Calibri" w:cs="Calibri" w:eastAsia="Calibri" w:hAnsi="Calibri"/>
          <w:sz w:val="24"/>
          <w:szCs w:val="24"/>
        </w:rPr>
        <w:t xml:space="preserve">Guatemala, 29 de agosto del 2026</w:t>
      </w:r>
    </w:p>
    <w:p>
      <w:r>
        <w:br w:type="page"/>
      </w:r>
    </w:p>
    <w:p>
      <w:pPr>
        <w:pStyle w:val="Heading1"/>
        <w:spacing w:after="200" w:before="360"/>
      </w:pPr>
      <w:r>
        <w:rPr>
          <w:rFonts w:ascii="Calibri" w:cs="Calibri" w:eastAsia="Calibri" w:hAnsi="Calibri"/>
          <w:b/>
          <w:bCs/>
          <w:color w:val="1F3864"/>
          <w:sz w:val="30"/>
          <w:szCs w:val="30"/>
        </w:rPr>
        <w:t xml:space="preserve">1. Introducción</w:t>
      </w:r>
    </w:p>
    <w:p>
      <w:pPr>
        <w:spacing w:after="160" w:line="300"/>
        <w:jc w:val="both"/>
      </w:pPr>
      <w:r>
        <w:rPr>
          <w:rFonts w:ascii="Calibri" w:cs="Calibri" w:eastAsia="Calibri" w:hAnsi="Calibri"/>
          <w:sz w:val="22"/>
          <w:szCs w:val="22"/>
        </w:rPr>
        <w:t xml:space="preserve">El presente documento registra el desarrollo del Sprint 1 - Fundamentos del sistema (26 de agosto al 8 de septiembre de 2026) del proyecto de la plataforma web de la Asociación General de Estudiantes de la Universidad del Valle de Guatemala (AEUVG). Complementa la planificación del Sprint 1, documentando las decisiones técnicas tomadas y el trabajo implementado para cada historia de usuario.</w:t>
      </w:r>
    </w:p>
    <w:p>
      <w:pPr>
        <w:spacing w:after="160" w:line="300"/>
        <w:jc w:val="both"/>
      </w:pPr>
      <w:r>
        <w:rPr>
          <w:rFonts w:ascii="Calibri" w:cs="Calibri" w:eastAsia="Calibri" w:hAnsi="Calibri"/>
          <w:sz w:val="22"/>
          <w:szCs w:val="22"/>
        </w:rPr>
        <w:t xml:space="preserve">Este documento se actualiza conforme avanza el sprint: cada historia de usuario completada agrega su sección correspondiente, de manera que al cierre del sprint el documento refleje el incremento entregado en su totalidad.</w:t>
      </w:r>
    </w:p>
    <w:p>
      <w:pPr>
        <w:pStyle w:val="Heading1"/>
        <w:spacing w:after="200" w:before="360"/>
      </w:pPr>
      <w:r>
        <w:rPr>
          <w:rFonts w:ascii="Calibri" w:cs="Calibri" w:eastAsia="Calibri" w:hAnsi="Calibri"/>
          <w:b/>
          <w:bCs/>
          <w:color w:val="1F3864"/>
          <w:sz w:val="30"/>
          <w:szCs w:val="30"/>
        </w:rPr>
        <w:t xml:space="preserve">2. HU-01 - Configuración del proyecto, repositorio y despliegue en Railway</w:t>
      </w:r>
    </w:p>
    <w:p>
      <w:pPr>
        <w:spacing w:after="160" w:line="300"/>
        <w:jc w:val="both"/>
      </w:pPr>
      <w:r>
        <w:rPr>
          <w:rFonts w:ascii="Calibri" w:cs="Calibri" w:eastAsia="Calibri" w:hAnsi="Calibri"/>
          <w:sz w:val="22"/>
          <w:szCs w:val="22"/>
        </w:rPr>
        <w:t xml:space="preserve">Historia: como equipo de desarrollo, se necesita el proyecto configurado, versionado y desplegado en Railway, para que AEUVG pueda revisar el avance de la plataforma desde internet al finalizar cada sprint.</w:t>
      </w:r>
    </w:p>
    <w:p>
      <w:pPr>
        <w:pStyle w:val="Heading2"/>
        <w:spacing w:after="160" w:before="280"/>
      </w:pPr>
      <w:r>
        <w:rPr>
          <w:rFonts w:ascii="Calibri" w:cs="Calibri" w:eastAsia="Calibri" w:hAnsi="Calibri"/>
          <w:b/>
          <w:bCs/>
          <w:color w:val="2E5395"/>
          <w:sz w:val="25"/>
          <w:szCs w:val="25"/>
        </w:rPr>
        <w:t xml:space="preserve">2.1. Selección del stack tecnológico (T-01.1)</w:t>
      </w:r>
    </w:p>
    <w:p>
      <w:pPr>
        <w:spacing w:after="160" w:line="300"/>
        <w:jc w:val="both"/>
      </w:pPr>
      <w:r>
        <w:rPr>
          <w:rFonts w:ascii="Calibri" w:cs="Calibri" w:eastAsia="Calibri" w:hAnsi="Calibri"/>
          <w:sz w:val="22"/>
          <w:szCs w:val="22"/>
        </w:rPr>
        <w:t xml:space="preserve">El stack se seleccionó considerando las restricciones del proyecto: un equipo de dos desarrolladores, seis sprints de desarrollo, un presupuesto de operación inicial de US$5 mensuales en Railway, una escala esperada de aproximadamente 3,000 estudiantes registrados con 500 visitas diarias, y la necesidad de que el sistema se mantenga en producción durante varios años.</w:t>
      </w:r>
    </w:p>
    <w:p>
      <w:pPr>
        <w:spacing w:after="160" w:line="300"/>
        <w:jc w:val="both"/>
      </w:pPr>
      <w:r>
        <w:rPr>
          <w:rFonts w:ascii="Calibri" w:cs="Calibri" w:eastAsia="Calibri" w:hAnsi="Calibri"/>
          <w:sz w:val="22"/>
          <w:szCs w:val="22"/>
        </w:rPr>
        <w:t xml:space="preserve">Se adoptó una arquitectura monolítica full-stack: un solo proyecto que contiene el frontend y el backend, desplegado como un único servicio conectado a una base de datos PostgreSQL. A la escala esperada, separar frontend y backend en servicios independientes duplicaría el consumo de recursos sin beneficio técnico; el monolito permite además compartir el lenguaje (TypeScript), los tipos y las validaciones en todo el proyecto, y simplifica el despliegue continuo. La separación entre frontend y backend se mantiene en la estructura interna: los componentes de interfaz nunca acceden directamente a la base de datos, sino a través de los endpoints y la lógica que corren en el servidor.</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shd w:fill="D9E2F3" w:val="clear"/>
            <w:tcMar>
              <w:top w:type="dxa" w:w="80"/>
              <w:left w:type="dxa" w:w="120"/>
              <w:bottom w:type="dxa" w:w="80"/>
              <w:right w:type="dxa" w:w="120"/>
            </w:tcMar>
          </w:tcPr>
          <w:p>
            <w:pPr>
              <w:spacing w:after="0"/>
            </w:pPr>
            <w:r>
              <w:rPr>
                <w:rFonts w:ascii="Calibri" w:cs="Calibri" w:eastAsia="Calibri" w:hAnsi="Calibri"/>
                <w:b/>
                <w:bCs/>
                <w:sz w:val="20"/>
                <w:szCs w:val="20"/>
              </w:rPr>
              <w:t xml:space="preserve">Capa</w:t>
            </w:r>
          </w:p>
        </w:tc>
        <w:tc>
          <w:tcPr>
            <w:tcW w:type="dxa" w:w="3200"/>
            <w:shd w:fill="D9E2F3" w:val="clear"/>
            <w:tcMar>
              <w:top w:type="dxa" w:w="80"/>
              <w:left w:type="dxa" w:w="120"/>
              <w:bottom w:type="dxa" w:w="80"/>
              <w:right w:type="dxa" w:w="120"/>
            </w:tcMar>
          </w:tcPr>
          <w:p>
            <w:pPr>
              <w:spacing w:after="0"/>
            </w:pPr>
            <w:r>
              <w:rPr>
                <w:rFonts w:ascii="Calibri" w:cs="Calibri" w:eastAsia="Calibri" w:hAnsi="Calibri"/>
                <w:b/>
                <w:bCs/>
                <w:sz w:val="20"/>
                <w:szCs w:val="20"/>
              </w:rPr>
              <w:t xml:space="preserve">Tecnología</w:t>
            </w:r>
          </w:p>
        </w:tc>
        <w:tc>
          <w:tcPr>
            <w:tcW w:type="dxa" w:w="3760"/>
            <w:shd w:fill="D9E2F3" w:val="clear"/>
            <w:tcMar>
              <w:top w:type="dxa" w:w="80"/>
              <w:left w:type="dxa" w:w="120"/>
              <w:bottom w:type="dxa" w:w="80"/>
              <w:right w:type="dxa" w:w="120"/>
            </w:tcMar>
          </w:tcPr>
          <w:p>
            <w:pPr>
              <w:spacing w:after="0"/>
            </w:pPr>
            <w:r>
              <w:rPr>
                <w:rFonts w:ascii="Calibri" w:cs="Calibri" w:eastAsia="Calibri" w:hAnsi="Calibri"/>
                <w:b/>
                <w:bCs/>
                <w:sz w:val="20"/>
                <w:szCs w:val="20"/>
              </w:rPr>
              <w:t xml:space="preserve">Justificación</w:t>
            </w:r>
          </w:p>
        </w:tc>
      </w:tr>
      <w:tr>
        <w:tc>
          <w:tcPr>
            <w:tcW w:type="dxa" w:w="24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Frontend</w:t>
            </w:r>
          </w:p>
        </w:tc>
        <w:tc>
          <w:tcPr>
            <w:tcW w:type="dxa" w:w="3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Next.js 16 (App Router), React 19, TypeScript 5</w:t>
            </w:r>
          </w:p>
        </w:tc>
        <w:tc>
          <w:tcPr>
            <w:tcW w:type="dxa" w:w="37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Framework React de mayor adopción; renderizado en servidor para SEO y rendimiento móvil.</w:t>
            </w:r>
          </w:p>
        </w:tc>
      </w:tr>
      <w:tr>
        <w:tc>
          <w:tcPr>
            <w:tcW w:type="dxa" w:w="24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Estilos / UI</w:t>
            </w:r>
          </w:p>
        </w:tc>
        <w:tc>
          <w:tcPr>
            <w:tcW w:type="dxa" w:w="3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Tailwind CSS 4 + shadcn/ui</w:t>
            </w:r>
          </w:p>
        </w:tc>
        <w:tc>
          <w:tcPr>
            <w:tcW w:type="dxa" w:w="37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Interfaz consistente, responsive y personalizable a la identidad de AEUVG.</w:t>
            </w:r>
          </w:p>
        </w:tc>
      </w:tr>
      <w:tr>
        <w:tc>
          <w:tcPr>
            <w:tcW w:type="dxa" w:w="24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Backend</w:t>
            </w:r>
          </w:p>
        </w:tc>
        <w:tc>
          <w:tcPr>
            <w:tcW w:type="dxa" w:w="3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API Routes / Server Actions de Next.js</w:t>
            </w:r>
          </w:p>
        </w:tc>
        <w:tc>
          <w:tcPr>
            <w:tcW w:type="dxa" w:w="37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Endpoints y lógica de negocio en el mismo proyecto y despliegue.</w:t>
            </w:r>
          </w:p>
        </w:tc>
      </w:tr>
      <w:tr>
        <w:tc>
          <w:tcPr>
            <w:tcW w:type="dxa" w:w="24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ORM</w:t>
            </w:r>
          </w:p>
        </w:tc>
        <w:tc>
          <w:tcPr>
            <w:tcW w:type="dxa" w:w="3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Prisma</w:t>
            </w:r>
          </w:p>
        </w:tc>
        <w:tc>
          <w:tcPr>
            <w:tcW w:type="dxa" w:w="37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Migraciones versionadas en git y esquema declarativo del modelo de datos.</w:t>
            </w:r>
          </w:p>
        </w:tc>
      </w:tr>
      <w:tr>
        <w:tc>
          <w:tcPr>
            <w:tcW w:type="dxa" w:w="24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Base de datos</w:t>
            </w:r>
          </w:p>
        </w:tc>
        <w:tc>
          <w:tcPr>
            <w:tcW w:type="dxa" w:w="3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PostgreSQL 17 (Railway)</w:t>
            </w:r>
          </w:p>
        </w:tc>
        <w:tc>
          <w:tcPr>
            <w:tcW w:type="dxa" w:w="37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Definida en el documento del proyecto; modelo relacional con respaldos administrados.</w:t>
            </w:r>
          </w:p>
        </w:tc>
      </w:tr>
      <w:tr>
        <w:tc>
          <w:tcPr>
            <w:tcW w:type="dxa" w:w="24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Autenticación</w:t>
            </w:r>
          </w:p>
        </w:tc>
        <w:tc>
          <w:tcPr>
            <w:tcW w:type="dxa" w:w="3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Auth.js (NextAuth v5)</w:t>
            </w:r>
          </w:p>
        </w:tc>
        <w:tc>
          <w:tcPr>
            <w:tcW w:type="dxa" w:w="37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Registro, sesiones, recuperación de contraseña y roles; registro restringido a correos UVG.</w:t>
            </w:r>
          </w:p>
        </w:tc>
      </w:tr>
      <w:tr>
        <w:tc>
          <w:tcPr>
            <w:tcW w:type="dxa" w:w="24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Validación</w:t>
            </w:r>
          </w:p>
        </w:tc>
        <w:tc>
          <w:tcPr>
            <w:tcW w:type="dxa" w:w="3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Zod</w:t>
            </w:r>
          </w:p>
        </w:tc>
        <w:tc>
          <w:tcPr>
            <w:tcW w:type="dxa" w:w="37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Mismos esquemas de validación en cliente y servidor.</w:t>
            </w:r>
          </w:p>
        </w:tc>
      </w:tr>
      <w:tr>
        <w:tc>
          <w:tcPr>
            <w:tcW w:type="dxa" w:w="24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Excel / PDF</w:t>
            </w:r>
          </w:p>
        </w:tc>
        <w:tc>
          <w:tcPr>
            <w:tcW w:type="dxa" w:w="3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exceljs y pdfmake</w:t>
            </w:r>
          </w:p>
        </w:tc>
        <w:tc>
          <w:tcPr>
            <w:tcW w:type="dxa" w:w="37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Importación y exportación de horas beca y reportes (sprints 4 y 5).</w:t>
            </w:r>
          </w:p>
        </w:tc>
      </w:tr>
      <w:tr>
        <w:tc>
          <w:tcPr>
            <w:tcW w:type="dxa" w:w="24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Correos</w:t>
            </w:r>
          </w:p>
        </w:tc>
        <w:tc>
          <w:tcPr>
            <w:tcW w:type="dxa" w:w="3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Resend</w:t>
            </w:r>
          </w:p>
        </w:tc>
        <w:tc>
          <w:tcPr>
            <w:tcW w:type="dxa" w:w="37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Correos transaccionales; plan gratuito de ~3,000 correos mensuales.</w:t>
            </w:r>
          </w:p>
        </w:tc>
      </w:tr>
      <w:tr>
        <w:tc>
          <w:tcPr>
            <w:tcW w:type="dxa" w:w="24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Imágenes</w:t>
            </w:r>
          </w:p>
        </w:tc>
        <w:tc>
          <w:tcPr>
            <w:tcW w:type="dxa" w:w="3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Cloudinary</w:t>
            </w:r>
          </w:p>
        </w:tc>
        <w:tc>
          <w:tcPr>
            <w:tcW w:type="dxa" w:w="37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Almacenamiento de imágenes y comprobantes; el sistema de archivos de Railway es efímero.</w:t>
            </w:r>
          </w:p>
        </w:tc>
      </w:tr>
      <w:tr>
        <w:tc>
          <w:tcPr>
            <w:tcW w:type="dxa" w:w="24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Contenedores</w:t>
            </w:r>
          </w:p>
        </w:tc>
        <w:tc>
          <w:tcPr>
            <w:tcW w:type="dxa" w:w="3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Docker + Docker Compose</w:t>
            </w:r>
          </w:p>
        </w:tc>
        <w:tc>
          <w:tcPr>
            <w:tcW w:type="dxa" w:w="37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Entorno idéntico para todo el equipo y build reproducible para producción.</w:t>
            </w:r>
          </w:p>
        </w:tc>
      </w:tr>
      <w:tr>
        <w:tc>
          <w:tcPr>
            <w:tcW w:type="dxa" w:w="24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Hosting</w:t>
            </w:r>
          </w:p>
        </w:tc>
        <w:tc>
          <w:tcPr>
            <w:tcW w:type="dxa" w:w="3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Railway</w:t>
            </w:r>
          </w:p>
        </w:tc>
        <w:tc>
          <w:tcPr>
            <w:tcW w:type="dxa" w:w="37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Aplicación y base de datos con despliegue automático desde GitHub, desde US$5/mes.</w:t>
            </w:r>
          </w:p>
        </w:tc>
      </w:tr>
    </w:tbl>
    <w:p>
      <w:pPr>
        <w:spacing w:after="160"/>
      </w:pPr>
    </w:p>
    <w:p>
      <w:pPr>
        <w:spacing w:after="160" w:line="300"/>
        <w:jc w:val="both"/>
      </w:pPr>
      <w:r>
        <w:rPr>
          <w:rFonts w:ascii="Calibri" w:cs="Calibri" w:eastAsia="Calibri" w:hAnsi="Calibri"/>
          <w:sz w:val="22"/>
          <w:szCs w:val="22"/>
        </w:rPr>
        <w:t xml:space="preserve">Entre las alternativas evaluadas se descartó la separación en servicios independientes de frontend (React/Vite) y backend (Express/NestJS), por duplicar costo y configuración sin beneficio a esta escala, así como los frameworks Laravel y Django, por introducir un segundo lenguaje al proyecto. La justificación extendida se encuentra versionada en el repositorio, en el archivo docs/stack-tecnologico.md.</w:t>
      </w:r>
    </w:p>
    <w:p>
      <w:pPr>
        <w:pStyle w:val="Heading2"/>
        <w:spacing w:after="160" w:before="280"/>
      </w:pPr>
      <w:r>
        <w:rPr>
          <w:rFonts w:ascii="Calibri" w:cs="Calibri" w:eastAsia="Calibri" w:hAnsi="Calibri"/>
          <w:b/>
          <w:bCs/>
          <w:color w:val="2E5395"/>
          <w:sz w:val="25"/>
          <w:szCs w:val="25"/>
        </w:rPr>
        <w:t xml:space="preserve">2.2. Repositorio, ramas y README (T-01.2)</w:t>
      </w:r>
    </w:p>
    <w:p>
      <w:pPr>
        <w:spacing w:after="160" w:line="300"/>
        <w:jc w:val="both"/>
      </w:pPr>
      <w:r>
        <w:rPr>
          <w:rFonts w:ascii="Calibri" w:cs="Calibri" w:eastAsia="Calibri" w:hAnsi="Calibri"/>
          <w:sz w:val="22"/>
          <w:szCs w:val="22"/>
        </w:rPr>
        <w:t xml:space="preserve">El repositorio se encuentra publicado en GitHub bajo el nombre hmndz3/AEUVGWEB. Se configuraron dos ramas permanentes: main, rama principal conectada al ambiente de producción, y develop, rama de integración del trabajo del sprint conectada al ambiente de pruebas. El trabajo diario se realiza en ramas por tarea que se integran a develop mediante pull requests, y al cierre de cada sprint develop se integra a main.</w:t>
      </w:r>
    </w:p>
    <w:p>
      <w:pPr>
        <w:spacing w:after="160" w:line="300"/>
        <w:jc w:val="both"/>
      </w:pPr>
      <w:r>
        <w:rPr>
          <w:rFonts w:ascii="Calibri" w:cs="Calibri" w:eastAsia="Calibri" w:hAnsi="Calibri"/>
          <w:sz w:val="22"/>
          <w:szCs w:val="22"/>
        </w:rPr>
        <w:t xml:space="preserve">El archivo README del repositorio documenta el stack, los requisitos, las instrucciones paso a paso para ejecutar el proyecto localmente, los scripts disponibles, el flujo de trabajo con git y la estructura de carpetas.</w:t>
      </w:r>
    </w:p>
    <w:p>
      <w:pPr>
        <w:pStyle w:val="Heading2"/>
        <w:spacing w:after="160" w:before="280"/>
      </w:pPr>
      <w:r>
        <w:rPr>
          <w:rFonts w:ascii="Calibri" w:cs="Calibri" w:eastAsia="Calibri" w:hAnsi="Calibri"/>
          <w:b/>
          <w:bCs/>
          <w:color w:val="2E5395"/>
          <w:sz w:val="25"/>
          <w:szCs w:val="25"/>
        </w:rPr>
        <w:t xml:space="preserve">2.3. Inicialización del proyecto y herramientas de código (T-01.3)</w:t>
      </w:r>
    </w:p>
    <w:p>
      <w:pPr>
        <w:spacing w:after="160" w:line="300"/>
        <w:jc w:val="both"/>
      </w:pPr>
      <w:r>
        <w:rPr>
          <w:rFonts w:ascii="Calibri" w:cs="Calibri" w:eastAsia="Calibri" w:hAnsi="Calibri"/>
          <w:sz w:val="22"/>
          <w:szCs w:val="22"/>
        </w:rPr>
        <w:t xml:space="preserve">El proyecto se inicializó con Next.js 16, TypeScript y Tailwind CSS 4. La estructura de carpetas separa las responsabilidades del sistema:</w:t>
      </w:r>
    </w:p>
    <w:p>
      <w:pPr>
        <w:pStyle w:val="ListParagraph"/>
        <w:numPr>
          <w:ilvl w:val="0"/>
          <w:numId w:val="2"/>
        </w:numPr>
        <w:spacing w:after="100" w:line="300"/>
      </w:pPr>
      <w:r>
        <w:rPr>
          <w:rFonts w:ascii="Calibri" w:cs="Calibri" w:eastAsia="Calibri" w:hAnsi="Calibri"/>
          <w:sz w:val="22"/>
          <w:szCs w:val="22"/>
        </w:rPr>
        <w:t xml:space="preserve">src/app: rutas y páginas del frontend, y endpoints /api del backend.</w:t>
      </w:r>
    </w:p>
    <w:p>
      <w:pPr>
        <w:pStyle w:val="ListParagraph"/>
        <w:numPr>
          <w:ilvl w:val="0"/>
          <w:numId w:val="2"/>
        </w:numPr>
        <w:spacing w:after="100" w:line="300"/>
      </w:pPr>
      <w:r>
        <w:rPr>
          <w:rFonts w:ascii="Calibri" w:cs="Calibri" w:eastAsia="Calibri" w:hAnsi="Calibri"/>
          <w:sz w:val="22"/>
          <w:szCs w:val="22"/>
        </w:rPr>
        <w:t xml:space="preserve">src/components: componentes de interfaz reutilizables.</w:t>
      </w:r>
    </w:p>
    <w:p>
      <w:pPr>
        <w:pStyle w:val="ListParagraph"/>
        <w:numPr>
          <w:ilvl w:val="0"/>
          <w:numId w:val="2"/>
        </w:numPr>
        <w:spacing w:after="100" w:line="300"/>
      </w:pPr>
      <w:r>
        <w:rPr>
          <w:rFonts w:ascii="Calibri" w:cs="Calibri" w:eastAsia="Calibri" w:hAnsi="Calibri"/>
          <w:sz w:val="22"/>
          <w:szCs w:val="22"/>
        </w:rPr>
        <w:t xml:space="preserve">src/lib: lógica de negocio, acceso a datos y utilidades del servidor.</w:t>
      </w:r>
    </w:p>
    <w:p>
      <w:pPr>
        <w:pStyle w:val="ListParagraph"/>
        <w:numPr>
          <w:ilvl w:val="0"/>
          <w:numId w:val="2"/>
        </w:numPr>
        <w:spacing w:after="100" w:line="300"/>
      </w:pPr>
      <w:r>
        <w:rPr>
          <w:rFonts w:ascii="Calibri" w:cs="Calibri" w:eastAsia="Calibri" w:hAnsi="Calibri"/>
          <w:sz w:val="22"/>
          <w:szCs w:val="22"/>
        </w:rPr>
        <w:t xml:space="preserve">src/validators: esquemas de validación Zod compartidos por frontend y backend.</w:t>
      </w:r>
    </w:p>
    <w:p>
      <w:pPr>
        <w:pStyle w:val="ListParagraph"/>
        <w:numPr>
          <w:ilvl w:val="0"/>
          <w:numId w:val="2"/>
        </w:numPr>
        <w:spacing w:after="100" w:line="300"/>
      </w:pPr>
      <w:r>
        <w:rPr>
          <w:rFonts w:ascii="Calibri" w:cs="Calibri" w:eastAsia="Calibri" w:hAnsi="Calibri"/>
          <w:sz w:val="22"/>
          <w:szCs w:val="22"/>
        </w:rPr>
        <w:t xml:space="preserve">prisma: esquema y migraciones de la base de datos (a partir de HU-02).</w:t>
      </w:r>
    </w:p>
    <w:p>
      <w:pPr>
        <w:pStyle w:val="ListParagraph"/>
        <w:numPr>
          <w:ilvl w:val="0"/>
          <w:numId w:val="2"/>
        </w:numPr>
        <w:spacing w:after="100" w:line="300"/>
      </w:pPr>
      <w:r>
        <w:rPr>
          <w:rFonts w:ascii="Calibri" w:cs="Calibri" w:eastAsia="Calibri" w:hAnsi="Calibri"/>
          <w:sz w:val="22"/>
          <w:szCs w:val="22"/>
        </w:rPr>
        <w:t xml:space="preserve">docs: documentación técnica; Documentos: documentación formal del proyecto.</w:t>
      </w:r>
    </w:p>
    <w:p>
      <w:pPr>
        <w:spacing w:after="160" w:line="300"/>
        <w:jc w:val="both"/>
      </w:pPr>
      <w:r>
        <w:rPr>
          <w:rFonts w:ascii="Calibri" w:cs="Calibri" w:eastAsia="Calibri" w:hAnsi="Calibri"/>
          <w:sz w:val="22"/>
          <w:szCs w:val="22"/>
        </w:rPr>
        <w:t xml:space="preserve">Como herramientas de calidad de código se configuraron ESLint 9 con las reglas de Next.js y TypeScript, Prettier con el plugin de Tailwind para el formato automático, y EditorConfig para unificar la configuración de los editores del equipo. Se agregaron los scripts npm run lint, npm run format y npm run format:check.</w:t>
      </w:r>
    </w:p>
    <w:p>
      <w:pPr>
        <w:spacing w:after="160" w:line="300"/>
        <w:jc w:val="both"/>
      </w:pPr>
      <w:r>
        <w:rPr>
          <w:rFonts w:ascii="Calibri" w:cs="Calibri" w:eastAsia="Calibri" w:hAnsi="Calibri"/>
          <w:sz w:val="22"/>
          <w:szCs w:val="22"/>
        </w:rPr>
        <w:t xml:space="preserve">Para el trabajo en equipo se configuró Docker: un archivo docker-compose.yml levanta PostgreSQL 17 localmente con un solo comando, garantizando que ambos desarrolladores trabajen con el mismo entorno, y un Dockerfile multi-etapa construye la imagen de producción que utiliza Railway, de modo que lo probado localmente sea idéntico a lo desplegado.</w:t>
      </w:r>
    </w:p>
    <w:p>
      <w:pPr>
        <w:pStyle w:val="Heading2"/>
        <w:spacing w:after="160" w:before="280"/>
      </w:pPr>
      <w:r>
        <w:rPr>
          <w:rFonts w:ascii="Calibri" w:cs="Calibri" w:eastAsia="Calibri" w:hAnsi="Calibri"/>
          <w:b/>
          <w:bCs/>
          <w:color w:val="2E5395"/>
          <w:sz w:val="25"/>
          <w:szCs w:val="25"/>
        </w:rPr>
        <w:t xml:space="preserve">2.4. Despliegue en Railway (T-01.4)</w:t>
      </w:r>
    </w:p>
    <w:p>
      <w:pPr>
        <w:spacing w:after="160" w:line="300"/>
        <w:jc w:val="both"/>
      </w:pPr>
      <w:r>
        <w:rPr>
          <w:rFonts w:ascii="Calibri" w:cs="Calibri" w:eastAsia="Calibri" w:hAnsi="Calibri"/>
          <w:sz w:val="22"/>
          <w:szCs w:val="22"/>
        </w:rPr>
        <w:t xml:space="preserve">El repositorio quedó preparado para el despliegue: el archivo railway.json indica a Railway construir la aplicación con el Dockerfile del proyecto, y el build de producción fue verificado localmente sin errores. La creación del proyecto en Railway comprende la contratación del plan Hobby (US$5 mensuales), la conexión del repositorio de GitHub con despliegue automático desde la rama main, la creación de la base de datos PostgreSQL y la generación del dominio público, junto con un ambiente de pruebas conectado a la rama develop con su propia base de datos.</w:t>
      </w:r>
    </w:p>
    <w:p>
      <w:pPr>
        <w:spacing w:after="160" w:line="300"/>
        <w:jc w:val="both"/>
      </w:pPr>
      <w:r>
        <w:rPr>
          <w:rFonts w:ascii="Calibri" w:cs="Calibri" w:eastAsia="Calibri" w:hAnsi="Calibri"/>
          <w:sz w:val="22"/>
          <w:szCs w:val="22"/>
        </w:rPr>
        <w:t xml:space="preserve">El procedimiento completo de configuración se encuentra documentado en el archivo docs/despliegue-railway.md del repositorio, incluyendo la lista de verificación del despliegue y el procedimiento para configurar el dominio institucional cuando sea aprobado.</w:t>
      </w:r>
    </w:p>
    <w:p>
      <w:pPr>
        <w:pStyle w:val="Heading2"/>
        <w:spacing w:after="160" w:before="280"/>
      </w:pPr>
      <w:r>
        <w:rPr>
          <w:rFonts w:ascii="Calibri" w:cs="Calibri" w:eastAsia="Calibri" w:hAnsi="Calibri"/>
          <w:b/>
          <w:bCs/>
          <w:color w:val="2E5395"/>
          <w:sz w:val="25"/>
          <w:szCs w:val="25"/>
        </w:rPr>
        <w:t xml:space="preserve">2.5. Variables de entorno por ambiente (T-01.5)</w:t>
      </w:r>
    </w:p>
    <w:p>
      <w:pPr>
        <w:spacing w:after="160" w:line="300"/>
        <w:jc w:val="both"/>
      </w:pPr>
      <w:r>
        <w:rPr>
          <w:rFonts w:ascii="Calibri" w:cs="Calibri" w:eastAsia="Calibri" w:hAnsi="Calibri"/>
          <w:sz w:val="22"/>
          <w:szCs w:val="22"/>
        </w:rPr>
        <w:t xml:space="preserve">Las variables de entorno se definen por ambiente (desarrollo local, pruebas y producción) y nunca se almacenan en el repositorio: el archivo .gitignore excluye todos los archivos .env, y en Railway las variables se configuran desde el panel de cada ambiente. El repositorio incluye el archivo de ejemplo .env.example, que documenta cada variable requerida con comentarios:</w:t>
      </w:r>
    </w:p>
    <w:p>
      <w:pPr>
        <w:pStyle w:val="ListParagraph"/>
        <w:numPr>
          <w:ilvl w:val="0"/>
          <w:numId w:val="2"/>
        </w:numPr>
        <w:spacing w:after="100" w:line="300"/>
      </w:pPr>
      <w:r>
        <w:rPr>
          <w:rFonts w:ascii="Calibri" w:cs="Calibri" w:eastAsia="Calibri" w:hAnsi="Calibri"/>
          <w:sz w:val="22"/>
          <w:szCs w:val="22"/>
        </w:rPr>
        <w:t xml:space="preserve">DATABASE_URL: cadena de conexión a PostgreSQL; en Railway se referencia la base de datos del ambiente correspondiente.</w:t>
      </w:r>
    </w:p>
    <w:p>
      <w:pPr>
        <w:pStyle w:val="ListParagraph"/>
        <w:numPr>
          <w:ilvl w:val="0"/>
          <w:numId w:val="2"/>
        </w:numPr>
        <w:spacing w:after="100" w:line="300"/>
      </w:pPr>
      <w:r>
        <w:rPr>
          <w:rFonts w:ascii="Calibri" w:cs="Calibri" w:eastAsia="Calibri" w:hAnsi="Calibri"/>
          <w:sz w:val="22"/>
          <w:szCs w:val="22"/>
        </w:rPr>
        <w:t xml:space="preserve">NEXT_PUBLIC_APP_URL: URL pública de la aplicación según el ambiente.</w:t>
      </w:r>
    </w:p>
    <w:p>
      <w:pPr>
        <w:pStyle w:val="ListParagraph"/>
        <w:numPr>
          <w:ilvl w:val="0"/>
          <w:numId w:val="2"/>
        </w:numPr>
        <w:spacing w:after="100" w:line="300"/>
      </w:pPr>
      <w:r>
        <w:rPr>
          <w:rFonts w:ascii="Calibri" w:cs="Calibri" w:eastAsia="Calibri" w:hAnsi="Calibri"/>
          <w:sz w:val="22"/>
          <w:szCs w:val="22"/>
        </w:rPr>
        <w:t xml:space="preserve">AUTH_SECRET: secreto de firma de sesiones, distinto en cada ambiente (se utilizará desde HU-05).</w:t>
      </w:r>
    </w:p>
    <w:p>
      <w:pPr>
        <w:pStyle w:val="ListParagraph"/>
        <w:numPr>
          <w:ilvl w:val="0"/>
          <w:numId w:val="2"/>
        </w:numPr>
        <w:spacing w:after="100" w:line="300"/>
      </w:pPr>
      <w:r>
        <w:rPr>
          <w:rFonts w:ascii="Calibri" w:cs="Calibri" w:eastAsia="Calibri" w:hAnsi="Calibri"/>
          <w:sz w:val="22"/>
          <w:szCs w:val="22"/>
        </w:rPr>
        <w:t xml:space="preserve">RESEND_API_KEY y EMAIL_FROM: credenciales del servicio de correos transaccionales.</w:t>
      </w:r>
    </w:p>
    <w:p>
      <w:pPr>
        <w:pStyle w:val="Heading2"/>
        <w:spacing w:after="160" w:before="280"/>
      </w:pPr>
      <w:r>
        <w:rPr>
          <w:rFonts w:ascii="Calibri" w:cs="Calibri" w:eastAsia="Calibri" w:hAnsi="Calibri"/>
          <w:b/>
          <w:bCs/>
          <w:color w:val="2E5395"/>
          <w:sz w:val="25"/>
          <w:szCs w:val="25"/>
        </w:rPr>
        <w:t xml:space="preserve">2.6. Estado de la historia de usuario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760"/>
        <w:gridCol w:w="2200"/>
      </w:tblGrid>
      <w:tr>
        <w:trPr>
          <w:tblHeader/>
        </w:trPr>
        <w:tc>
          <w:tcPr>
            <w:tcW w:type="dxa" w:w="1400"/>
            <w:shd w:fill="D9E2F3" w:val="clear"/>
            <w:tcMar>
              <w:top w:type="dxa" w:w="80"/>
              <w:left w:type="dxa" w:w="120"/>
              <w:bottom w:type="dxa" w:w="80"/>
              <w:right w:type="dxa" w:w="120"/>
            </w:tcMar>
          </w:tcPr>
          <w:p>
            <w:pPr>
              <w:spacing w:after="0"/>
            </w:pPr>
            <w:r>
              <w:rPr>
                <w:rFonts w:ascii="Calibri" w:cs="Calibri" w:eastAsia="Calibri" w:hAnsi="Calibri"/>
                <w:b/>
                <w:bCs/>
                <w:sz w:val="20"/>
                <w:szCs w:val="20"/>
              </w:rPr>
              <w:t xml:space="preserve">Tarea</w:t>
            </w:r>
          </w:p>
        </w:tc>
        <w:tc>
          <w:tcPr>
            <w:tcW w:type="dxa" w:w="5760"/>
            <w:shd w:fill="D9E2F3" w:val="clear"/>
            <w:tcMar>
              <w:top w:type="dxa" w:w="80"/>
              <w:left w:type="dxa" w:w="120"/>
              <w:bottom w:type="dxa" w:w="80"/>
              <w:right w:type="dxa" w:w="120"/>
            </w:tcMar>
          </w:tcPr>
          <w:p>
            <w:pPr>
              <w:spacing w:after="0"/>
            </w:pPr>
            <w:r>
              <w:rPr>
                <w:rFonts w:ascii="Calibri" w:cs="Calibri" w:eastAsia="Calibri" w:hAnsi="Calibri"/>
                <w:b/>
                <w:bCs/>
                <w:sz w:val="20"/>
                <w:szCs w:val="20"/>
              </w:rPr>
              <w:t xml:space="preserve">Descripción</w:t>
            </w:r>
          </w:p>
        </w:tc>
        <w:tc>
          <w:tcPr>
            <w:tcW w:type="dxa" w:w="2200"/>
            <w:shd w:fill="D9E2F3" w:val="clear"/>
            <w:tcMar>
              <w:top w:type="dxa" w:w="80"/>
              <w:left w:type="dxa" w:w="120"/>
              <w:bottom w:type="dxa" w:w="80"/>
              <w:right w:type="dxa" w:w="120"/>
            </w:tcMar>
          </w:tcPr>
          <w:p>
            <w:pPr>
              <w:spacing w:after="0"/>
            </w:pPr>
            <w:r>
              <w:rPr>
                <w:rFonts w:ascii="Calibri" w:cs="Calibri" w:eastAsia="Calibri" w:hAnsi="Calibri"/>
                <w:b/>
                <w:bCs/>
                <w:sz w:val="20"/>
                <w:szCs w:val="20"/>
              </w:rPr>
              <w:t xml:space="preserve">Estado</w:t>
            </w:r>
          </w:p>
        </w:tc>
      </w:tr>
      <w:tr>
        <w:tc>
          <w:tcPr>
            <w:tcW w:type="dxa" w:w="14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T-01.1</w:t>
            </w:r>
          </w:p>
        </w:tc>
        <w:tc>
          <w:tcPr>
            <w:tcW w:type="dxa" w:w="57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Seleccionar y documentar el stack tecnológico.</w:t>
            </w:r>
          </w:p>
        </w:tc>
        <w:tc>
          <w:tcPr>
            <w:tcW w:type="dxa" w:w="2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Completada</w:t>
            </w:r>
          </w:p>
        </w:tc>
      </w:tr>
      <w:tr>
        <w:tc>
          <w:tcPr>
            <w:tcW w:type="dxa" w:w="14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T-01.2</w:t>
            </w:r>
          </w:p>
        </w:tc>
        <w:tc>
          <w:tcPr>
            <w:tcW w:type="dxa" w:w="57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Repositorio, ramas main y develop, accesos y README.</w:t>
            </w:r>
          </w:p>
        </w:tc>
        <w:tc>
          <w:tcPr>
            <w:tcW w:type="dxa" w:w="2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Completada</w:t>
            </w:r>
          </w:p>
        </w:tc>
      </w:tr>
      <w:tr>
        <w:tc>
          <w:tcPr>
            <w:tcW w:type="dxa" w:w="14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T-01.3</w:t>
            </w:r>
          </w:p>
        </w:tc>
        <w:tc>
          <w:tcPr>
            <w:tcW w:type="dxa" w:w="57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Inicialización del proyecto, estructura y herramientas de código.</w:t>
            </w:r>
          </w:p>
        </w:tc>
        <w:tc>
          <w:tcPr>
            <w:tcW w:type="dxa" w:w="2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Completada</w:t>
            </w:r>
          </w:p>
        </w:tc>
      </w:tr>
      <w:tr>
        <w:tc>
          <w:tcPr>
            <w:tcW w:type="dxa" w:w="14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T-01.4</w:t>
            </w:r>
          </w:p>
        </w:tc>
        <w:tc>
          <w:tcPr>
            <w:tcW w:type="dxa" w:w="57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Proyecto en Railway, plan inicial y despliegue automático.</w:t>
            </w:r>
          </w:p>
        </w:tc>
        <w:tc>
          <w:tcPr>
            <w:tcW w:type="dxa" w:w="2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En proceso</w:t>
            </w:r>
          </w:p>
        </w:tc>
      </w:tr>
      <w:tr>
        <w:tc>
          <w:tcPr>
            <w:tcW w:type="dxa" w:w="14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T-01.5</w:t>
            </w:r>
          </w:p>
        </w:tc>
        <w:tc>
          <w:tcPr>
            <w:tcW w:type="dxa" w:w="57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Variables de entorno por ambiente y archivo de ejemplo.</w:t>
            </w:r>
          </w:p>
        </w:tc>
        <w:tc>
          <w:tcPr>
            <w:tcW w:type="dxa" w:w="2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Completada</w:t>
            </w:r>
          </w:p>
        </w:tc>
      </w:tr>
      <w:tr>
        <w:tc>
          <w:tcPr>
            <w:tcW w:type="dxa" w:w="14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T-01.6</w:t>
            </w:r>
          </w:p>
        </w:tc>
        <w:tc>
          <w:tcPr>
            <w:tcW w:type="dxa" w:w="576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Solicitud del dominio institucional.</w:t>
            </w:r>
          </w:p>
        </w:tc>
        <w:tc>
          <w:tcPr>
            <w:tcW w:type="dxa" w:w="2200"/>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Pendiente</w:t>
            </w:r>
          </w:p>
        </w:tc>
      </w:tr>
    </w:tbl>
    <w:p>
      <w:pPr>
        <w:spacing w:after="160"/>
      </w:pPr>
    </w:p>
    <w:p>
      <w:pPr>
        <w:spacing w:after="160" w:line="300"/>
        <w:jc w:val="both"/>
      </w:pPr>
      <w:r>
        <w:rPr>
          <w:rFonts w:ascii="Calibri" w:cs="Calibri" w:eastAsia="Calibri" w:hAnsi="Calibri"/>
          <w:sz w:val="22"/>
          <w:szCs w:val="22"/>
        </w:rPr>
        <w:t xml:space="preserve">Pendientes de T-01.4: contratar el plan de Railway, conectar el repositorio y verificar el primer despliegue siguiendo la guía documentada. Pendiente adicional de T-01.2: otorgar acceso de colaborador a Juan Gabriel Gualim en el repositorio de GitHub.</w:t>
      </w:r>
    </w:p>
    <w:p>
      <w:pPr>
        <w:pStyle w:val="Heading1"/>
        <w:spacing w:after="200" w:before="360"/>
      </w:pPr>
      <w:r>
        <w:rPr>
          <w:rFonts w:ascii="Calibri" w:cs="Calibri" w:eastAsia="Calibri" w:hAnsi="Calibri"/>
          <w:b/>
          <w:bCs/>
          <w:color w:val="1F3864"/>
          <w:sz w:val="30"/>
          <w:szCs w:val="30"/>
        </w:rPr>
        <w:t xml:space="preserve">3. Historias de usuario siguientes</w:t>
      </w:r>
    </w:p>
    <w:p>
      <w:pPr>
        <w:spacing w:after="160" w:line="300"/>
        <w:jc w:val="both"/>
      </w:pPr>
      <w:r>
        <w:rPr>
          <w:rFonts w:ascii="Calibri" w:cs="Calibri" w:eastAsia="Calibri" w:hAnsi="Calibri"/>
          <w:sz w:val="22"/>
          <w:szCs w:val="22"/>
        </w:rPr>
        <w:t xml:space="preserve">Las secciones correspondientes a HU-02 (base de datos), HU-03 (sistema de diseño y prototipos), HU-04 (autenticación), HU-05 (roles y panel administrativo) y HU-06 (páginas informativas) se agregarán a este documento conforme se implementen durante el sprint.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2026-08-29T20:41:11.603Z</dcterms:created>
  <dcterms:modified xsi:type="dcterms:W3CDTF">2026-08-29T20:41:11.605Z</dcterms:modified>
</cp:coreProperties>
</file>

<file path=docProps/custom.xml><?xml version="1.0" encoding="utf-8"?>
<Properties xmlns="http://schemas.openxmlformats.org/officeDocument/2006/custom-properties" xmlns:vt="http://schemas.openxmlformats.org/officeDocument/2006/docPropsVTypes"/>
</file>