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0"/>
        <w:jc w:val="center"/>
        <w:rPr/>
      </w:pPr>
      <w:r>
        <w:rPr>
          <w:rFonts w:eastAsia="Times New Roman" w:cs="Times New Roman"/>
          <w:b/>
          <w:bCs/>
          <w:sz w:val="34"/>
          <w:szCs w:val="34"/>
        </w:rPr>
        <w:t>Universidad del Valle de Guatemala</w:t>
      </w:r>
    </w:p>
    <w:p>
      <w:pPr>
        <w:pStyle w:val="Normal"/>
        <w:spacing w:before="0" w:after="400"/>
        <w:jc w:val="center"/>
        <w:rPr/>
      </w:pPr>
      <w:r>
        <w:rPr>
          <w:rFonts w:eastAsia="Times New Roman" w:cs="Times New Roman"/>
          <w:b/>
          <w:bCs/>
          <w:sz w:val="34"/>
          <w:szCs w:val="34"/>
        </w:rPr>
        <w:t>Página Web - AEUVG</w:t>
      </w:r>
    </w:p>
    <w:p>
      <w:pPr>
        <w:pStyle w:val="Normal"/>
        <w:spacing w:before="0" w:after="2000"/>
        <w:jc w:val="center"/>
        <w:rPr/>
      </w:pPr>
      <w:r>
        <w:rPr>
          <w:rFonts w:eastAsia="Times New Roman" w:cs="Times New Roman"/>
          <w:b w:val="false"/>
          <w:bCs w:val="false"/>
          <w:sz w:val="30"/>
          <w:szCs w:val="30"/>
        </w:rPr>
        <w:t>Documento de Desarrollo del Sprint 1</w:t>
      </w:r>
    </w:p>
    <w:p>
      <w:pPr>
        <w:pStyle w:val="Normal"/>
        <w:spacing w:before="0" w:after="200"/>
        <w:jc w:val="center"/>
        <w:rPr/>
      </w:pPr>
      <w:r>
        <w:rPr>
          <w:rFonts w:eastAsia="Times New Roman" w:cs="Times New Roman"/>
          <w:b w:val="false"/>
          <w:bCs w:val="false"/>
          <w:sz w:val="24"/>
          <w:szCs w:val="24"/>
        </w:rPr>
        <w:t>Harry Daniel Méndez Mendoza - 24089</w:t>
      </w:r>
    </w:p>
    <w:p>
      <w:pPr>
        <w:pStyle w:val="Normal"/>
        <w:spacing w:before="0" w:after="2000"/>
        <w:jc w:val="center"/>
        <w:rPr/>
      </w:pPr>
      <w:r>
        <w:rPr>
          <w:rFonts w:eastAsia="Times New Roman" w:cs="Times New Roman"/>
          <w:b w:val="false"/>
          <w:bCs w:val="false"/>
          <w:sz w:val="24"/>
          <w:szCs w:val="24"/>
        </w:rPr>
        <w:t>Juan Gabriel Gualim Molina - 24852</w:t>
      </w:r>
    </w:p>
    <w:p>
      <w:pPr>
        <w:pStyle w:val="Normal"/>
        <w:spacing w:before="0" w:after="0"/>
        <w:jc w:val="center"/>
        <w:rPr/>
      </w:pPr>
      <w:r>
        <w:rPr>
          <w:rFonts w:eastAsia="Times New Roman" w:cs="Times New Roman"/>
          <w:b w:val="false"/>
          <w:bCs w:val="false"/>
          <w:sz w:val="24"/>
          <w:szCs w:val="24"/>
        </w:rPr>
        <w:t>Guatemala, 29 de agosto del 2026</w:t>
      </w:r>
    </w:p>
    <w:p>
      <w:pPr>
        <w:pStyle w:val="Normal"/>
        <w:rPr/>
      </w:pPr>
      <w:r>
        <w:rPr/>
      </w:r>
      <w:r>
        <w:br w:type="page"/>
      </w:r>
    </w:p>
    <w:p>
      <w:pPr>
        <w:pStyle w:val="Heading1"/>
        <w:spacing w:before="0" w:after="200"/>
        <w:rPr/>
      </w:pPr>
      <w:r>
        <w:rPr>
          <w:rFonts w:eastAsia="Times New Roman" w:cs="Times New Roman" w:ascii="Times New Roman" w:hAnsi="Times New Roman"/>
          <w:b/>
          <w:bCs/>
          <w:color w:val="000000"/>
          <w:sz w:val="34"/>
          <w:szCs w:val="34"/>
        </w:rPr>
        <w:t>1. Introducción</w:t>
      </w:r>
    </w:p>
    <w:p>
      <w:pPr>
        <w:pStyle w:val="Normal"/>
        <w:spacing w:lineRule="auto" w:line="300" w:before="0" w:after="160"/>
        <w:jc w:val="both"/>
        <w:rPr/>
      </w:pPr>
      <w:r>
        <w:rPr>
          <w:rFonts w:eastAsia="Times New Roman" w:cs="Times New Roman"/>
          <w:sz w:val="24"/>
          <w:szCs w:val="24"/>
        </w:rPr>
        <w:t>El presente documento registra el desarrollo del Sprint 1 - Fundamentos del sistema (26 de agosto al 8 de septiembre de 2026) del proyecto de la plataforma web de la Asociación General de Estudiantes de la Universidad del Valle de Guatemala (AEUVG). Complementa la planificación del Sprint 1, documentando por cada historia de usuario el trabajo realizado y las decisiones tomadas durante su implementación.</w:t>
      </w:r>
    </w:p>
    <w:p>
      <w:pPr>
        <w:pStyle w:val="Heading1"/>
        <w:spacing w:before="360" w:after="200"/>
        <w:rPr>
          <w:rFonts w:ascii="Times New Roman" w:hAnsi="Times New Roman" w:eastAsia="Times New Roman" w:cs="Times New Roman"/>
          <w:b/>
          <w:bCs/>
          <w:color w:val="000000"/>
          <w:sz w:val="34"/>
          <w:szCs w:val="34"/>
        </w:rPr>
      </w:pPr>
      <w:r>
        <w:rPr>
          <w:rFonts w:eastAsia="Times New Roman" w:cs="Times New Roman" w:ascii="Times New Roman" w:hAnsi="Times New Roman"/>
          <w:b/>
          <w:bCs/>
          <w:color w:val="000000"/>
          <w:sz w:val="34"/>
          <w:szCs w:val="34"/>
        </w:rPr>
        <w:t>2. HU-01 - Configuración del proyecto, repositorio y despliegue en Railway</w:t>
      </w:r>
    </w:p>
    <w:p>
      <w:pPr>
        <w:pStyle w:val="Normal"/>
        <w:spacing w:lineRule="auto" w:line="300" w:before="0" w:after="160"/>
        <w:jc w:val="both"/>
        <w:rPr/>
      </w:pPr>
      <w:r>
        <w:rPr>
          <w:rFonts w:eastAsia="Times New Roman" w:cs="Times New Roman"/>
          <w:sz w:val="24"/>
          <w:szCs w:val="24"/>
        </w:rPr>
        <w:t>Esta historia estableció la base técnica del proyecto: la selección del stack tecnológico, la creación del repositorio con su flujo de trabajo, la inicialización del proyecto con sus herramientas de calidad de código, y la preparación del despliegue en Railway con sus ambientes y variables de entorno. Con esto, el equipo cuenta con un entorno de trabajo común y AEUVG podrá revisar el avance de la plataforma desde internet al finalizar cada sprint.</w:t>
      </w:r>
    </w:p>
    <w:p>
      <w:pPr>
        <w:pStyle w:val="Heading2"/>
        <w:spacing w:before="280" w:after="160"/>
        <w:rPr/>
      </w:pPr>
      <w:r>
        <w:rPr>
          <w:rFonts w:eastAsia="Times New Roman" w:cs="Times New Roman" w:ascii="Times New Roman" w:hAnsi="Times New Roman"/>
          <w:b/>
          <w:bCs/>
          <w:color w:val="000000"/>
          <w:sz w:val="30"/>
          <w:szCs w:val="30"/>
        </w:rPr>
        <w:t>2.1. Stack tecnológico y arquitectura</w:t>
      </w:r>
    </w:p>
    <w:p>
      <w:pPr>
        <w:pStyle w:val="Normal"/>
        <w:spacing w:lineRule="auto" w:line="300" w:before="0" w:after="160"/>
        <w:jc w:val="both"/>
        <w:rPr/>
      </w:pPr>
      <w:r>
        <w:rPr>
          <w:rFonts w:eastAsia="Times New Roman" w:cs="Times New Roman"/>
          <w:sz w:val="24"/>
          <w:szCs w:val="24"/>
        </w:rPr>
        <w:t>El stack se seleccionó considerando las restricciones del proyecto: un equipo de dos desarrolladores, seis sprints de desarrollo, un presupuesto de operación inicial de US$5 mensuales en Railway, una escala esperada de aproximadamente 3,000 estudiantes registrados con 500 visitas diarias, y la necesidad de que el sistema se mantenga en producción durante varios años.</w:t>
      </w:r>
    </w:p>
    <w:p>
      <w:pPr>
        <w:pStyle w:val="Normal"/>
        <w:spacing w:lineRule="auto" w:line="300" w:before="0" w:after="160"/>
        <w:jc w:val="both"/>
        <w:rPr/>
      </w:pPr>
      <w:r>
        <w:rPr>
          <w:rFonts w:eastAsia="Times New Roman" w:cs="Times New Roman"/>
          <w:sz w:val="24"/>
          <w:szCs w:val="24"/>
        </w:rPr>
        <w:t>Se adoptó una arquitectura monolítica full-stack: un solo proyecto que contiene el frontend y el backend, desplegado como un único servicio conectado a una base de datos PostgreSQL. A la escala esperada, separar frontend y backend en servicios independientes duplicaría el consumo de recursos sin beneficio técnico; el monolito permite además compartir el lenguaje (TypeScript), los tipos y las validaciones en todo el proyecto, y simplifica el despliegue continuo. La separación entre frontend y backend se mantiene en la estructura interna: los componentes de interfaz nunca acceden directamente a la base de datos, sino a través de los endpoints y la lógica que corren en el servidor.</w:t>
      </w:r>
    </w:p>
    <w:p>
      <w:pPr>
        <w:pStyle w:val="Normal"/>
        <w:spacing w:before="0" w:after="160"/>
        <w:rPr/>
      </w:pPr>
      <w:r>
        <w:rPr/>
      </w:r>
    </w:p>
    <w:tbl>
      <w:tblPr>
        <w:tblW w:w="9360" w:type="dxa"/>
        <w:jc w:val="start"/>
        <w:tblInd w:w="125" w:type="dxa"/>
        <w:tblLayout w:type="fixed"/>
        <w:tblCellMar>
          <w:top w:w="80" w:type="dxa"/>
          <w:start w:w="120" w:type="dxa"/>
          <w:bottom w:w="80" w:type="dxa"/>
          <w:end w:w="120" w:type="dxa"/>
        </w:tblCellMar>
      </w:tblPr>
      <w:tblGrid>
        <w:gridCol w:w="2199"/>
        <w:gridCol w:w="3200"/>
        <w:gridCol w:w="3961"/>
      </w:tblGrid>
      <w:tr>
        <w:trPr>
          <w:tblHeader w:val="true"/>
        </w:trPr>
        <w:tc>
          <w:tcPr>
            <w:tcW w:w="2199" w:type="dxa"/>
            <w:tcBorders>
              <w:top w:val="single" w:sz="4" w:space="0" w:color="000000"/>
              <w:start w:val="single" w:sz="4" w:space="0" w:color="000000"/>
              <w:bottom w:val="single" w:sz="4" w:space="0" w:color="000000"/>
              <w:end w:val="single" w:sz="4" w:space="0" w:color="000000"/>
            </w:tcBorders>
            <w:shd w:fill="E7E6E6" w:val="clear"/>
          </w:tcPr>
          <w:p>
            <w:pPr>
              <w:pStyle w:val="Normal"/>
              <w:spacing w:before="0" w:after="0"/>
              <w:rPr/>
            </w:pPr>
            <w:r>
              <w:rPr>
                <w:rFonts w:eastAsia="Times New Roman" w:cs="Times New Roman"/>
                <w:b/>
                <w:bCs/>
                <w:sz w:val="24"/>
                <w:szCs w:val="24"/>
              </w:rPr>
              <w:t>Capa</w:t>
            </w:r>
          </w:p>
        </w:tc>
        <w:tc>
          <w:tcPr>
            <w:tcW w:w="3200" w:type="dxa"/>
            <w:tcBorders>
              <w:top w:val="single" w:sz="4" w:space="0" w:color="000000"/>
              <w:start w:val="single" w:sz="4" w:space="0" w:color="000000"/>
              <w:bottom w:val="single" w:sz="4" w:space="0" w:color="000000"/>
              <w:end w:val="single" w:sz="4" w:space="0" w:color="000000"/>
            </w:tcBorders>
            <w:shd w:fill="E7E6E6" w:val="clear"/>
          </w:tcPr>
          <w:p>
            <w:pPr>
              <w:pStyle w:val="Normal"/>
              <w:spacing w:before="0" w:after="0"/>
              <w:rPr/>
            </w:pPr>
            <w:r>
              <w:rPr>
                <w:rFonts w:eastAsia="Times New Roman" w:cs="Times New Roman"/>
                <w:b/>
                <w:bCs/>
                <w:sz w:val="24"/>
                <w:szCs w:val="24"/>
              </w:rPr>
              <w:t>Tecnología</w:t>
            </w:r>
          </w:p>
        </w:tc>
        <w:tc>
          <w:tcPr>
            <w:tcW w:w="3961" w:type="dxa"/>
            <w:tcBorders>
              <w:top w:val="single" w:sz="4" w:space="0" w:color="000000"/>
              <w:start w:val="single" w:sz="4" w:space="0" w:color="000000"/>
              <w:bottom w:val="single" w:sz="4" w:space="0" w:color="000000"/>
              <w:end w:val="single" w:sz="4" w:space="0" w:color="000000"/>
            </w:tcBorders>
            <w:shd w:fill="E7E6E6" w:val="clear"/>
          </w:tcPr>
          <w:p>
            <w:pPr>
              <w:pStyle w:val="Normal"/>
              <w:spacing w:before="0" w:after="0"/>
              <w:rPr/>
            </w:pPr>
            <w:r>
              <w:rPr>
                <w:rFonts w:eastAsia="Times New Roman" w:cs="Times New Roman"/>
                <w:b/>
                <w:bCs/>
                <w:sz w:val="24"/>
                <w:szCs w:val="24"/>
              </w:rPr>
              <w:t>Justificación</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Frontend</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Next.js 16 (App Router), React 19, TypeScript 5</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Framework React de mayor adopción; renderizado en servidor para SEO y rendimiento móvil.</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Estilos / UI</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Tailwind CSS 4 + shadcn/ui</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Interfaz consistente, responsive y personalizable a la identidad de AEUVG.</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Backend</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API Routes / Server Actions de Next.js</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Endpoints y lógica de negocio en el mismo proyecto y despliegue.</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ORM</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Prisma</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Migraciones versionadas en git y esquema declarativo del modelo de datos.</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Base de datos</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PostgreSQL 17 (Railway)</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Definida en el documento del proyecto; modelo relacional con respaldos administrados.</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Autenticación</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Auth.js (NextAuth v5)</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Registro, sesiones, recuperación de contraseña y roles; registro restringido a correos UVG.</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Validación</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Zod</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Mismos esquemas de validación en cliente y servidor.</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Excel / PDF</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exceljs y pdfmake</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Importación y exportación de horas beca y reportes (sprints 4 y 5).</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Correos</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Resend</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Correos transaccionales; plan gratuito de ~3,000 correos mensuales.</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Imágenes</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Cloudinary</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Almacenamiento de imágenes y comprobantes; el sistema de archivos de Railway es efímero.</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Contenedores</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Docker + Docker Compose</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Entorno idéntico para todo el equipo y build reproducible para producción.</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Hosting</w:t>
            </w:r>
          </w:p>
        </w:tc>
        <w:tc>
          <w:tcPr>
            <w:tcW w:w="3200"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Railway</w:t>
            </w:r>
          </w:p>
        </w:tc>
        <w:tc>
          <w:tcPr>
            <w:tcW w:w="39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Times New Roman" w:cs="Times New Roman"/>
                <w:b w:val="false"/>
                <w:bCs w:val="false"/>
                <w:sz w:val="24"/>
                <w:szCs w:val="24"/>
              </w:rPr>
              <w:t>Aplicación y base de datos con despliegue automático desde GitHub, desde US$5/mes.</w:t>
            </w:r>
          </w:p>
        </w:tc>
      </w:tr>
    </w:tbl>
    <w:p>
      <w:pPr>
        <w:pStyle w:val="Normal"/>
        <w:spacing w:before="0" w:after="160"/>
        <w:rPr/>
      </w:pPr>
      <w:r>
        <w:rPr/>
      </w:r>
    </w:p>
    <w:p>
      <w:pPr>
        <w:pStyle w:val="Normal"/>
        <w:spacing w:lineRule="auto" w:line="300" w:before="0" w:after="160"/>
        <w:jc w:val="both"/>
        <w:rPr/>
      </w:pPr>
      <w:r>
        <w:rPr>
          <w:rFonts w:eastAsia="Times New Roman" w:cs="Times New Roman"/>
          <w:sz w:val="24"/>
          <w:szCs w:val="24"/>
        </w:rPr>
        <w:t>Entre las alternativas evaluadas se descartó la separación en servicios independientes de frontend (React/Vite) y backend (Express/NestJS), por duplicar costo y configuración sin beneficio a esta escala, así como los frameworks Laravel y Django, por introducir un segundo lenguaje al proyecto. La justificación extendida se encuentra versionada en el repositorio, en el archivo docs/stack-tecnologico.md.</w:t>
      </w:r>
    </w:p>
    <w:p>
      <w:pPr>
        <w:pStyle w:val="Heading2"/>
        <w:spacing w:before="280" w:after="160"/>
        <w:rPr/>
      </w:pPr>
      <w:r>
        <w:rPr>
          <w:rFonts w:eastAsia="Times New Roman" w:cs="Times New Roman" w:ascii="Times New Roman" w:hAnsi="Times New Roman"/>
          <w:b/>
          <w:bCs/>
          <w:color w:val="000000"/>
          <w:sz w:val="30"/>
          <w:szCs w:val="30"/>
        </w:rPr>
        <w:t>2.2. Repositorio y flujo de trabajo</w:t>
      </w:r>
    </w:p>
    <w:p>
      <w:pPr>
        <w:pStyle w:val="Normal"/>
        <w:spacing w:lineRule="auto" w:line="300" w:before="0" w:after="160"/>
        <w:jc w:val="both"/>
        <w:rPr/>
      </w:pPr>
      <w:r>
        <w:rPr>
          <w:rFonts w:eastAsia="Times New Roman" w:cs="Times New Roman"/>
          <w:sz w:val="24"/>
          <w:szCs w:val="24"/>
        </w:rPr>
        <w:t>El proyecto se versiona en GitHub, en el repositorio hmndz3/AEUVGWEB, con dos ramas permanentes: main, conectada al ambiente de producción, y develop, rama de integración conectada al ambiente de pruebas. El trabajo de cada tarea se realiza en ramas propias que se integran a develop mediante pull requests, lo que permite revisar el código entre ambos integrantes y probar cada cambio en el ambiente de pruebas antes de publicarlo; al cierre del sprint, develop se integra a main para desplegar a producción. El archivo README documenta el stack, los requisitos, las instrucciones para ejecutar el proyecto localmente, los scripts disponibles y este flujo de trabajo, de manera que cualquier integrante pueda montar el entorno desde cero.</w:t>
      </w:r>
    </w:p>
    <w:p>
      <w:pPr>
        <w:pStyle w:val="Heading2"/>
        <w:spacing w:before="280" w:after="160"/>
        <w:rPr/>
      </w:pPr>
      <w:r>
        <w:rPr>
          <w:rFonts w:eastAsia="Times New Roman" w:cs="Times New Roman" w:ascii="Times New Roman" w:hAnsi="Times New Roman"/>
          <w:b/>
          <w:bCs/>
          <w:color w:val="000000"/>
          <w:sz w:val="30"/>
          <w:szCs w:val="30"/>
        </w:rPr>
        <w:t>2.3. Entorno de desarrollo y calidad de código</w:t>
      </w:r>
    </w:p>
    <w:p>
      <w:pPr>
        <w:pStyle w:val="Normal"/>
        <w:spacing w:lineRule="auto" w:line="300" w:before="0" w:after="160"/>
        <w:jc w:val="both"/>
        <w:rPr/>
      </w:pPr>
      <w:r>
        <w:rPr>
          <w:rFonts w:eastAsia="Times New Roman" w:cs="Times New Roman"/>
          <w:sz w:val="24"/>
          <w:szCs w:val="24"/>
        </w:rPr>
        <w:t>El proyecto se inicializó con Next.js, TypeScript y Tailwind CSS, con una estructura de carpetas que separa las responsabilidades del sistema: las rutas y páginas junto con los endpoints del backend, los componentes de interfaz reutilizables, la lógica de negocio del servidor y los esquemas de validación compartidos. Esta organización busca que el crecimiento del proyecto durante los siguientes sprints mantenga el código ordenado y fácil de ubicar.</w:t>
      </w:r>
    </w:p>
    <w:p>
      <w:pPr>
        <w:pStyle w:val="Normal"/>
        <w:spacing w:lineRule="auto" w:line="300" w:before="0" w:after="160"/>
        <w:jc w:val="both"/>
        <w:rPr/>
      </w:pPr>
      <w:r>
        <w:rPr>
          <w:rFonts w:eastAsia="Times New Roman" w:cs="Times New Roman"/>
          <w:sz w:val="24"/>
          <w:szCs w:val="24"/>
        </w:rPr>
        <w:t>Debido a que el proyecto se desarrolla entre dos personas, se configuró Docker para garantizar un entorno idéntico para todo el equipo: un archivo docker-compose levanta la base de datos PostgreSQL local con un solo comando, y un Dockerfile construye la imagen de producción que utiliza Railway, de modo que lo probado localmente sea lo mismo que se despliega. Como herramientas de calidad se configuraron ESLint para el análisis estático del código, Prettier para el formato automático y EditorConfig para unificar la configuración de los editores, evitando diferencias de estilo entre integrantes.</w:t>
      </w:r>
    </w:p>
    <w:p>
      <w:pPr>
        <w:pStyle w:val="Heading2"/>
        <w:spacing w:before="280" w:after="160"/>
        <w:rPr/>
      </w:pPr>
      <w:r>
        <w:rPr>
          <w:rFonts w:eastAsia="Times New Roman" w:cs="Times New Roman" w:ascii="Times New Roman" w:hAnsi="Times New Roman"/>
          <w:b/>
          <w:bCs/>
          <w:color w:val="000000"/>
          <w:sz w:val="30"/>
          <w:szCs w:val="30"/>
        </w:rPr>
        <w:t>2.4. Despliegue y variables de entorno</w:t>
      </w:r>
    </w:p>
    <w:p>
      <w:pPr>
        <w:pStyle w:val="Normal"/>
        <w:spacing w:lineRule="auto" w:line="300" w:before="0" w:after="160"/>
        <w:jc w:val="both"/>
        <w:rPr/>
      </w:pPr>
      <w:r>
        <w:rPr>
          <w:rFonts w:eastAsia="Times New Roman" w:cs="Times New Roman"/>
          <w:sz w:val="24"/>
          <w:szCs w:val="24"/>
        </w:rPr>
        <w:t>El despliegue se realiza en Railway construyendo la imagen de producción desde el Dockerfile del repositorio, con despliegue automático: cada actualización de la rama main publica una nueva versión en producción, y cada actualización de develop publica al ambiente de pruebas, cada uno con su propia base de datos. El procedimiento completo de configuración del proyecto en Railway, de sus ambientes y del dominio institucional quedó documentado en el repositorio, en el archivo docs/despliegue-railway.md.</w:t>
      </w:r>
    </w:p>
    <w:p>
      <w:pPr>
        <w:pStyle w:val="Normal"/>
        <w:spacing w:lineRule="auto" w:line="300" w:before="0" w:after="160"/>
        <w:jc w:val="both"/>
        <w:rPr/>
      </w:pPr>
      <w:r>
        <w:rPr>
          <w:rFonts w:eastAsia="Times New Roman" w:cs="Times New Roman"/>
          <w:sz w:val="24"/>
          <w:szCs w:val="24"/>
        </w:rPr>
        <w:t>Las variables de entorno se definen por ambiente (desarrollo local, pruebas y producción) y nunca se almacenan en el repositorio: los archivos .env están excluidos del control de versiones y en Railway las variables se configuran desde el panel de cada ambiente. El repositorio incluye el archivo de ejemplo .env.example, que documenta con comentarios cada variable requerida:</w:t>
      </w:r>
    </w:p>
    <w:p>
      <w:pPr>
        <w:pStyle w:val="ListParagraph"/>
        <w:numPr>
          <w:ilvl w:val="0"/>
          <w:numId w:val="3"/>
        </w:numPr>
        <w:spacing w:lineRule="auto" w:line="300" w:before="0" w:after="100"/>
        <w:jc w:val="both"/>
        <w:rPr/>
      </w:pPr>
      <w:r>
        <w:rPr>
          <w:rFonts w:eastAsia="Times New Roman" w:cs="Times New Roman"/>
          <w:sz w:val="24"/>
          <w:szCs w:val="24"/>
        </w:rPr>
        <w:t>DATABASE_URL: cadena de conexión a PostgreSQL; en Railway se referencia la base de datos del ambiente correspondiente.</w:t>
      </w:r>
    </w:p>
    <w:p>
      <w:pPr>
        <w:pStyle w:val="ListParagraph"/>
        <w:numPr>
          <w:ilvl w:val="0"/>
          <w:numId w:val="1"/>
        </w:numPr>
        <w:spacing w:lineRule="auto" w:line="300" w:before="0" w:after="100"/>
        <w:jc w:val="both"/>
        <w:rPr/>
      </w:pPr>
      <w:r>
        <w:rPr>
          <w:rFonts w:eastAsia="Times New Roman" w:cs="Times New Roman"/>
          <w:sz w:val="24"/>
          <w:szCs w:val="24"/>
        </w:rPr>
        <w:t>NEXT_PUBLIC_APP_URL: URL pública de la aplicación según el ambiente.</w:t>
      </w:r>
    </w:p>
    <w:p>
      <w:pPr>
        <w:pStyle w:val="ListParagraph"/>
        <w:numPr>
          <w:ilvl w:val="0"/>
          <w:numId w:val="1"/>
        </w:numPr>
        <w:spacing w:lineRule="auto" w:line="300" w:before="0" w:after="100"/>
        <w:jc w:val="both"/>
        <w:rPr/>
      </w:pPr>
      <w:r>
        <w:rPr>
          <w:rFonts w:eastAsia="Times New Roman" w:cs="Times New Roman"/>
          <w:sz w:val="24"/>
          <w:szCs w:val="24"/>
        </w:rPr>
        <w:t>AUTH_SECRET: secreto de firma de sesiones, distinto en cada ambiente.</w:t>
      </w:r>
    </w:p>
    <w:p>
      <w:pPr>
        <w:pStyle w:val="ListParagraph"/>
        <w:numPr>
          <w:ilvl w:val="0"/>
          <w:numId w:val="1"/>
        </w:numPr>
        <w:spacing w:lineRule="auto" w:line="300" w:before="0" w:after="100"/>
        <w:jc w:val="both"/>
        <w:rPr>
          <w:rFonts w:ascii="Times New Roman" w:hAnsi="Times New Roman" w:eastAsia="Times New Roman" w:cs="Times New Roman"/>
          <w:sz w:val="24"/>
          <w:szCs w:val="24"/>
        </w:rPr>
      </w:pPr>
      <w:r>
        <w:rPr>
          <w:rFonts w:eastAsia="Times New Roman" w:cs="Times New Roman"/>
          <w:sz w:val="24"/>
          <w:szCs w:val="24"/>
        </w:rPr>
        <w:t>RESEND_API_KEY y EMAIL_FROM: credenciales del servicio de correos transaccionales.</w:t>
      </w:r>
      <w:r>
        <w:br w:type="page"/>
      </w:r>
    </w:p>
    <w:p>
      <w:pPr>
        <w:pStyle w:val="Heading1"/>
        <w:spacing w:before="0" w:after="120"/>
        <w:jc w:val="both"/>
        <w:rPr>
          <w:rFonts w:ascii="Times New Roman" w:hAnsi="Times New Roman"/>
          <w:b/>
          <w:bCs/>
          <w:color w:val="auto"/>
          <w:sz w:val="32"/>
          <w:szCs w:val="32"/>
        </w:rPr>
      </w:pPr>
      <w:r>
        <w:rPr>
          <w:rFonts w:ascii="Times New Roman" w:hAnsi="Times New Roman"/>
          <w:b/>
          <w:bCs/>
          <w:color w:val="auto"/>
          <w:sz w:val="32"/>
          <w:szCs w:val="32"/>
        </w:rPr>
        <w:t>3. HU-02 - Diseño e implementación de la base de datos</w:t>
      </w:r>
    </w:p>
    <w:p>
      <w:pPr>
        <w:pStyle w:val="Normal"/>
        <w:jc w:val="both"/>
        <w:rPr>
          <w:rFonts w:ascii="Times New Roman" w:hAnsi="Times New Roman"/>
          <w:sz w:val="24"/>
          <w:szCs w:val="24"/>
        </w:rPr>
      </w:pPr>
      <w:r>
        <w:rPr>
          <w:rFonts w:ascii="Times New Roman" w:hAnsi="Times New Roman"/>
          <w:sz w:val="24"/>
          <w:szCs w:val="24"/>
        </w:rPr>
        <w:t>Esta historia estableció el modelo de datos que utilizarán los módulos de usuarios, eventos, asociaciones, clubes, horas beca, tutorías y personalización. El trabajo comprendió la identificación de las entidades y reglas del negocio, la definición de sus relaciones y cardinalidades, y la preparación de la estructura PostgreSQL que utilizará la aplicación.</w:t>
      </w:r>
    </w:p>
    <w:p>
      <w:pPr>
        <w:pStyle w:val="Normal"/>
        <w:jc w:val="both"/>
        <w:rPr>
          <w:rFonts w:ascii="Times New Roman" w:hAnsi="Times New Roman"/>
          <w:sz w:val="24"/>
          <w:szCs w:val="24"/>
        </w:rPr>
      </w:pPr>
      <w:r>
        <w:rPr>
          <w:rFonts w:ascii="Times New Roman" w:hAnsi="Times New Roman"/>
          <w:sz w:val="24"/>
          <w:szCs w:val="24"/>
        </w:rPr>
      </w:r>
    </w:p>
    <w:p>
      <w:pPr>
        <w:pStyle w:val="Heading2"/>
        <w:jc w:val="both"/>
        <w:rPr>
          <w:rFonts w:ascii="Times New Roman" w:hAnsi="Times New Roman"/>
          <w:b/>
          <w:bCs/>
          <w:color w:val="auto"/>
          <w:sz w:val="28"/>
          <w:szCs w:val="28"/>
        </w:rPr>
      </w:pPr>
      <w:r>
        <w:rPr>
          <w:b/>
          <w:bCs/>
          <w:color w:val="auto"/>
          <w:sz w:val="28"/>
          <w:szCs w:val="28"/>
        </w:rPr>
        <w:t>3.1. Análisis del dominio y reglas de negocio</w:t>
      </w:r>
    </w:p>
    <w:p>
      <w:pPr>
        <w:pStyle w:val="Normal"/>
        <w:jc w:val="both"/>
        <w:rPr>
          <w:rFonts w:ascii="Times New Roman" w:hAnsi="Times New Roman"/>
          <w:sz w:val="24"/>
          <w:szCs w:val="24"/>
        </w:rPr>
      </w:pPr>
      <w:r>
        <w:rPr>
          <w:rFonts w:ascii="Times New Roman" w:hAnsi="Times New Roman"/>
          <w:sz w:val="24"/>
          <w:szCs w:val="24"/>
        </w:rPr>
        <w:t>A partir del documento de definición del proyecto se identificaron las entidades necesarias para almacenar la información de forma normalizada. La decisión central del modelo fue separar Estudiante de Usuario: Estudiante representa a la persona identificada por su carnet, mientras que Usuario contiene sus credenciales de acceso. De esta forma, AEUVG puede registrar horas para un estudiante que todavía no posee una cuenta y asociarlas automáticamente cuando posteriormente se registre con el mismo carnet.</w:t>
      </w:r>
    </w:p>
    <w:tbl>
      <w:tblPr>
        <w:tblW w:w="9360"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op w:val="single" w:sz="4" w:space="0" w:color="A6A6A6"/>
              <w:start w:val="single" w:sz="4" w:space="0" w:color="A6A6A6"/>
              <w:bottom w:val="single" w:sz="4" w:space="0" w:color="A6A6A6"/>
              <w:end w:val="single" w:sz="4" w:space="0" w:color="A6A6A6"/>
            </w:tcBorders>
            <w:shd w:fill="D9E2F3" w:val="clear"/>
            <w:vAlign w:val="center"/>
          </w:tcPr>
          <w:p>
            <w:pPr>
              <w:pStyle w:val="Normal"/>
              <w:jc w:val="both"/>
              <w:rPr>
                <w:rFonts w:ascii="Times New Roman" w:hAnsi="Times New Roman"/>
                <w:sz w:val="24"/>
                <w:szCs w:val="24"/>
              </w:rPr>
            </w:pPr>
            <w:r>
              <w:rPr>
                <w:rFonts w:ascii="Times New Roman" w:hAnsi="Times New Roman"/>
                <w:b/>
                <w:sz w:val="24"/>
                <w:szCs w:val="24"/>
              </w:rPr>
              <w:t>Área</w:t>
            </w:r>
          </w:p>
        </w:tc>
        <w:tc>
          <w:tcPr>
            <w:tcW w:w="4680" w:type="dxa"/>
            <w:tcBorders>
              <w:top w:val="single" w:sz="4" w:space="0" w:color="A6A6A6"/>
              <w:start w:val="single" w:sz="4" w:space="0" w:color="A6A6A6"/>
              <w:bottom w:val="single" w:sz="4" w:space="0" w:color="A6A6A6"/>
              <w:end w:val="single" w:sz="4" w:space="0" w:color="A6A6A6"/>
            </w:tcBorders>
            <w:shd w:fill="D9E2F3" w:val="clear"/>
            <w:vAlign w:val="center"/>
          </w:tcPr>
          <w:p>
            <w:pPr>
              <w:pStyle w:val="Normal"/>
              <w:jc w:val="both"/>
              <w:rPr>
                <w:rFonts w:ascii="Times New Roman" w:hAnsi="Times New Roman"/>
                <w:sz w:val="24"/>
                <w:szCs w:val="24"/>
              </w:rPr>
            </w:pPr>
            <w:r>
              <w:rPr>
                <w:rFonts w:ascii="Times New Roman" w:hAnsi="Times New Roman"/>
                <w:b/>
                <w:sz w:val="24"/>
                <w:szCs w:val="24"/>
              </w:rPr>
              <w:t>Entidades principales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Usuarios y academia</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Estudiante, Usuario, Rol, UsuarioRol, Facultad y Carrera</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Asociaciones y clubes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Asociacion, IntegranteAsociacion, Club y RedSocial</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Eventos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Evento, CategoriaEvento, OrganizadorEvento y EventoGuardado</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Horas beca</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RegistroHoraBeca, OportunidadHoraBeca, InscripcionOportunidad e ImportacionHoras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Tutorías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Curso, PostulacionTutor, CursoPostulacion, Tutor, TutorCurso, DisponibilidadTutor y Tutoria</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Personalización</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InteresUsuario, InteraccionUsuario y Notificacion</w:t>
            </w:r>
          </w:p>
        </w:tc>
      </w:tr>
    </w:tbl>
    <w:p>
      <w:pPr>
        <w:pStyle w:val="Normal"/>
        <w:jc w:val="both"/>
        <w:rPr>
          <w:rFonts w:ascii="Times New Roman" w:hAnsi="Times New Roman"/>
          <w:sz w:val="24"/>
          <w:szCs w:val="24"/>
        </w:rPr>
      </w:pPr>
      <w:r>
        <w:rPr>
          <w:rFonts w:ascii="Times New Roman" w:hAnsi="Times New Roman"/>
          <w:sz w:val="24"/>
          <w:szCs w:val="24"/>
        </w:rPr>
      </w:r>
    </w:p>
    <w:p>
      <w:pPr>
        <w:pStyle w:val="Normal"/>
        <w:jc w:val="both"/>
        <w:rPr>
          <w:rFonts w:ascii="Times New Roman" w:hAnsi="Times New Roman"/>
          <w:sz w:val="24"/>
          <w:szCs w:val="24"/>
        </w:rPr>
      </w:pPr>
      <w:r>
        <w:rPr>
          <w:rFonts w:ascii="Times New Roman" w:hAnsi="Times New Roman"/>
          <w:sz w:val="24"/>
          <w:szCs w:val="24"/>
        </w:rPr>
        <w:t>Entre las reglas de negocio principales se establecieron las siguientes:</w:t>
      </w:r>
    </w:p>
    <w:p>
      <w:pPr>
        <w:pStyle w:val="ListParagraph"/>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El carnet universitario y el correo UVG deben ser únicos.</w:t>
      </w:r>
    </w:p>
    <w:p>
      <w:pPr>
        <w:pStyle w:val="ListParagraph"/>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Un estudiante puede existir sin contar todavía con una cuenta de usuario.</w:t>
      </w:r>
    </w:p>
    <w:p>
      <w:pPr>
        <w:pStyle w:val="ListParagraph"/>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Un usuario puede tener varios roles y solo un administrador puede acceder a las operaciones administrativas.</w:t>
      </w:r>
    </w:p>
    <w:p>
      <w:pPr>
        <w:pStyle w:val="ListParagraph"/>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Una carrera pertenece a una facultad y ambas se seleccionan desde catálogos controlados.</w:t>
      </w:r>
    </w:p>
    <w:p>
      <w:pPr>
        <w:pStyle w:val="ListParagraph"/>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Un evento puede tener uno o varios organizadores y un usuario no puede guardar dos veces el mismo evento.</w:t>
      </w:r>
    </w:p>
    <w:p>
      <w:pPr>
        <w:pStyle w:val="ListParagraph"/>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Cada registro de horas pertenece a un estudiante; su cantidad debe ser mayor que cero y los registros acreditados permanecen en el historial.</w:t>
      </w:r>
    </w:p>
    <w:p>
      <w:pPr>
        <w:pStyle w:val="ListParagraph"/>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Solo un administrador puede acreditar horas o revisar postulaciones de tutores.</w:t>
      </w:r>
    </w:p>
    <w:p>
      <w:pPr>
        <w:pStyle w:val="ListParagraph"/>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Los comprobantes académicos de las postulaciones deben permanecer privados.</w:t>
      </w:r>
    </w:p>
    <w:p>
      <w:pPr>
        <w:pStyle w:val="ListParagraph"/>
        <w:jc w:val="both"/>
        <w:rPr>
          <w:rFonts w:ascii="Times New Roman" w:hAnsi="Times New Roman"/>
          <w:sz w:val="24"/>
          <w:szCs w:val="24"/>
        </w:rPr>
      </w:pPr>
      <w:r>
        <w:rPr>
          <w:rFonts w:ascii="Times New Roman" w:hAnsi="Times New Roman"/>
          <w:sz w:val="24"/>
          <w:szCs w:val="24"/>
        </w:rPr>
      </w:r>
    </w:p>
    <w:p>
      <w:pPr>
        <w:pStyle w:val="Heading2"/>
        <w:jc w:val="both"/>
        <w:rPr>
          <w:rFonts w:ascii="Times New Roman" w:hAnsi="Times New Roman"/>
          <w:b/>
          <w:bCs/>
          <w:color w:val="auto"/>
          <w:sz w:val="28"/>
          <w:szCs w:val="28"/>
        </w:rPr>
      </w:pPr>
      <w:r>
        <w:rPr>
          <w:b/>
          <w:bCs/>
          <w:color w:val="auto"/>
          <w:sz w:val="28"/>
          <w:szCs w:val="28"/>
        </w:rPr>
        <w:t>3.2. Diagrama entidad-relación</w:t>
      </w:r>
    </w:p>
    <w:p>
      <w:pPr>
        <w:pStyle w:val="Normal"/>
        <w:spacing w:lineRule="auto" w:line="300" w:before="0" w:after="1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Con las entidades identificadas se elaboró el diagrama entidad-relación, definiendo las llaves principales, las llaves foráneas y las cardinalidades. El modelo organiza las entidades por módulo y permite que los desarrollos de los siguientes sprints compartan una estructura de datos consistente.</w:t>
      </w:r>
    </w:p>
    <w:p>
      <w:pPr>
        <w:pStyle w:val="BodyText"/>
        <w:jc w:val="both"/>
        <w:rPr>
          <w:rFonts w:ascii="Times New Roman" w:hAnsi="Times New Roman"/>
          <w:sz w:val="24"/>
          <w:szCs w:val="24"/>
        </w:rPr>
      </w:pPr>
      <w:r>
        <w:rPr>
          <w:rFonts w:ascii="Times New Roman" w:hAnsi="Times New Roman"/>
          <w:sz w:val="24"/>
          <w:szCs w:val="24"/>
        </w:rPr>
        <w:t xml:space="preserve">Link de DER: </w:t>
      </w:r>
    </w:p>
    <w:p>
      <w:pPr>
        <w:pStyle w:val="BodyText"/>
        <w:jc w:val="both"/>
        <w:rPr/>
      </w:pPr>
      <w:hyperlink r:id="rId2">
        <w:r>
          <w:rPr>
            <w:rStyle w:val="Hyperlink"/>
            <w:rFonts w:ascii="Times New Roman" w:hAnsi="Times New Roman"/>
            <w:sz w:val="24"/>
            <w:szCs w:val="24"/>
          </w:rPr>
          <w:t>https://mermaid.ai/app/projects/8f93c364-8751-41b2-91f2-7ce6b7015c84/diagrams/29c19ee3-d48e-446f-85a5-150a792c7ece/share/invite/eyJhbGciOiJIUzI1NiIsInR5cCI6IkpXVCJ9.eyJkb2N1bWVudElEIjoiMjljMTllZTMtZDQ4ZS00NDZmLTg1YTUtMTUwYTc5MmM3ZWNlIiwiYWNjZXNzIjoiVmlldyIsImlhdCI6MTc4ODUwNjk3M30.sw37Z5UEVJ4vZQ_SLoTxaZKPFdmPf_Sphp86NYE_XsM?entryPoint=share-modal</w:t>
        </w:r>
      </w:hyperlink>
    </w:p>
    <w:p>
      <w:pPr>
        <w:pStyle w:val="Heading2"/>
        <w:jc w:val="both"/>
        <w:rPr>
          <w:rFonts w:ascii="Times New Roman" w:hAnsi="Times New Roman"/>
          <w:b/>
          <w:bCs/>
          <w:color w:val="auto"/>
          <w:sz w:val="28"/>
          <w:szCs w:val="28"/>
        </w:rPr>
      </w:pPr>
      <w:r>
        <w:rPr>
          <w:b/>
          <w:bCs/>
          <w:color w:val="auto"/>
          <w:sz w:val="28"/>
          <w:szCs w:val="28"/>
        </w:rPr>
        <w:t>3.3. Implementación de PostgreSQL y conexión</w:t>
      </w:r>
    </w:p>
    <w:p>
      <w:pPr>
        <w:pStyle w:val="Normal"/>
        <w:jc w:val="both"/>
        <w:rPr>
          <w:rFonts w:ascii="Times New Roman" w:hAnsi="Times New Roman"/>
          <w:sz w:val="24"/>
          <w:szCs w:val="24"/>
        </w:rPr>
      </w:pPr>
      <w:r>
        <w:rPr>
          <w:rFonts w:ascii="Times New Roman" w:hAnsi="Times New Roman"/>
          <w:sz w:val="24"/>
          <w:szCs w:val="24"/>
        </w:rPr>
        <w:t>La base de datos se implementó con PostgreSQL y se conectó a la aplicación mediante Prisma. La conexión se proporciona mediante la variable de entorno DATABASE_URL, por lo que las credenciales no se almacenan dentro del repositorio. El entorno local utiliza PostgreSQL mediante Docker Compose y Railway proporciona la instancia correspondiente al ambiente desplegado.</w:t>
      </w:r>
    </w:p>
    <w:p>
      <w:pPr>
        <w:pStyle w:val="Normal"/>
        <w:jc w:val="both"/>
        <w:rPr>
          <w:rFonts w:ascii="Times New Roman" w:hAnsi="Times New Roman"/>
          <w:sz w:val="24"/>
          <w:szCs w:val="24"/>
        </w:rPr>
      </w:pPr>
      <w:r>
        <w:rPr>
          <w:rFonts w:ascii="Times New Roman" w:hAnsi="Times New Roman"/>
          <w:sz w:val="24"/>
          <w:szCs w:val="24"/>
        </w:rPr>
      </w:r>
    </w:p>
    <w:p>
      <w:pPr>
        <w:pStyle w:val="Heading2"/>
        <w:jc w:val="both"/>
        <w:rPr>
          <w:rFonts w:ascii="Times New Roman" w:hAnsi="Times New Roman"/>
          <w:b/>
          <w:bCs/>
          <w:color w:val="auto"/>
          <w:sz w:val="28"/>
          <w:szCs w:val="28"/>
        </w:rPr>
      </w:pPr>
      <w:r>
        <w:rPr>
          <w:b/>
          <w:bCs/>
          <w:color w:val="auto"/>
          <w:sz w:val="28"/>
          <w:szCs w:val="28"/>
        </w:rPr>
        <w:t>3.4. Migraciones, restricciones e índices</w:t>
      </w:r>
    </w:p>
    <w:p>
      <w:pPr>
        <w:pStyle w:val="Normal"/>
        <w:jc w:val="both"/>
        <w:rPr>
          <w:rFonts w:ascii="Times New Roman" w:hAnsi="Times New Roman"/>
          <w:sz w:val="24"/>
          <w:szCs w:val="24"/>
        </w:rPr>
      </w:pPr>
      <w:r>
        <w:rPr>
          <w:rFonts w:ascii="Times New Roman" w:hAnsi="Times New Roman"/>
          <w:sz w:val="24"/>
          <w:szCs w:val="24"/>
        </w:rPr>
        <w:t>La estructura se implementó mediante migraciones versionadas. Estas generan las tablas del modelo junto con sus llaves primarias, llaves foráneas y restricciones de integridad. Se definieron restricciones únicas para el carnet y el correo UVG, así como restricciones compuestas para evitar asignaciones o registros duplicados.</w:t>
      </w:r>
    </w:p>
    <w:tbl>
      <w:tblPr>
        <w:tblW w:w="9360"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op w:val="single" w:sz="4" w:space="0" w:color="A6A6A6"/>
              <w:start w:val="single" w:sz="4" w:space="0" w:color="A6A6A6"/>
              <w:bottom w:val="single" w:sz="4" w:space="0" w:color="A6A6A6"/>
              <w:end w:val="single" w:sz="4" w:space="0" w:color="A6A6A6"/>
            </w:tcBorders>
            <w:shd w:fill="D9E2F3" w:val="clear"/>
            <w:vAlign w:val="center"/>
          </w:tcPr>
          <w:p>
            <w:pPr>
              <w:pStyle w:val="Normal"/>
              <w:jc w:val="both"/>
              <w:rPr>
                <w:rFonts w:ascii="Times New Roman" w:hAnsi="Times New Roman"/>
                <w:sz w:val="24"/>
                <w:szCs w:val="24"/>
              </w:rPr>
            </w:pPr>
            <w:r>
              <w:rPr>
                <w:rFonts w:ascii="Times New Roman" w:hAnsi="Times New Roman"/>
                <w:b/>
                <w:sz w:val="24"/>
                <w:szCs w:val="24"/>
              </w:rPr>
              <w:t>Elemento</w:t>
            </w:r>
          </w:p>
        </w:tc>
        <w:tc>
          <w:tcPr>
            <w:tcW w:w="4680" w:type="dxa"/>
            <w:tcBorders>
              <w:top w:val="single" w:sz="4" w:space="0" w:color="A6A6A6"/>
              <w:start w:val="single" w:sz="4" w:space="0" w:color="A6A6A6"/>
              <w:bottom w:val="single" w:sz="4" w:space="0" w:color="A6A6A6"/>
              <w:end w:val="single" w:sz="4" w:space="0" w:color="A6A6A6"/>
            </w:tcBorders>
            <w:shd w:fill="D9E2F3" w:val="clear"/>
            <w:vAlign w:val="center"/>
          </w:tcPr>
          <w:p>
            <w:pPr>
              <w:pStyle w:val="Normal"/>
              <w:jc w:val="both"/>
              <w:rPr>
                <w:rFonts w:ascii="Times New Roman" w:hAnsi="Times New Roman"/>
                <w:sz w:val="24"/>
                <w:szCs w:val="24"/>
              </w:rPr>
            </w:pPr>
            <w:r>
              <w:rPr>
                <w:rFonts w:ascii="Times New Roman" w:hAnsi="Times New Roman"/>
                <w:b/>
                <w:sz w:val="24"/>
                <w:szCs w:val="24"/>
              </w:rPr>
              <w:t>Aplicación en el modelo</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Llaves primarias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Identifican de manera única cada registro.</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Llaves foráneas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Mantienen las relaciones entre los módulos.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Restricciones únicas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Evitan carnets, correos y relaciones duplicadas.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Índices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Optimizan búsquedas por carnet, correo, fechas y estados.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Integridad</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Valida cantidades, fechas, estados y dependencias.</w:t>
            </w:r>
          </w:p>
        </w:tc>
      </w:tr>
    </w:tbl>
    <w:p>
      <w:pPr>
        <w:pStyle w:val="Normal"/>
        <w:jc w:val="both"/>
        <w:rPr>
          <w:rFonts w:ascii="Times New Roman" w:hAnsi="Times New Roman"/>
          <w:sz w:val="24"/>
          <w:szCs w:val="24"/>
        </w:rPr>
      </w:pPr>
      <w:r>
        <w:rPr>
          <w:rFonts w:ascii="Times New Roman" w:hAnsi="Times New Roman"/>
          <w:sz w:val="24"/>
          <w:szCs w:val="24"/>
        </w:rPr>
      </w:r>
    </w:p>
    <w:p>
      <w:pPr>
        <w:pStyle w:val="Heading2"/>
        <w:jc w:val="both"/>
        <w:rPr/>
      </w:pPr>
      <w:r>
        <w:rPr/>
        <w:t>3.5. Catálogos iniciales</w:t>
      </w:r>
    </w:p>
    <w:p>
      <w:pPr>
        <w:pStyle w:val="Normal"/>
        <w:jc w:val="both"/>
        <w:rPr>
          <w:rFonts w:ascii="Times New Roman" w:hAnsi="Times New Roman"/>
          <w:sz w:val="24"/>
          <w:szCs w:val="24"/>
        </w:rPr>
      </w:pPr>
      <w:r>
        <w:rPr>
          <w:rFonts w:ascii="Times New Roman" w:hAnsi="Times New Roman"/>
          <w:sz w:val="24"/>
          <w:szCs w:val="24"/>
        </w:rPr>
        <w:t>Se definieron catálogos para controlar los valores utilizados en formularios, filtros y reglas del sistema. Estos catálogos reducen inconsistencias y permiten reutilizar las mismas opciones en los distintos módulos.</w:t>
      </w:r>
    </w:p>
    <w:tbl>
      <w:tblPr>
        <w:tblW w:w="9360"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op w:val="single" w:sz="4" w:space="0" w:color="A6A6A6"/>
              <w:start w:val="single" w:sz="4" w:space="0" w:color="A6A6A6"/>
              <w:bottom w:val="single" w:sz="4" w:space="0" w:color="A6A6A6"/>
              <w:end w:val="single" w:sz="4" w:space="0" w:color="A6A6A6"/>
            </w:tcBorders>
            <w:shd w:fill="D9E2F3" w:val="clear"/>
            <w:vAlign w:val="center"/>
          </w:tcPr>
          <w:p>
            <w:pPr>
              <w:pStyle w:val="Normal"/>
              <w:jc w:val="both"/>
              <w:rPr>
                <w:rFonts w:ascii="Times New Roman" w:hAnsi="Times New Roman"/>
                <w:sz w:val="24"/>
                <w:szCs w:val="24"/>
              </w:rPr>
            </w:pPr>
            <w:r>
              <w:rPr>
                <w:rFonts w:ascii="Times New Roman" w:hAnsi="Times New Roman"/>
                <w:b/>
                <w:sz w:val="24"/>
                <w:szCs w:val="24"/>
              </w:rPr>
              <w:t>Catálogo</w:t>
            </w:r>
          </w:p>
        </w:tc>
        <w:tc>
          <w:tcPr>
            <w:tcW w:w="4680" w:type="dxa"/>
            <w:tcBorders>
              <w:top w:val="single" w:sz="4" w:space="0" w:color="A6A6A6"/>
              <w:start w:val="single" w:sz="4" w:space="0" w:color="A6A6A6"/>
              <w:bottom w:val="single" w:sz="4" w:space="0" w:color="A6A6A6"/>
              <w:end w:val="single" w:sz="4" w:space="0" w:color="A6A6A6"/>
            </w:tcBorders>
            <w:shd w:fill="D9E2F3" w:val="clear"/>
            <w:vAlign w:val="center"/>
          </w:tcPr>
          <w:p>
            <w:pPr>
              <w:pStyle w:val="Normal"/>
              <w:jc w:val="both"/>
              <w:rPr>
                <w:rFonts w:ascii="Times New Roman" w:hAnsi="Times New Roman"/>
                <w:sz w:val="24"/>
                <w:szCs w:val="24"/>
              </w:rPr>
            </w:pPr>
            <w:r>
              <w:rPr>
                <w:rFonts w:ascii="Times New Roman" w:hAnsi="Times New Roman"/>
                <w:b/>
                <w:sz w:val="24"/>
                <w:szCs w:val="24"/>
              </w:rPr>
              <w:t>Finalidad</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Facultades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Clasificar las carreras y los estudiantes.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Carreras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Registrar la información académica del estudiante.</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Categorías de eventos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Clasificar y filtrar actividades.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Estados de horas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Diferenciar horas pendientes y acreditadas.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Roles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Controlar los permisos de estudiante, tutor y administrador.</w:t>
            </w:r>
          </w:p>
        </w:tc>
      </w:tr>
    </w:tbl>
    <w:p>
      <w:pPr>
        <w:pStyle w:val="Normal"/>
        <w:jc w:val="both"/>
        <w:rPr>
          <w:rFonts w:ascii="Times New Roman" w:hAnsi="Times New Roman"/>
          <w:sz w:val="24"/>
          <w:szCs w:val="24"/>
        </w:rPr>
      </w:pPr>
      <w:r>
        <w:rPr>
          <w:rFonts w:ascii="Times New Roman" w:hAnsi="Times New Roman"/>
          <w:sz w:val="24"/>
          <w:szCs w:val="24"/>
        </w:rPr>
      </w:r>
    </w:p>
    <w:p>
      <w:pPr>
        <w:pStyle w:val="Heading2"/>
        <w:jc w:val="both"/>
        <w:rPr>
          <w:rFonts w:ascii="Times New Roman" w:hAnsi="Times New Roman"/>
          <w:sz w:val="28"/>
          <w:szCs w:val="28"/>
        </w:rPr>
      </w:pPr>
      <w:r>
        <w:rPr>
          <w:sz w:val="28"/>
          <w:szCs w:val="28"/>
        </w:rPr>
        <w:t>3.6. Información de prueba y documentación</w:t>
      </w:r>
    </w:p>
    <w:p>
      <w:pPr>
        <w:pStyle w:val="Normal"/>
        <w:jc w:val="both"/>
        <w:rPr>
          <w:rFonts w:ascii="Times New Roman" w:hAnsi="Times New Roman"/>
          <w:sz w:val="24"/>
          <w:szCs w:val="24"/>
        </w:rPr>
      </w:pPr>
      <w:r>
        <w:rPr>
          <w:rFonts w:ascii="Times New Roman" w:hAnsi="Times New Roman"/>
          <w:sz w:val="24"/>
          <w:szCs w:val="24"/>
        </w:rPr>
        <w:t>La estructura del modelo quedó documentada para facilitar su mantenimiento y el desarrollo de los módulos posteriores. Asimismo, se preparó la carga de información de prueba necesaria para verificar las relaciones sin utilizar información personal real. Las migraciones, los catálogos y el script de datos de prueba se mantienen versionados junto con el código del proyecto.</w:t>
      </w:r>
    </w:p>
    <w:p>
      <w:pPr>
        <w:pStyle w:val="Normal"/>
        <w:jc w:val="both"/>
        <w:rPr>
          <w:rFonts w:ascii="Times New Roman" w:hAnsi="Times New Roman"/>
          <w:sz w:val="24"/>
          <w:szCs w:val="24"/>
        </w:rPr>
      </w:pPr>
      <w:r>
        <w:rPr>
          <w:rFonts w:ascii="Times New Roman" w:hAnsi="Times New Roman"/>
          <w:sz w:val="24"/>
          <w:szCs w:val="24"/>
        </w:rPr>
      </w:r>
    </w:p>
    <w:p>
      <w:pPr>
        <w:pStyle w:val="Heading2"/>
        <w:jc w:val="both"/>
        <w:rPr>
          <w:rFonts w:ascii="Times New Roman" w:hAnsi="Times New Roman"/>
          <w:sz w:val="28"/>
          <w:szCs w:val="28"/>
        </w:rPr>
      </w:pPr>
      <w:r>
        <w:rPr>
          <w:sz w:val="28"/>
          <w:szCs w:val="28"/>
        </w:rPr>
        <w:t>3.7. Verificación de criterios de aceptación</w:t>
      </w:r>
    </w:p>
    <w:tbl>
      <w:tblPr>
        <w:tblW w:w="9360"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op w:val="single" w:sz="4" w:space="0" w:color="A6A6A6"/>
              <w:start w:val="single" w:sz="4" w:space="0" w:color="A6A6A6"/>
              <w:bottom w:val="single" w:sz="4" w:space="0" w:color="A6A6A6"/>
              <w:end w:val="single" w:sz="4" w:space="0" w:color="A6A6A6"/>
            </w:tcBorders>
            <w:shd w:fill="D9E2F3" w:val="clear"/>
            <w:vAlign w:val="center"/>
          </w:tcPr>
          <w:p>
            <w:pPr>
              <w:pStyle w:val="Normal"/>
              <w:jc w:val="both"/>
              <w:rPr>
                <w:rFonts w:ascii="Times New Roman" w:hAnsi="Times New Roman"/>
                <w:sz w:val="24"/>
                <w:szCs w:val="24"/>
              </w:rPr>
            </w:pPr>
            <w:r>
              <w:rPr>
                <w:rFonts w:ascii="Times New Roman" w:hAnsi="Times New Roman"/>
                <w:b/>
                <w:sz w:val="24"/>
                <w:szCs w:val="24"/>
              </w:rPr>
              <w:t>Criterio</w:t>
            </w:r>
          </w:p>
        </w:tc>
        <w:tc>
          <w:tcPr>
            <w:tcW w:w="4680" w:type="dxa"/>
            <w:tcBorders>
              <w:top w:val="single" w:sz="4" w:space="0" w:color="A6A6A6"/>
              <w:start w:val="single" w:sz="4" w:space="0" w:color="A6A6A6"/>
              <w:bottom w:val="single" w:sz="4" w:space="0" w:color="A6A6A6"/>
              <w:end w:val="single" w:sz="4" w:space="0" w:color="A6A6A6"/>
            </w:tcBorders>
            <w:shd w:fill="D9E2F3" w:val="clear"/>
            <w:vAlign w:val="center"/>
          </w:tcPr>
          <w:p>
            <w:pPr>
              <w:pStyle w:val="Normal"/>
              <w:jc w:val="both"/>
              <w:rPr>
                <w:rFonts w:ascii="Times New Roman" w:hAnsi="Times New Roman"/>
                <w:sz w:val="24"/>
                <w:szCs w:val="24"/>
              </w:rPr>
            </w:pPr>
            <w:r>
              <w:rPr>
                <w:rFonts w:ascii="Times New Roman" w:hAnsi="Times New Roman"/>
                <w:b/>
                <w:sz w:val="24"/>
                <w:szCs w:val="24"/>
              </w:rPr>
              <w:t>Evidencia</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Entidades requeridas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Inventario de entidades y reglas de negocio.</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Relaciones y cardinalidades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Diagrama entidad-relación revisado por el equipo.</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PostgreSQL conectado</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Servicio configurado mediante DATABASE_URL.</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Migraciones iniciales</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Esquema y migraciones versionados en el repositorio.</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Llaves y unicidad</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PK, FK y restricciones para carnet y correo UVG.</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Índices de búsqueda</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Índices definidos para carnet, correo, fechas y estados.</w:t>
            </w:r>
          </w:p>
        </w:tc>
      </w:tr>
      <w:tr>
        <w:trPr/>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Información de prueba</w:t>
            </w:r>
          </w:p>
        </w:tc>
        <w:tc>
          <w:tcPr>
            <w:tcW w:w="4680" w:type="dxa"/>
            <w:tcBorders>
              <w:top w:val="single" w:sz="4" w:space="0" w:color="A6A6A6"/>
              <w:start w:val="single" w:sz="4" w:space="0" w:color="A6A6A6"/>
              <w:bottom w:val="single" w:sz="4" w:space="0" w:color="A6A6A6"/>
              <w:end w:val="single" w:sz="4" w:space="0" w:color="A6A6A6"/>
            </w:tcBorders>
            <w:vAlign w:val="center"/>
          </w:tcPr>
          <w:p>
            <w:pPr>
              <w:pStyle w:val="Normal"/>
              <w:jc w:val="both"/>
              <w:rPr>
                <w:rFonts w:ascii="Times New Roman" w:hAnsi="Times New Roman"/>
                <w:sz w:val="24"/>
                <w:szCs w:val="24"/>
              </w:rPr>
            </w:pPr>
            <w:r>
              <w:rPr>
                <w:rFonts w:ascii="Times New Roman" w:hAnsi="Times New Roman"/>
                <w:sz w:val="24"/>
                <w:szCs w:val="24"/>
              </w:rPr>
              <w:t>Script de carga de datos no personales.</w:t>
            </w:r>
          </w:p>
        </w:tc>
      </w:tr>
    </w:tbl>
    <w:p>
      <w:pPr>
        <w:pStyle w:val="Normal"/>
        <w:jc w:val="both"/>
        <w:rPr>
          <w:rFonts w:ascii="Times New Roman" w:hAnsi="Times New Roman"/>
          <w:sz w:val="24"/>
          <w:szCs w:val="24"/>
        </w:rPr>
      </w:pPr>
      <w:r>
        <w:rPr>
          <w:rFonts w:ascii="Times New Roman" w:hAnsi="Times New Roman"/>
          <w:sz w:val="24"/>
          <w:szCs w:val="24"/>
        </w:rPr>
      </w:r>
    </w:p>
    <w:p>
      <w:pPr>
        <w:pStyle w:val="Heading2"/>
        <w:spacing w:before="0" w:after="120"/>
        <w:jc w:val="both"/>
        <w:rPr>
          <w:rFonts w:ascii="Times New Roman" w:hAnsi="Times New Roman"/>
          <w:sz w:val="24"/>
          <w:szCs w:val="24"/>
        </w:rPr>
      </w:pPr>
      <w:r>
        <w:rPr>
          <w:sz w:val="24"/>
          <w:szCs w:val="24"/>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family w:val="roman"/>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s-GT"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Devanagari"/>
      <w:color w:val="auto"/>
      <w:kern w:val="0"/>
      <w:sz w:val="20"/>
      <w:szCs w:val="20"/>
      <w:lang w:val="es-GT"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spacing w:before="0" w:after="120"/>
    </w:pPr>
    <w:rPr>
      <w:rFonts w:ascii="Times New Roman" w:hAnsi="Times New Roman"/>
      <w:b/>
      <w:bCs/>
      <w:color w:val="auto"/>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EndnoteCharactersuser">
    <w:name w:val="Endnote Characters (user)"/>
    <w:qFormat/>
    <w:rPr>
      <w:vertAlign w:val="superscript"/>
    </w:rPr>
  </w:style>
  <w:style w:type="character" w:styleId="FootnoteCharactersuser">
    <w:name w:val="Footnote Characters (user)"/>
    <w:qFormat/>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Devanagari"/>
      <w:b/>
      <w:bCs/>
      <w:color w:val="auto"/>
      <w:kern w:val="0"/>
      <w:sz w:val="20"/>
      <w:szCs w:val="20"/>
      <w:lang w:val="es-GT"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Devanagari"/>
      <w:color w:val="auto"/>
      <w:kern w:val="0"/>
      <w:sz w:val="20"/>
      <w:szCs w:val="20"/>
      <w:lang w:val="es-G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ermaid.ai/app/projects/8f93c364-8751-41b2-91f2-7ce6b7015c84/diagrams/29c19ee3-d48e-446f-85a5-150a792c7ece/share/invite/eyJhbGciOiJIUzI1NiIsInR5cCI6IkpXVCJ9.eyJkb2N1bWVudElEIjoiMjljMTllZTMtZDQ4ZS00NDZmLTg1YTUtMTUwYTc5MmM3ZWNlIiwiYWNjZXNzIjoiVmlldyIsImlhdCI6MTc4ODUwNjk3M30.sw37Z5UEVJ4vZQ_SLoTxaZKPFdmPf_Sphp86NYE_XsM?entryPoint=share-modal"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LibreOffice/26.2.5.2$Linux_X86_64 LibreOffice_project/620$Build-2</Application>
  <AppVersion>15.0000</AppVersion>
  <Pages>8</Pages>
  <Words>1804</Words>
  <Characters>10947</Characters>
  <CharactersWithSpaces>12603</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2026-08-29T20:54:03Z</dcterms:created>
  <dc:creator>Un-named</dc:creator>
  <dc:description/>
  <dc:language>es-GT</dc:language>
  <cp:lastModifiedBy/>
  <dcterms:modified xsi:type="dcterms:W3CDTF">2026-09-04T02:07:11Z</dcterms:modified>
  <cp:revision>2</cp:revision>
  <dc:subject/>
  <dc:title/>
</cp:coreProperties>
</file>