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815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3827"/>
        <w:gridCol w:w="9514"/>
      </w:tblGrid>
      <w:tr w:rsidR="002D5C7A" w:rsidRPr="002D5C7A" w14:paraId="1E510DE1" w14:textId="77777777" w:rsidTr="002D5C7A">
        <w:trPr>
          <w:gridAfter w:val="1"/>
        </w:trPr>
        <w:tc>
          <w:tcPr>
            <w:tcW w:w="4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B8DCB" w14:textId="77777777" w:rsidR="002D5C7A" w:rsidRPr="002D5C7A" w:rsidRDefault="002D5C7A" w:rsidP="002D5C7A">
            <w:pPr>
              <w:ind w:left="-23" w:right="-1134"/>
            </w:pPr>
            <w:r w:rsidRPr="002D5C7A">
              <w:t>Elle met en parallèle deux réalités pour en faire ressortir des ressemblances ou des différences.</w:t>
            </w:r>
          </w:p>
          <w:p w14:paraId="10AB87F4" w14:textId="77777777" w:rsidR="002D5C7A" w:rsidRPr="002D5C7A" w:rsidRDefault="002D5C7A" w:rsidP="002D5C7A">
            <w:pPr>
              <w:ind w:left="-23" w:right="-1134"/>
            </w:pPr>
            <w:r w:rsidRPr="002D5C7A">
              <w:t>Elle est habituellement formée à partir d’un </w:t>
            </w:r>
            <w:hyperlink r:id="rId5" w:anchor="terme-compartif" w:history="1">
              <w:r w:rsidRPr="002D5C7A">
                <w:rPr>
                  <w:rStyle w:val="Lienhypertexte"/>
                </w:rPr>
                <w:t>terme comparatif</w:t>
              </w:r>
            </w:hyperlink>
            <w:r w:rsidRPr="002D5C7A">
              <w:t> (comme), d’un verbe marquant la comparaison (ressembler), d’une </w:t>
            </w:r>
            <w:hyperlink r:id="rId6" w:anchor="les-sens-et-le-mode-du-verbe-de-la-subordonne-complement-de-phrase" w:tgtFrame="_blank" w:history="1">
              <w:r w:rsidRPr="002D5C7A">
                <w:rPr>
                  <w:rStyle w:val="Lienhypertexte"/>
                </w:rPr>
                <w:t>subordonnée de comparaison</w:t>
              </w:r>
            </w:hyperlink>
            <w:r w:rsidRPr="002D5C7A">
              <w:t> ou d’un terme qui marque la restriction (excepté).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8B6200" w14:textId="77777777" w:rsidR="002D5C7A" w:rsidRPr="002D5C7A" w:rsidRDefault="002D5C7A" w:rsidP="002D5C7A">
            <w:pPr>
              <w:ind w:left="142" w:right="-1134"/>
            </w:pPr>
            <w:r w:rsidRPr="002D5C7A">
              <w:t>Le tyrannosaure, tout comme l’allosaure, pouvait mesurer jusqu’à 12 mètres de long.</w:t>
            </w:r>
          </w:p>
          <w:p w14:paraId="413B62FB" w14:textId="77777777" w:rsidR="002D5C7A" w:rsidRPr="002D5C7A" w:rsidRDefault="002D5C7A" w:rsidP="002D5C7A">
            <w:pPr>
              <w:ind w:left="142" w:right="-1134"/>
            </w:pPr>
            <w:r w:rsidRPr="002D5C7A">
              <w:t>Contrairement à la majorité des arbres caduques, le chêne anglais conserve la plupart de ses feuilles durant l’hiver.</w:t>
            </w:r>
          </w:p>
        </w:tc>
      </w:tr>
      <w:tr w:rsidR="002D5C7A" w:rsidRPr="002D5C7A" w14:paraId="03450E22" w14:textId="77777777" w:rsidTr="002D5C7A">
        <w:tc>
          <w:tcPr>
            <w:tcW w:w="4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3F3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E2A49" w14:textId="77777777" w:rsidR="002D5C7A" w:rsidRPr="002D5C7A" w:rsidRDefault="002D5C7A" w:rsidP="002D5C7A">
            <w:pPr>
              <w:ind w:left="-23" w:right="-1134"/>
            </w:pPr>
            <w:r w:rsidRPr="002D5C7A">
              <w:t>La définition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8F92E" w14:textId="77777777" w:rsidR="002D5C7A" w:rsidRPr="002D5C7A" w:rsidRDefault="002D5C7A" w:rsidP="002D5C7A">
            <w:pPr>
              <w:ind w:left="142" w:right="-1134"/>
            </w:pPr>
            <w:r w:rsidRPr="002D5C7A">
              <w:t>Elle permet de décrire le sens d’un terme technique ou scientifique qui est susceptible d’être mal compris.</w:t>
            </w:r>
          </w:p>
          <w:p w14:paraId="087C1834" w14:textId="77777777" w:rsidR="002D5C7A" w:rsidRPr="002D5C7A" w:rsidRDefault="002D5C7A" w:rsidP="002D5C7A">
            <w:pPr>
              <w:ind w:left="142" w:right="-1134"/>
            </w:pPr>
            <w:r w:rsidRPr="002D5C7A">
              <w:t>Elle est souvent introduite par les expressions est, sont, c’est, c’est-à-dire, soit, etc.</w:t>
            </w:r>
          </w:p>
          <w:p w14:paraId="1BB9491A" w14:textId="77777777" w:rsidR="002D5C7A" w:rsidRPr="002D5C7A" w:rsidRDefault="002D5C7A" w:rsidP="002D5C7A">
            <w:pPr>
              <w:ind w:left="142" w:right="-1134"/>
            </w:pPr>
            <w:r w:rsidRPr="002D5C7A">
              <w:t>Elle est parfois placée entre </w:t>
            </w:r>
            <w:hyperlink r:id="rId7" w:history="1">
              <w:r w:rsidRPr="002D5C7A">
                <w:rPr>
                  <w:rStyle w:val="Lienhypertexte"/>
                </w:rPr>
                <w:t>parenthèses</w:t>
              </w:r>
            </w:hyperlink>
            <w:r w:rsidRPr="002D5C7A">
              <w:t>, </w:t>
            </w:r>
            <w:hyperlink r:id="rId8" w:history="1">
              <w:r w:rsidRPr="002D5C7A">
                <w:rPr>
                  <w:rStyle w:val="Lienhypertexte"/>
                </w:rPr>
                <w:t>virgules</w:t>
              </w:r>
            </w:hyperlink>
            <w:r w:rsidRPr="002D5C7A">
              <w:t> ou </w:t>
            </w:r>
            <w:hyperlink r:id="rId9" w:history="1">
              <w:r w:rsidRPr="002D5C7A">
                <w:rPr>
                  <w:rStyle w:val="Lienhypertexte"/>
                </w:rPr>
                <w:t>tirets</w:t>
              </w:r>
            </w:hyperlink>
            <w:r w:rsidRPr="002D5C7A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6257D" w14:textId="77777777" w:rsidR="002D5C7A" w:rsidRPr="002D5C7A" w:rsidRDefault="002D5C7A" w:rsidP="002D5C7A">
            <w:pPr>
              <w:ind w:left="142" w:right="-1134"/>
            </w:pPr>
            <w:r w:rsidRPr="002D5C7A">
              <w:t>Un ultrason est une vibration acoustique de fréquence si élevée qu’elle ne peut pas être perçue par l’être humain.</w:t>
            </w:r>
          </w:p>
          <w:p w14:paraId="6E490B58" w14:textId="77777777" w:rsidR="002D5C7A" w:rsidRPr="002D5C7A" w:rsidRDefault="002D5C7A" w:rsidP="002D5C7A">
            <w:pPr>
              <w:ind w:left="142" w:right="-1134"/>
            </w:pPr>
            <w:r w:rsidRPr="002D5C7A">
              <w:t>Il est plus facile de flotter dans l’eau de la mer Morte en raison de sa salinité, c’est-à-dire sa teneur en sel.</w:t>
            </w:r>
          </w:p>
        </w:tc>
      </w:tr>
      <w:tr w:rsidR="002D5C7A" w:rsidRPr="002D5C7A" w14:paraId="24CD62B5" w14:textId="77777777" w:rsidTr="002D5C7A">
        <w:tc>
          <w:tcPr>
            <w:tcW w:w="4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3F3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BD5D8" w14:textId="77777777" w:rsidR="002D5C7A" w:rsidRPr="002D5C7A" w:rsidRDefault="002D5C7A" w:rsidP="002D5C7A">
            <w:pPr>
              <w:ind w:left="-23" w:right="-1134"/>
            </w:pPr>
            <w:r w:rsidRPr="002D5C7A">
              <w:t>L’exemple ou l’analogie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76863" w14:textId="77777777" w:rsidR="002D5C7A" w:rsidRPr="002D5C7A" w:rsidRDefault="002D5C7A" w:rsidP="002D5C7A">
            <w:pPr>
              <w:ind w:left="142" w:right="-1134"/>
            </w:pPr>
            <w:r w:rsidRPr="002D5C7A">
              <w:t>Ce procédé illustre de manière concrète une idée.</w:t>
            </w:r>
          </w:p>
          <w:p w14:paraId="12BC48D1" w14:textId="77777777" w:rsidR="002D5C7A" w:rsidRPr="002D5C7A" w:rsidRDefault="002D5C7A" w:rsidP="002D5C7A">
            <w:pPr>
              <w:ind w:left="142" w:right="-1134"/>
            </w:pPr>
            <w:r w:rsidRPr="002D5C7A">
              <w:t>Il est souvent introduit par les expressions par exemple, entre autres, comme, etc.</w:t>
            </w:r>
          </w:p>
          <w:p w14:paraId="5C42409F" w14:textId="77777777" w:rsidR="002D5C7A" w:rsidRPr="002D5C7A" w:rsidRDefault="002D5C7A" w:rsidP="002D5C7A">
            <w:pPr>
              <w:ind w:left="142" w:right="-1134"/>
            </w:pPr>
            <w:r w:rsidRPr="002D5C7A">
              <w:t>Il est parfois placé dans une énumération ou entre parenthèses.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5E8EA" w14:textId="77777777" w:rsidR="002D5C7A" w:rsidRPr="002D5C7A" w:rsidRDefault="002D5C7A" w:rsidP="002D5C7A">
            <w:pPr>
              <w:ind w:left="142" w:right="-1134"/>
            </w:pPr>
            <w:r w:rsidRPr="002D5C7A">
              <w:t xml:space="preserve">Plusieurs lacs se trouvent à des altitudes négatives. Par exemple, le lac </w:t>
            </w:r>
            <w:proofErr w:type="spellStart"/>
            <w:r w:rsidRPr="002D5C7A">
              <w:t>Assal</w:t>
            </w:r>
            <w:proofErr w:type="spellEnd"/>
            <w:r w:rsidRPr="002D5C7A">
              <w:t xml:space="preserve"> à Djibouti se situe à 153 mètres sous le niveau de la mer.</w:t>
            </w:r>
          </w:p>
          <w:p w14:paraId="01B556BE" w14:textId="77777777" w:rsidR="002D5C7A" w:rsidRPr="002D5C7A" w:rsidRDefault="002D5C7A" w:rsidP="002D5C7A">
            <w:pPr>
              <w:ind w:left="142" w:right="-1134"/>
            </w:pPr>
            <w:r w:rsidRPr="002D5C7A">
              <w:t>Certaines pierres (agate, jade, œil-de-tigre, tourmaline, etc.) sont considérées comme étant semi-précieuses.</w:t>
            </w:r>
          </w:p>
        </w:tc>
      </w:tr>
      <w:tr w:rsidR="002D5C7A" w:rsidRPr="002D5C7A" w14:paraId="37B68DA3" w14:textId="77777777" w:rsidTr="002D5C7A">
        <w:tc>
          <w:tcPr>
            <w:tcW w:w="4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3F3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08F9F" w14:textId="77777777" w:rsidR="002D5C7A" w:rsidRPr="002D5C7A" w:rsidRDefault="002D5C7A" w:rsidP="002D5C7A">
            <w:pPr>
              <w:ind w:left="-23" w:right="-1134"/>
            </w:pPr>
            <w:r w:rsidRPr="002D5C7A">
              <w:t>L’illustration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A2BDC0" w14:textId="77777777" w:rsidR="002D5C7A" w:rsidRPr="002D5C7A" w:rsidRDefault="002D5C7A" w:rsidP="002D5C7A">
            <w:pPr>
              <w:ind w:left="142" w:right="-1134"/>
            </w:pPr>
            <w:r w:rsidRPr="002D5C7A">
              <w:t>Elle permet de résumer des explications ou d’ajouter de l’information grâce à un schéma, un dessin, un tableau, une carte, un graphique, etc.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6334E" w14:textId="7910C17C" w:rsidR="002D5C7A" w:rsidRPr="002D5C7A" w:rsidRDefault="002D5C7A" w:rsidP="002D5C7A">
            <w:pPr>
              <w:ind w:left="142" w:right="-1134"/>
            </w:pPr>
            <w:r w:rsidRPr="002D5C7A">
              <w:drawing>
                <wp:inline distT="0" distB="0" distL="0" distR="0" wp14:anchorId="5978CC65" wp14:editId="6DA549E5">
                  <wp:extent cx="5760720" cy="3656965"/>
                  <wp:effectExtent l="0" t="0" r="0" b="0"/>
                  <wp:docPr id="936299390" name="Image 4" descr="Mappemonde montrant la moyenne de la consommation de viande par année par habitant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Mappemonde montrant la moyenne de la consommation de viande par année par habitant.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65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3F41" w14:textId="39649BDB" w:rsidR="002D5C7A" w:rsidRPr="002D5C7A" w:rsidRDefault="002D5C7A" w:rsidP="002D5C7A">
            <w:pPr>
              <w:ind w:left="142" w:right="-1134"/>
            </w:pPr>
            <w:r w:rsidRPr="002D5C7A">
              <w:lastRenderedPageBreak/>
              <w:drawing>
                <wp:inline distT="0" distB="0" distL="0" distR="0" wp14:anchorId="0A4616F6" wp14:editId="645203B1">
                  <wp:extent cx="5760720" cy="3315335"/>
                  <wp:effectExtent l="0" t="0" r="0" b="0"/>
                  <wp:docPr id="163714367" name="Image 3" descr="Illustration montrant les différentes parties de l’œi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llustration montrant les différentes parties de l’œi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C7A" w:rsidRPr="002D5C7A" w14:paraId="5226486D" w14:textId="77777777" w:rsidTr="002D5C7A">
        <w:tc>
          <w:tcPr>
            <w:tcW w:w="48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3F3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464C7" w14:textId="77777777" w:rsidR="002D5C7A" w:rsidRPr="002D5C7A" w:rsidRDefault="002D5C7A" w:rsidP="002D5C7A">
            <w:pPr>
              <w:ind w:left="-23" w:right="-1134"/>
            </w:pPr>
            <w:r w:rsidRPr="002D5C7A">
              <w:lastRenderedPageBreak/>
              <w:t>La reformulation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B19D5" w14:textId="77777777" w:rsidR="002D5C7A" w:rsidRPr="002D5C7A" w:rsidRDefault="002D5C7A" w:rsidP="002D5C7A">
            <w:pPr>
              <w:ind w:left="142" w:right="-1134"/>
            </w:pPr>
            <w:r w:rsidRPr="002D5C7A">
              <w:t>Elle consiste à redire de façon plus simple une idée qui a déjà été dite.</w:t>
            </w:r>
          </w:p>
          <w:p w14:paraId="149ADDD1" w14:textId="77777777" w:rsidR="002D5C7A" w:rsidRPr="002D5C7A" w:rsidRDefault="002D5C7A" w:rsidP="002D5C7A">
            <w:pPr>
              <w:ind w:left="142" w:right="-1134"/>
            </w:pPr>
            <w:r w:rsidRPr="002D5C7A">
              <w:t>Elle est souvent introduite par les expressions c’est-à-dire, en d’autres termes, autrement dit, ce qui veut dire que…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3C61D0" w14:textId="77777777" w:rsidR="002D5C7A" w:rsidRPr="002D5C7A" w:rsidRDefault="002D5C7A" w:rsidP="002D5C7A">
            <w:pPr>
              <w:ind w:left="142" w:right="-1134"/>
            </w:pPr>
            <w:r w:rsidRPr="002D5C7A">
              <w:t>Le biome situé le plus au Nord est un endroit où la température est basse et où il y a peu de précipitations. Autrement dit, la toundra arctique a un climat froid et sec.</w:t>
            </w:r>
          </w:p>
          <w:p w14:paraId="6B811598" w14:textId="77777777" w:rsidR="002D5C7A" w:rsidRPr="002D5C7A" w:rsidRDefault="002D5C7A" w:rsidP="002D5C7A">
            <w:pPr>
              <w:ind w:left="142" w:right="-1134"/>
            </w:pPr>
            <w:r w:rsidRPr="002D5C7A">
              <w:t>Le sol de la taïga est pauvre en nutriments, ne permet pas des systèmes racinaires profonds et est acide, ce qui veut dire qu’il est peu fertile.</w:t>
            </w:r>
          </w:p>
        </w:tc>
      </w:tr>
    </w:tbl>
    <w:p w14:paraId="6C029034" w14:textId="77777777" w:rsidR="00834BDF" w:rsidRPr="002D5C7A" w:rsidRDefault="00834BDF" w:rsidP="002D5C7A">
      <w:pPr>
        <w:ind w:left="142" w:right="-1134"/>
      </w:pPr>
    </w:p>
    <w:sectPr w:rsidR="00834BDF" w:rsidRPr="002D5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D48"/>
    <w:multiLevelType w:val="multilevel"/>
    <w:tmpl w:val="7F7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115A"/>
    <w:multiLevelType w:val="multilevel"/>
    <w:tmpl w:val="BE1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8F5"/>
    <w:multiLevelType w:val="multilevel"/>
    <w:tmpl w:val="36B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A5226"/>
    <w:multiLevelType w:val="multilevel"/>
    <w:tmpl w:val="7298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A4469"/>
    <w:multiLevelType w:val="multilevel"/>
    <w:tmpl w:val="8BCE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22408"/>
    <w:multiLevelType w:val="multilevel"/>
    <w:tmpl w:val="1E9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66F38"/>
    <w:multiLevelType w:val="multilevel"/>
    <w:tmpl w:val="2B84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73364"/>
    <w:multiLevelType w:val="multilevel"/>
    <w:tmpl w:val="713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B6C2D"/>
    <w:multiLevelType w:val="multilevel"/>
    <w:tmpl w:val="9906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771017">
    <w:abstractNumId w:val="2"/>
  </w:num>
  <w:num w:numId="2" w16cid:durableId="1046493836">
    <w:abstractNumId w:val="4"/>
  </w:num>
  <w:num w:numId="3" w16cid:durableId="1443039116">
    <w:abstractNumId w:val="5"/>
  </w:num>
  <w:num w:numId="4" w16cid:durableId="57631110">
    <w:abstractNumId w:val="3"/>
  </w:num>
  <w:num w:numId="5" w16cid:durableId="867183778">
    <w:abstractNumId w:val="1"/>
  </w:num>
  <w:num w:numId="6" w16cid:durableId="57094766">
    <w:abstractNumId w:val="8"/>
  </w:num>
  <w:num w:numId="7" w16cid:durableId="1573420217">
    <w:abstractNumId w:val="6"/>
  </w:num>
  <w:num w:numId="8" w16cid:durableId="905914029">
    <w:abstractNumId w:val="0"/>
  </w:num>
  <w:num w:numId="9" w16cid:durableId="868837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7A"/>
    <w:rsid w:val="00203CCA"/>
    <w:rsid w:val="002D5C7A"/>
    <w:rsid w:val="00834BDF"/>
    <w:rsid w:val="009A58E6"/>
    <w:rsid w:val="00CD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685B"/>
  <w15:chartTrackingRefBased/>
  <w15:docId w15:val="{0678F6BD-C4AA-4FE0-870D-66B20DFE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D5C7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5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9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27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419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25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097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oprof.qc.ca/fr/eleves/bv/francais/la-virgule-f116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lloprof.qc.ca/fr/eleves/bv/francais/les-parentheses-f117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loprof.qc.ca/fr/eleves/bv/francais/la-subordonnee-complement-de-phrase-f1154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lloprof.qc.ca/fr/eleves/bv/francais/la-comparaison-f1369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alloprof.qc.ca/fr/eleves/bv/francais/le-tiret-f117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1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2024-10-12T06:08:00Z</cp:lastPrinted>
  <dcterms:created xsi:type="dcterms:W3CDTF">2024-10-12T05:39:00Z</dcterms:created>
  <dcterms:modified xsi:type="dcterms:W3CDTF">2024-10-15T15:26:00Z</dcterms:modified>
</cp:coreProperties>
</file>