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835" w:rsidRPr="003F4835" w:rsidRDefault="003F4835" w:rsidP="003F4835">
      <w:pPr>
        <w:shd w:val="clear" w:color="auto" w:fill="FFFFFF"/>
        <w:spacing w:after="0" w:line="330" w:lineRule="atLeast"/>
        <w:jc w:val="both"/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  <w:t>Dans un essai intitulé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002A45"/>
          <w:sz w:val="21"/>
          <w:szCs w:val="21"/>
          <w:lang w:val="fr-FR"/>
        </w:rPr>
        <w:t>L’Acte et le Lieu de la poésie</w:t>
      </w:r>
      <w:r w:rsidRPr="003F4835"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  <w:t>, Yves Bonnefoy affirme qu’il ne croit pas « qu’il soit de poésie vraie aujourd’hui qui ne veuille chercher jusqu’à son dernier souffle à fonder un espoir ». Dans quelle mesure la poésie peut-elle représenter un espoir pour l’être humain ?</w:t>
      </w:r>
    </w:p>
    <w:p w:rsidR="003F4835" w:rsidRPr="003F4835" w:rsidRDefault="003F4835" w:rsidP="003F4835">
      <w:pPr>
        <w:shd w:val="clear" w:color="auto" w:fill="FFFFFF"/>
        <w:spacing w:after="30" w:line="330" w:lineRule="atLeast"/>
        <w:jc w:val="both"/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  <w:t>Vous répondrez à la question en vous appuyant sur les textes du corpus, les textes que vous avez étudiés en classe et sur vos lectures personnelles.</w:t>
      </w:r>
    </w:p>
    <w:p w:rsidR="003F4835" w:rsidRPr="003F4835" w:rsidRDefault="003F4835" w:rsidP="003F4835">
      <w:pPr>
        <w:shd w:val="clear" w:color="auto" w:fill="FFFFFF"/>
        <w:spacing w:after="150" w:line="330" w:lineRule="atLeast"/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</w:pPr>
      <w:hyperlink r:id="rId5" w:history="1">
        <w:r w:rsidRPr="003F4835">
          <w:rPr>
            <w:rFonts w:ascii="signikaLight" w:eastAsia="Times New Roman" w:hAnsi="signikaLight" w:cs="Times New Roman"/>
            <w:i/>
            <w:iCs/>
            <w:color w:val="0000FF"/>
            <w:sz w:val="21"/>
            <w:szCs w:val="21"/>
            <w:u w:val="single"/>
            <w:lang w:val="fr-FR"/>
          </w:rPr>
          <w:t>Les textes du corpus sont reproduits dans le sujet n</w:t>
        </w:r>
        <w:r w:rsidRPr="003F4835">
          <w:rPr>
            <w:rFonts w:ascii="signikaLight" w:eastAsia="Times New Roman" w:hAnsi="signikaLight" w:cs="Times New Roman"/>
            <w:i/>
            <w:iCs/>
            <w:color w:val="0000FF"/>
            <w:sz w:val="16"/>
            <w:szCs w:val="16"/>
            <w:u w:val="single"/>
            <w:vertAlign w:val="superscript"/>
            <w:lang w:val="fr-FR"/>
          </w:rPr>
          <w:t>o</w:t>
        </w:r>
        <w:r w:rsidRPr="003F4835">
          <w:rPr>
            <w:rFonts w:ascii="signikaLight" w:eastAsia="Times New Roman" w:hAnsi="signikaLight" w:cs="Times New Roman"/>
            <w:i/>
            <w:iCs/>
            <w:color w:val="0000FF"/>
            <w:sz w:val="21"/>
            <w:szCs w:val="21"/>
            <w:u w:val="single"/>
            <w:lang w:val="fr-FR"/>
          </w:rPr>
          <w:t> 9.</w:t>
        </w:r>
      </w:hyperlink>
    </w:p>
    <w:p w:rsidR="003F4835" w:rsidRPr="003F4835" w:rsidRDefault="003F4835" w:rsidP="003F4835">
      <w:pPr>
        <w:spacing w:after="225" w:line="300" w:lineRule="atLeast"/>
        <w:outlineLvl w:val="0"/>
        <w:rPr>
          <w:rFonts w:ascii="signikaLight" w:eastAsia="Times New Roman" w:hAnsi="signikaLight" w:cs="Times New Roman"/>
          <w:b/>
          <w:bCs/>
          <w:color w:val="563C72"/>
          <w:kern w:val="36"/>
          <w:sz w:val="30"/>
          <w:szCs w:val="30"/>
        </w:rPr>
      </w:pPr>
      <w:r w:rsidRPr="003F4835">
        <w:rPr>
          <w:rFonts w:ascii="signikaLight" w:eastAsia="Times New Roman" w:hAnsi="signikaLight" w:cs="Times New Roman"/>
          <w:b/>
          <w:bCs/>
          <w:color w:val="563C72"/>
          <w:kern w:val="36"/>
          <w:sz w:val="30"/>
          <w:szCs w:val="30"/>
        </w:rPr>
        <w:t>Comprendre le sujet</w:t>
      </w:r>
    </w:p>
    <w:p w:rsidR="003F4835" w:rsidRPr="003F4835" w:rsidRDefault="003F4835" w:rsidP="003F4835">
      <w:pPr>
        <w:numPr>
          <w:ilvl w:val="0"/>
          <w:numId w:val="1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« fonder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/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représenter un espoir »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renvoie à l’efficacité de la poésie qui aiderait l’homme à mieux vivre.</w:t>
      </w:r>
    </w:p>
    <w:p w:rsidR="003F4835" w:rsidRPr="003F4835" w:rsidRDefault="003F4835" w:rsidP="003F4835">
      <w:pPr>
        <w:numPr>
          <w:ilvl w:val="0"/>
          <w:numId w:val="1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La consigne ne demande pas si la poésie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doit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« fonder un espoir » (il ne s’agit pas des fonctions de la poésie), mais si elle « 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peut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 » le faire.</w:t>
      </w:r>
    </w:p>
    <w:p w:rsidR="003F4835" w:rsidRPr="003F4835" w:rsidRDefault="003F4835" w:rsidP="003F4835">
      <w:pPr>
        <w:numPr>
          <w:ilvl w:val="0"/>
          <w:numId w:val="1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Le titre de l’essai de Bonnefoy renvoie précisément à la 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poésie engagée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.</w:t>
      </w:r>
    </w:p>
    <w:p w:rsidR="003F4835" w:rsidRPr="003F4835" w:rsidRDefault="003F4835" w:rsidP="003F4835">
      <w:pPr>
        <w:numPr>
          <w:ilvl w:val="0"/>
          <w:numId w:val="1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La 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problématique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peut être reformulée ainsi :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Jusqu’à quel point la poésie est-elle particulièrement apte à donner de l’espoir ?</w:t>
      </w:r>
    </w:p>
    <w:p w:rsidR="003F4835" w:rsidRPr="003F4835" w:rsidRDefault="003F4835" w:rsidP="003F4835">
      <w:pPr>
        <w:spacing w:before="225" w:after="225" w:line="300" w:lineRule="atLeast"/>
        <w:outlineLvl w:val="0"/>
        <w:rPr>
          <w:rFonts w:ascii="signikaLight" w:eastAsia="Times New Roman" w:hAnsi="signikaLight" w:cs="Times New Roman"/>
          <w:b/>
          <w:bCs/>
          <w:color w:val="563C72"/>
          <w:kern w:val="36"/>
          <w:sz w:val="30"/>
          <w:szCs w:val="30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563C72"/>
          <w:kern w:val="36"/>
          <w:sz w:val="30"/>
          <w:szCs w:val="30"/>
          <w:lang w:val="fr-FR"/>
        </w:rPr>
        <w:t>Chercher des idées</w:t>
      </w:r>
    </w:p>
    <w:p w:rsidR="003F4835" w:rsidRPr="003F4835" w:rsidRDefault="003F4835" w:rsidP="003F4835">
      <w:pPr>
        <w:shd w:val="clear" w:color="auto" w:fill="FFF79A"/>
        <w:spacing w:before="150" w:after="150" w:line="150" w:lineRule="atLeast"/>
        <w:outlineLvl w:val="1"/>
        <w:rPr>
          <w:rFonts w:ascii="signikaLight" w:eastAsia="Times New Roman" w:hAnsi="signikaLight" w:cs="Times New Roman"/>
          <w:caps/>
          <w:color w:val="34886E"/>
          <w:sz w:val="23"/>
          <w:szCs w:val="23"/>
          <w:lang w:val="fr-FR"/>
        </w:rPr>
      </w:pPr>
      <w:r w:rsidRPr="003F4835">
        <w:rPr>
          <w:rFonts w:ascii="signikaLight" w:eastAsia="Times New Roman" w:hAnsi="signikaLight" w:cs="Times New Roman"/>
          <w:caps/>
          <w:color w:val="34886E"/>
          <w:sz w:val="23"/>
          <w:szCs w:val="23"/>
          <w:lang w:val="fr-FR"/>
        </w:rPr>
        <w:t>CHOIX D’UN PLAN</w:t>
      </w:r>
    </w:p>
    <w:p w:rsidR="003F4835" w:rsidRPr="003F4835" w:rsidRDefault="003F4835" w:rsidP="003F4835">
      <w:pPr>
        <w:numPr>
          <w:ilvl w:val="0"/>
          <w:numId w:val="2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« Dans quelle mesure »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invite à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mesurer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l’efficacité de la poésie pour donner espoir et laisse place à une discussion.</w:t>
      </w:r>
    </w:p>
    <w:p w:rsidR="003F4835" w:rsidRPr="003F4835" w:rsidRDefault="003F4835" w:rsidP="003F4835">
      <w:pPr>
        <w:numPr>
          <w:ilvl w:val="0"/>
          <w:numId w:val="2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Scindez la problématique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en plusieurs sous-questions :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Pourquoi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et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comment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(= par quels moyens)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la poésie est-elle apte à donner espoir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 ?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Quels sont ses atouts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pour donner espoir ?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Quelles sont ses limites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 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?</w:t>
      </w:r>
    </w:p>
    <w:p w:rsidR="003F4835" w:rsidRPr="003F4835" w:rsidRDefault="003F4835" w:rsidP="003F4835">
      <w:pPr>
        <w:numPr>
          <w:ilvl w:val="0"/>
          <w:numId w:val="2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« poésie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vraie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 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»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semble désigner cette fonction de la poésie comme indispensable. Vous pouvez vous demander si « fonder un espoir » est sa seule fonction et en faire éventuellement une 3</w:t>
      </w:r>
      <w:r w:rsidRPr="003F4835">
        <w:rPr>
          <w:rFonts w:ascii="signikaLight" w:eastAsia="Times New Roman" w:hAnsi="signikaLight" w:cs="Times New Roman"/>
          <w:color w:val="3A3A3A"/>
          <w:sz w:val="16"/>
          <w:szCs w:val="16"/>
          <w:vertAlign w:val="superscript"/>
          <w:lang w:val="fr-FR"/>
        </w:rPr>
        <w:t>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partie.</w:t>
      </w:r>
    </w:p>
    <w:p w:rsidR="003F4835" w:rsidRPr="003F4835" w:rsidRDefault="003F4835" w:rsidP="003F4835">
      <w:pPr>
        <w:shd w:val="clear" w:color="auto" w:fill="FFF79A"/>
        <w:spacing w:before="150" w:after="150" w:line="150" w:lineRule="atLeast"/>
        <w:outlineLvl w:val="1"/>
        <w:rPr>
          <w:rFonts w:ascii="signikaLight" w:eastAsia="Times New Roman" w:hAnsi="signikaLight" w:cs="Times New Roman"/>
          <w:caps/>
          <w:color w:val="34886E"/>
          <w:sz w:val="23"/>
          <w:szCs w:val="23"/>
        </w:rPr>
      </w:pPr>
      <w:r w:rsidRPr="003F4835">
        <w:rPr>
          <w:rFonts w:ascii="signikaLight" w:eastAsia="Times New Roman" w:hAnsi="signikaLight" w:cs="Times New Roman"/>
          <w:caps/>
          <w:color w:val="34886E"/>
          <w:sz w:val="23"/>
          <w:szCs w:val="23"/>
        </w:rPr>
        <w:t>ARGUMENTS ET EXEMPLES</w:t>
      </w:r>
    </w:p>
    <w:p w:rsidR="003F4835" w:rsidRPr="003F4835" w:rsidRDefault="003F4835" w:rsidP="003F4835">
      <w:pPr>
        <w:numPr>
          <w:ilvl w:val="0"/>
          <w:numId w:val="3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Pour trouver des 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arguments,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commencez vos phrases par :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La poésie est efficace pour (re)donner espoir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,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parce que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… </w:t>
      </w:r>
      <w:r w:rsidRPr="003F4835">
        <w:rPr>
          <w:rFonts w:ascii="signikaLight" w:eastAsia="Times New Roman" w:hAnsi="signikaLight" w:cs="Times New Roman"/>
          <w:i/>
          <w:iCs/>
          <w:color w:val="3A3A3A"/>
          <w:sz w:val="21"/>
          <w:szCs w:val="21"/>
          <w:lang w:val="fr-FR"/>
        </w:rPr>
        <w:t>ou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</w:t>
      </w:r>
      <w:r w:rsidRPr="003F4835">
        <w:rPr>
          <w:rFonts w:ascii="signikaSemiBold" w:eastAsia="Times New Roman" w:hAnsi="signikaSemiBold" w:cs="Times New Roman"/>
          <w:b/>
          <w:bCs/>
          <w:i/>
          <w:iCs/>
          <w:color w:val="3A3A3A"/>
          <w:sz w:val="21"/>
          <w:szCs w:val="21"/>
          <w:lang w:val="fr-FR"/>
        </w:rPr>
        <w:t>grâce à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…</w:t>
      </w:r>
    </w:p>
    <w:p w:rsidR="003F4835" w:rsidRPr="003F4835" w:rsidRDefault="003F4835" w:rsidP="003F4835">
      <w:pPr>
        <w:numPr>
          <w:ilvl w:val="0"/>
          <w:numId w:val="3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Pour trouver des </w:t>
      </w:r>
      <w:r w:rsidRPr="003F4835">
        <w:rPr>
          <w:rFonts w:ascii="signikaSemiBold" w:eastAsia="Times New Roman" w:hAnsi="signikaSemiBold" w:cs="Times New Roman"/>
          <w:b/>
          <w:bCs/>
          <w:color w:val="3A3A3A"/>
          <w:sz w:val="21"/>
          <w:szCs w:val="21"/>
          <w:lang w:val="fr-FR"/>
        </w:rPr>
        <w:t>exemples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, faites une liste :</w:t>
      </w:r>
    </w:p>
    <w:p w:rsidR="003F4835" w:rsidRPr="003F4835" w:rsidRDefault="003F4835" w:rsidP="003F4835">
      <w:pPr>
        <w:numPr>
          <w:ilvl w:val="0"/>
          <w:numId w:val="4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de poètes engagés en retenant des exemples précis ; « aujourd’hui » renvoie à la poésie contemporaine et au contexte des xx</w:t>
      </w:r>
      <w:r w:rsidRPr="003F4835">
        <w:rPr>
          <w:rFonts w:ascii="signikaLight" w:eastAsia="Times New Roman" w:hAnsi="signikaLight" w:cs="Times New Roman"/>
          <w:color w:val="3A3A3A"/>
          <w:sz w:val="16"/>
          <w:szCs w:val="16"/>
          <w:vertAlign w:val="superscript"/>
          <w:lang w:val="fr-FR"/>
        </w:rPr>
        <w:t>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et xxi</w:t>
      </w:r>
      <w:r w:rsidRPr="003F4835">
        <w:rPr>
          <w:rFonts w:ascii="signikaLight" w:eastAsia="Times New Roman" w:hAnsi="signikaLight" w:cs="Times New Roman"/>
          <w:color w:val="3A3A3A"/>
          <w:sz w:val="16"/>
          <w:szCs w:val="16"/>
          <w:vertAlign w:val="superscript"/>
          <w:lang w:val="fr-FR"/>
        </w:rPr>
        <w:t>e</w:t>
      </w: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 siècles ;</w:t>
      </w:r>
    </w:p>
    <w:p w:rsidR="003F4835" w:rsidRPr="003F4835" w:rsidRDefault="003F4835" w:rsidP="003F4835">
      <w:pPr>
        <w:numPr>
          <w:ilvl w:val="0"/>
          <w:numId w:val="4"/>
        </w:numPr>
        <w:shd w:val="clear" w:color="auto" w:fill="FFF79A"/>
        <w:spacing w:before="100" w:beforeAutospacing="1" w:after="100" w:afterAutospacing="1" w:line="330" w:lineRule="atLeast"/>
        <w:ind w:left="600"/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3A3A3A"/>
          <w:sz w:val="21"/>
          <w:szCs w:val="21"/>
          <w:lang w:val="fr-FR"/>
        </w:rPr>
        <w:t>des questions abordées par les poètes et des causes possibles de « désespoir » (guerre, injustice, malheur, condition humaine, mort…).</w:t>
      </w:r>
    </w:p>
    <w:p w:rsidR="003F4835" w:rsidRPr="003F4835" w:rsidRDefault="003F4835" w:rsidP="003F4835">
      <w:pPr>
        <w:shd w:val="clear" w:color="auto" w:fill="FFF79A"/>
        <w:spacing w:before="225" w:after="225" w:line="330" w:lineRule="atLeast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&gt;</w:t>
      </w:r>
      <w:r w:rsidRPr="003F4835">
        <w:rPr>
          <w:rFonts w:ascii="signikaSemiBold" w:eastAsia="Times New Roman" w:hAnsi="signikaSemiBold" w:cs="Times New Roman"/>
          <w:b/>
          <w:bCs/>
          <w:color w:val="002A45"/>
          <w:sz w:val="21"/>
          <w:szCs w:val="21"/>
          <w:lang w:val="fr-FR"/>
        </w:rPr>
        <w:t>Pour réussir la dissertation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: voir guide méthodologique.</w:t>
      </w:r>
    </w:p>
    <w:p w:rsidR="003F4835" w:rsidRPr="003F4835" w:rsidRDefault="003F4835" w:rsidP="003F4835">
      <w:pPr>
        <w:shd w:val="clear" w:color="auto" w:fill="FFF79A"/>
        <w:spacing w:before="225" w:after="225" w:line="330" w:lineRule="atLeast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lastRenderedPageBreak/>
        <w:t>&gt;</w:t>
      </w:r>
      <w:r w:rsidRPr="003F4835">
        <w:rPr>
          <w:rFonts w:ascii="signikaSemiBold" w:eastAsia="Times New Roman" w:hAnsi="signikaSemiBold" w:cs="Times New Roman"/>
          <w:b/>
          <w:bCs/>
          <w:color w:val="002A45"/>
          <w:sz w:val="21"/>
          <w:szCs w:val="21"/>
          <w:lang w:val="fr-FR"/>
        </w:rPr>
        <w:t>La poésie :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voir mémento des notions.</w:t>
      </w:r>
    </w:p>
    <w:p w:rsidR="003F4835" w:rsidRPr="003F4835" w:rsidRDefault="003F4835" w:rsidP="003F4835">
      <w:pPr>
        <w:shd w:val="clear" w:color="auto" w:fill="E90040"/>
        <w:spacing w:line="240" w:lineRule="auto"/>
        <w:jc w:val="center"/>
        <w:rPr>
          <w:rFonts w:ascii="pompiereRegular" w:eastAsia="Times New Roman" w:hAnsi="pompiereRegular" w:cs="Times New Roman"/>
          <w:caps/>
          <w:color w:val="FFFFFF"/>
          <w:sz w:val="24"/>
          <w:szCs w:val="24"/>
          <w:lang w:val="fr-FR"/>
        </w:rPr>
      </w:pPr>
      <w:r w:rsidRPr="003F4835">
        <w:rPr>
          <w:rFonts w:ascii="pompiereRegular" w:eastAsia="Times New Roman" w:hAnsi="pompiereRegular" w:cs="Times New Roman"/>
          <w:caps/>
          <w:color w:val="FFFFFF"/>
          <w:sz w:val="24"/>
          <w:szCs w:val="24"/>
          <w:lang w:val="fr-FR"/>
        </w:rPr>
        <w:t>CORRIGÉ</w:t>
      </w:r>
    </w:p>
    <w:p w:rsidR="003F4835" w:rsidRPr="003F4835" w:rsidRDefault="003F4835" w:rsidP="003F4835">
      <w:pPr>
        <w:shd w:val="clear" w:color="auto" w:fill="FFFFFF"/>
        <w:spacing w:after="75" w:line="330" w:lineRule="atLeast"/>
        <w:rPr>
          <w:rFonts w:ascii="signikaLight" w:eastAsia="Times New Roman" w:hAnsi="signikaLight" w:cs="Arial"/>
          <w:i/>
          <w:iCs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Arial"/>
          <w:i/>
          <w:iCs/>
          <w:color w:val="002A45"/>
          <w:sz w:val="21"/>
          <w:szCs w:val="21"/>
          <w:lang w:val="fr-FR"/>
        </w:rPr>
        <w:t>Les titres en couleur ne doivent pas figurer sur la copie.</w:t>
      </w:r>
    </w:p>
    <w:p w:rsidR="003F4835" w:rsidRPr="003F4835" w:rsidRDefault="003F4835" w:rsidP="003F4835">
      <w:pPr>
        <w:spacing w:before="75" w:after="75" w:line="270" w:lineRule="atLeast"/>
        <w:outlineLvl w:val="2"/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  <w:t>Introduction</w:t>
      </w:r>
    </w:p>
    <w:p w:rsidR="003F4835" w:rsidRPr="003F4835" w:rsidRDefault="003F4835" w:rsidP="003F4835">
      <w:pPr>
        <w:shd w:val="clear" w:color="auto" w:fill="FFFFFF"/>
        <w:spacing w:before="225" w:after="225" w:line="330" w:lineRule="atLeast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[Amorce] « La poésie ne doit pas périr. Car alors, où serait l’espoir du Monde ? » Par ces mots, Senghor, dans sa postface à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Éthiopiques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, lie intimement poésie et espoir. [Problématique] Jusqu’à quel point la poésie peut-elle aider l’homme à vivre et à surmonter ses « tragédies » (Aragon), à « fonder un espoir » (Bonnefoy) et à préparer un avenir meilleur ? [Annonce du plan] Pour le poète comme pour le lecteur, la poésie est confidence et partage, en même temps qu’évasion des contingences du monde qu’elle rend moins lourdes [I]. En témoignant, en donnant la parole à ceux qui ne l’ont pas, en dénonçant et en incitant à l’action, le poète œuvre à la transformation et à l’amélioration du monde [II]. Cependant la poésie ne saurait remplacer l’action et l’on peut concevoir que (re)donner espoir ne soit pas sa seule fonction [III].</w:t>
      </w:r>
    </w:p>
    <w:p w:rsidR="003F4835" w:rsidRPr="003F4835" w:rsidRDefault="003F4835" w:rsidP="003F4835">
      <w:pPr>
        <w:spacing w:before="75" w:after="75" w:line="270" w:lineRule="atLeast"/>
        <w:outlineLvl w:val="2"/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  <w:t>I. La poésie permet de dire, de partager, de s’évader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1. Elle donne espoir à celui qui écrit : elle soulage et sublime</w:t>
      </w:r>
    </w:p>
    <w:p w:rsidR="003F4835" w:rsidRPr="003F4835" w:rsidRDefault="003F4835" w:rsidP="003F4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Le poète qui souffre, qui a perdu espoir, en exhalant ses sentiments s’en décharge : « Demain dès l’aube » et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Les Contemplations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permettent à Hugo de surmonter son mal, d’accepter la mort de sa fille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 personnels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Bien plus, la poésie sublime la souffrance et le désespoir : ainsi, Du Bellay, qui se sent exilé à Rome, confesse dans ses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Regrets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: « Je pleure mes ennuis, / </w:t>
      </w:r>
      <w:r w:rsidRPr="003F4835"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  <w:t>Ou, pour le dire mieux, en pleurant je les chante ; / Si bien qu’en les chantant, souvent je les enchante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».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2. Elle donne espoir parce qu’elle est partage avec le lecteur</w:t>
      </w:r>
    </w:p>
    <w:p w:rsidR="003F4835" w:rsidRPr="003F4835" w:rsidRDefault="003F4835" w:rsidP="003F48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 permet au poète de partager ses souffrances avec le lecteur et ainsi de ne plus se sentir seul : le poème permet de « s’unir le temps d’une révolte, d’une brève lutte, d’un refus du malheur » (Romain Gary).</w:t>
      </w:r>
    </w:p>
    <w:p w:rsidR="003F4835" w:rsidRPr="003F4835" w:rsidRDefault="003F4835" w:rsidP="003F48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Ce bienfait s’exerce aussi sur le lecteur qui reconnaît dans les sentiments du poète les siens propres : « Ah ! Quand je vous parle de moi, je vous parle de vous. Comment ne le sentez-vous pas ? Ah ! Insensé qui croit que je ne suis pas toi ! » (Hugo,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Contemplations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). Le lecteur voit dans le poète un frère de souffrance et se sent compris ; mais le poète, artiste, a la science des mots et sait formuler ce que le lecteur n’arrive pas à exprimer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à développer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3. Elle apporte l’oubli et transforme le monde</w:t>
      </w:r>
    </w:p>
    <w:p w:rsidR="003F4835" w:rsidRPr="003F4835" w:rsidRDefault="003F4835" w:rsidP="003F4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 apporte l’oubli : Henri Michaux voit là une de ses principales vertus : « Pourquoi faut-il que je compose ? / pour briser l’étau peut-être, / pour me noyer peut-être […] / Pour noyer le mal, / le mal et les angles des choses / […] et le dur et le calleux des choses / et le poids et l’encombrement des choses » (« Premières impressions »,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Passages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).</w:t>
      </w:r>
    </w:p>
    <w:p w:rsidR="003F4835" w:rsidRPr="003F4835" w:rsidRDefault="003F4835" w:rsidP="003F4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lastRenderedPageBreak/>
        <w:t>La poésie, par les images qu’elle oppose à la réalité, crée des mondes merveilleux qui favorisent l’évasion loin des contingences du monde, et offre la possibilité de rêver. Pour lutter contre le spleen, Baudelaire écrit « Invitation au voyage » : « Mon enfant, ma sœur, / Songe à la douceur / D’aller là-bas vivre ensemble ! […] Là, tout n’est qu’ordre et beauté / Luxe, calme et volupté ».</w:t>
      </w:r>
    </w:p>
    <w:p w:rsidR="003F4835" w:rsidRPr="003F4835" w:rsidRDefault="003F4835" w:rsidP="003F4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 parvient aussi à rendre beau le laid et à transformer le monde. Baudelaire s’adresse à la ville (Paris) : « Tes bombes, tes poignards […] / Tes faubourgs mélancoliques,/ […] Tes désespoirs d’enfant, tes jeux de vieille folle, / Tes découragements ; […] Tu m’as donné ta boue et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j’en ai fait de l’or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» (projet d’épilogue pour la 2</w:t>
      </w:r>
      <w:r w:rsidRPr="003F4835">
        <w:rPr>
          <w:rFonts w:ascii="signikaLight" w:eastAsia="Times New Roman" w:hAnsi="signikaLight" w:cs="Times New Roman"/>
          <w:color w:val="002A45"/>
          <w:sz w:val="16"/>
          <w:szCs w:val="16"/>
          <w:vertAlign w:val="superscript"/>
          <w:lang w:val="fr-FR"/>
        </w:rPr>
        <w:t>e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édition des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Fleurs du mal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). Musset, incarcéré, par ses vers transfigure sa cellule où « les rayons de l’automne / Jettent encor / Sur ce toit plat et monotone /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Un réseau d’or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» (« Le mie prigioni »).</w:t>
      </w:r>
    </w:p>
    <w:p w:rsidR="003F4835" w:rsidRPr="003F4835" w:rsidRDefault="003F4835" w:rsidP="003F4835">
      <w:pPr>
        <w:spacing w:before="75" w:after="75" w:line="270" w:lineRule="atLeast"/>
        <w:outlineLvl w:val="2"/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  <w:t>II. La poésie témoigne, dénonce, appelle à l’action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1. Le poète inspiré « parle pour… », « tient par la main »</w:t>
      </w:r>
    </w:p>
    <w:p w:rsidR="003F4835" w:rsidRPr="003F4835" w:rsidRDefault="003F4835" w:rsidP="003F4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Le poète parle pour ceux qui ne peuvent − parce qu’ils sont bâillonnés − ni ne savent parler 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 :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« Melancholia », de Hugo ; le corpus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 ».</w:t>
      </w:r>
    </w:p>
    <w:p w:rsidR="003F4835" w:rsidRPr="003F4835" w:rsidRDefault="003F4835" w:rsidP="003F4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Le poète (re)donne une identité aux oubliés, les fait exister. Merle « décode [le] nom » des victimes des nazis, leur « rend [leur] nom » et les sauve de l’oubli (« Ce poignet démis de toi »). Césaire donne une existence à ses frères noirs oubliés : « Ma bouche sera la bouche des malheurs qui n’ont point de bouche, ma voix, la liberté de celles qui s’affaissent au cachot du désespoir ».</w:t>
      </w:r>
    </w:p>
    <w:p w:rsidR="003F4835" w:rsidRPr="003F4835" w:rsidRDefault="003F4835" w:rsidP="003F4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 xml:space="preserve">Par les mots, le poète « tien[t] par la main / La main de tous les hommes » (Roy), parce qu’il exprime les malheurs de « ce cœur qui n’était que silence ». Il crée ainsi une chaîne de fraternité où « chaque douleur humaine » est étreinte : « Qui vous frappe me frappe », dit Roy. 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</w:rPr>
        <w:t>Or la solidarité suscite l’espoir.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2. Témoigner et dénoncer : la poésie « crie, accuse, espère »</w:t>
      </w:r>
    </w:p>
    <w:p w:rsidR="003F4835" w:rsidRPr="003F4835" w:rsidRDefault="003F4835" w:rsidP="003F483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Parce qu’il est plus sensible, le poète perçoit le monde différemment. C’est ce qui le rend apte à témoigner. « Tout […] ce qu’on met par écrit contient encore un petit grain d’espoir, quand bien même il ne serait venu que du seul désespoir » (Elias Canetti,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Le Territoire de l’homme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)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 personnels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Parce que le poète est lucide, parce que la poésie est concise, elle est efficace pour dénoncer : le « chant » se fait « cri » et revendication. Et tout cri est appel, donc espoir. « C’est quoi une vie d’homme ? […] c’est une lutte entre l’espoir et le désespoir, entre la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lucidité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et la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ferveur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… je suis du côté de l’espérance, mais d’une espérance conquise, lucide, hors de toute naïveté », explique Césaire (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Présence africaine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, entretien). Dans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Châtiments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, Hugo, sur tous les tons (lyrique, burlesque, épique), stigmatise l’oppression liberticide de Napoléon le Petit : « Le poète a un pied dans la boue, un œil sur les étoiles et un poignard dans la main. »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3. Elle appelle à l’action, transforme le monde</w:t>
      </w:r>
    </w:p>
    <w:p w:rsidR="003F4835" w:rsidRPr="003F4835" w:rsidRDefault="003F4835" w:rsidP="003F483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 xml:space="preserve">Le poète est aussi homme d’action. Sous l’occupation nazie, un groupe de poètes fait entendre sa voix, pour appeler la nation à se dresser contre l’oppresseur ; certains poèmes seront même déversés par avion sur les populations civiles pour redonner courage à ceux qui l’ont perdu. « C’est vers l’action que les poètes à la vue 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lastRenderedPageBreak/>
        <w:t xml:space="preserve">immense sont, un jour ou l’autre, entraînés » (Eluard). Le poète chilien Neruda fait de sa poésie une « insurrection ». « Aux armes ! À vos fourches, à vos couteaux… », crie le poète mis en scène par Daumal (« Les dernières paroles du poète »). 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</w:rPr>
        <w:t>En ce sens, le poète donne espoir.</w:t>
      </w:r>
    </w:p>
    <w:p w:rsidR="003F4835" w:rsidRPr="003F4835" w:rsidRDefault="003F4835" w:rsidP="003F483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poésie, par ses dénonciations mais aussi par ses messages pacificateurs, peut « transformer » (Roy) la destinée de l’homme et le monde. Ce serait grâce à sa « Ballade des pendus » que Villon aurait échappé à la potence. Plus largement, le poème « Liberté » d’Eluard a contribué à la Résistance.</w:t>
      </w:r>
    </w:p>
    <w:p w:rsidR="003F4835" w:rsidRPr="003F4835" w:rsidRDefault="003F4835" w:rsidP="003F483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D’où vient cette efficacité de la poésie ? Des « outils » du poète. « Les mots, pour nous, écrivains, sont les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pierres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dont nous nous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bâtissons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. C’est en les maniant, […] 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en les caressant du bout des doigts et du stylo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que nous les mettons chacun à sa place, pour construire à longueur d’année, sans perdre espoir, obstinément, patiemment », écrit l’écrivain turc Orhan Pamuk.</w:t>
      </w:r>
    </w:p>
    <w:p w:rsidR="003F4835" w:rsidRPr="003F4835" w:rsidRDefault="003F4835" w:rsidP="003F4835">
      <w:pPr>
        <w:spacing w:before="75" w:after="75" w:line="270" w:lineRule="atLeast"/>
        <w:outlineLvl w:val="2"/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  <w:t>III. D’autres fonctions de la poésie ?</w:t>
      </w:r>
    </w:p>
    <w:p w:rsidR="003F4835" w:rsidRPr="003F4835" w:rsidRDefault="003F4835" w:rsidP="003F4835">
      <w:pPr>
        <w:shd w:val="clear" w:color="auto" w:fill="FFFFFF"/>
        <w:spacing w:after="0" w:line="240" w:lineRule="auto"/>
        <w:textAlignment w:val="center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 </w:t>
      </w:r>
    </w:p>
    <w:p w:rsidR="003F4835" w:rsidRPr="003F4835" w:rsidRDefault="003F4835" w:rsidP="003F4835">
      <w:pPr>
        <w:shd w:val="clear" w:color="auto" w:fill="FFFFFF"/>
        <w:spacing w:before="225" w:after="225" w:line="330" w:lineRule="atLeast"/>
        <w:textAlignment w:val="center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002A45"/>
          <w:sz w:val="21"/>
          <w:szCs w:val="21"/>
          <w:lang w:val="fr-FR"/>
        </w:rPr>
        <w:t>Conseil</w:t>
      </w:r>
    </w:p>
    <w:p w:rsidR="003F4835" w:rsidRPr="003F4835" w:rsidRDefault="003F4835" w:rsidP="003F4835">
      <w:pPr>
        <w:shd w:val="clear" w:color="auto" w:fill="FFFFFF"/>
        <w:spacing w:before="225" w:after="225" w:line="330" w:lineRule="atLeast"/>
        <w:textAlignment w:val="center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Dans un sujet, l’expression « Dans quelle mesure… » invite à discuter la thèse proposée.</w:t>
      </w:r>
    </w:p>
    <w:p w:rsidR="003F4835" w:rsidRPr="003F4835" w:rsidRDefault="003F4835" w:rsidP="003F4835">
      <w:pPr>
        <w:shd w:val="clear" w:color="auto" w:fill="FFFFFF"/>
        <w:spacing w:after="75" w:line="330" w:lineRule="atLeast"/>
        <w:rPr>
          <w:rFonts w:ascii="signikaLight" w:eastAsia="Times New Roman" w:hAnsi="signikaLight" w:cs="Arial"/>
          <w:i/>
          <w:iCs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Arial"/>
          <w:i/>
          <w:iCs/>
          <w:color w:val="002A45"/>
          <w:sz w:val="21"/>
          <w:szCs w:val="21"/>
          <w:lang w:val="fr-FR"/>
        </w:rPr>
        <w:t>Cette troisième partie se présente sous forme de plan succinct, car elle est optionnelle et qu’il s’agit d’une question de cours.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1. Une efficacité qui a ses limites</w:t>
      </w:r>
    </w:p>
    <w:p w:rsidR="003F4835" w:rsidRPr="003F4835" w:rsidRDefault="003F4835" w:rsidP="003F483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Parce que les mots ne sont pas l’action : « Ce ne sont pas les mots d’amour / Qui détournent les tragédies » (Aragon).</w:t>
      </w:r>
    </w:p>
    <w:p w:rsidR="003F4835" w:rsidRPr="003F4835" w:rsidRDefault="003F4835" w:rsidP="003F483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Parce que censure et dictature peuvent museler le poète.</w:t>
      </w:r>
    </w:p>
    <w:p w:rsidR="003F4835" w:rsidRPr="003F4835" w:rsidRDefault="003F4835" w:rsidP="003F483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Parce que la poésie n’est pas comprise par tous : nécessité d’une sensibilité et de la capacité d’interpréter le non-dit, l’implicite.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2. D’autres conceptions pour la poésie ?</w:t>
      </w:r>
    </w:p>
    <w:p w:rsidR="003F4835" w:rsidRPr="003F4835" w:rsidRDefault="003F4835" w:rsidP="003F483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poésie-peinture, l’art pour l’art et le parti pris esthétique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Pénétrer les mystères du monde cachés au profane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La poésie, simple jeu sur le langage [</w:t>
      </w:r>
      <w:r w:rsidRPr="003F4835">
        <w:rPr>
          <w:rFonts w:ascii="signikaLight" w:eastAsia="Times New Roman" w:hAnsi="signikaLight" w:cs="Times New Roman"/>
          <w:i/>
          <w:iCs/>
          <w:color w:val="002A45"/>
          <w:sz w:val="21"/>
          <w:szCs w:val="21"/>
          <w:lang w:val="fr-FR"/>
        </w:rPr>
        <w:t>exemples</w:t>
      </w: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].</w:t>
      </w:r>
    </w:p>
    <w:p w:rsidR="003F4835" w:rsidRPr="003F4835" w:rsidRDefault="003F4835" w:rsidP="003F4835">
      <w:pPr>
        <w:shd w:val="clear" w:color="auto" w:fill="FFFFFF"/>
        <w:spacing w:before="75" w:after="75" w:line="270" w:lineRule="atLeast"/>
        <w:outlineLvl w:val="3"/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DC641C"/>
          <w:sz w:val="18"/>
          <w:szCs w:val="18"/>
          <w:lang w:val="fr-FR"/>
        </w:rPr>
        <w:t>3. Existe-t-il une seule et « vraie » poésie ?</w:t>
      </w:r>
    </w:p>
    <w:p w:rsidR="003F4835" w:rsidRPr="003F4835" w:rsidRDefault="003F4835" w:rsidP="003F48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Mais, paradoxalement, donner à lire une œuvre d’art pur, jouer avec le langage, créer l’humour ne peuvent-ils, par la distraction qu’ils proposent (« divertissement » pascalien), « aider aussi à vivre » par l’oubli du désespoir ?</w:t>
      </w:r>
    </w:p>
    <w:p w:rsidR="003F4835" w:rsidRPr="003F4835" w:rsidRDefault="003F4835" w:rsidP="003F48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30" w:lineRule="atLeast"/>
        <w:ind w:left="0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L’idéal pour la poésie ne réside-t-il pas dans la combinaison de toutes ces conceptions ? Roy, Aragon mêlent lyrisme amoureux et engagement ; Prévert mêle jeu sur les mots, humour et engagement…</w:t>
      </w:r>
    </w:p>
    <w:p w:rsidR="003F4835" w:rsidRPr="003F4835" w:rsidRDefault="003F4835" w:rsidP="003F4835">
      <w:pPr>
        <w:spacing w:before="75" w:after="75" w:line="270" w:lineRule="atLeast"/>
        <w:outlineLvl w:val="2"/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b/>
          <w:bCs/>
          <w:color w:val="7B344B"/>
          <w:sz w:val="21"/>
          <w:szCs w:val="21"/>
          <w:lang w:val="fr-FR"/>
        </w:rPr>
        <w:lastRenderedPageBreak/>
        <w:t>Conclusion</w:t>
      </w:r>
    </w:p>
    <w:p w:rsidR="003F4835" w:rsidRPr="003F4835" w:rsidRDefault="003F4835" w:rsidP="003F4835">
      <w:pPr>
        <w:shd w:val="clear" w:color="auto" w:fill="FFFFFF"/>
        <w:spacing w:before="225" w:after="225" w:line="330" w:lineRule="atLeast"/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</w:pPr>
      <w:r w:rsidRPr="003F4835">
        <w:rPr>
          <w:rFonts w:ascii="signikaLight" w:eastAsia="Times New Roman" w:hAnsi="signikaLight" w:cs="Times New Roman"/>
          <w:color w:val="002A45"/>
          <w:sz w:val="21"/>
          <w:szCs w:val="21"/>
          <w:lang w:val="fr-FR"/>
        </w:rPr>
        <w:t>Dans les temps difficiles, face à des situations injustes, le poète, comme tout artiste, ne peut se taire. Lui sait trouver les mots, pour alerter, pour condamner : il n’a pas le droit de déserter. Mais est-ce à dire que quand les injustices reculent, quand le désespoir se fait plus rare, le poète est condamné au silence ?</w:t>
      </w:r>
    </w:p>
    <w:p w:rsidR="001E43F6" w:rsidRPr="003F4835" w:rsidRDefault="001E43F6">
      <w:pPr>
        <w:rPr>
          <w:lang w:val="fr-FR"/>
        </w:rPr>
      </w:pPr>
      <w:bookmarkStart w:id="0" w:name="_GoBack"/>
      <w:bookmarkEnd w:id="0"/>
    </w:p>
    <w:sectPr w:rsidR="001E43F6" w:rsidRPr="003F483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gnikaLight">
    <w:altName w:val="Times New Roman"/>
    <w:panose1 w:val="00000000000000000000"/>
    <w:charset w:val="00"/>
    <w:family w:val="roman"/>
    <w:notTrueType/>
    <w:pitch w:val="default"/>
  </w:font>
  <w:font w:name="signikaSemiBold">
    <w:altName w:val="Times New Roman"/>
    <w:panose1 w:val="00000000000000000000"/>
    <w:charset w:val="00"/>
    <w:family w:val="roman"/>
    <w:notTrueType/>
    <w:pitch w:val="default"/>
  </w:font>
  <w:font w:name="pompiere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12F2B"/>
    <w:multiLevelType w:val="multilevel"/>
    <w:tmpl w:val="A1C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DB52D7"/>
    <w:multiLevelType w:val="multilevel"/>
    <w:tmpl w:val="B484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9F1582"/>
    <w:multiLevelType w:val="multilevel"/>
    <w:tmpl w:val="950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A81B68"/>
    <w:multiLevelType w:val="multilevel"/>
    <w:tmpl w:val="5A8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418DE"/>
    <w:multiLevelType w:val="multilevel"/>
    <w:tmpl w:val="8B0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D0B38"/>
    <w:multiLevelType w:val="multilevel"/>
    <w:tmpl w:val="2E5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A81318"/>
    <w:multiLevelType w:val="multilevel"/>
    <w:tmpl w:val="7EF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B96236"/>
    <w:multiLevelType w:val="multilevel"/>
    <w:tmpl w:val="143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E14C56"/>
    <w:multiLevelType w:val="multilevel"/>
    <w:tmpl w:val="A62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7C14F0"/>
    <w:multiLevelType w:val="multilevel"/>
    <w:tmpl w:val="FB9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C10457"/>
    <w:multiLevelType w:val="multilevel"/>
    <w:tmpl w:val="425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0F116F"/>
    <w:multiLevelType w:val="multilevel"/>
    <w:tmpl w:val="E72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F6E37"/>
    <w:multiLevelType w:val="multilevel"/>
    <w:tmpl w:val="FFC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11"/>
  </w:num>
  <w:num w:numId="5">
    <w:abstractNumId w:val="7"/>
  </w:num>
  <w:num w:numId="6">
    <w:abstractNumId w:val="0"/>
  </w:num>
  <w:num w:numId="7">
    <w:abstractNumId w:val="10"/>
  </w:num>
  <w:num w:numId="8">
    <w:abstractNumId w:val="4"/>
  </w:num>
  <w:num w:numId="9">
    <w:abstractNumId w:val="5"/>
  </w:num>
  <w:num w:numId="10">
    <w:abstractNumId w:val="2"/>
  </w:num>
  <w:num w:numId="11">
    <w:abstractNumId w:val="8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35"/>
    <w:rsid w:val="001E43F6"/>
    <w:rsid w:val="003F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7A305-2072-4673-81C9-CD6D16D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F4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3F4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F4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3F48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4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3F48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F48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3F48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4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F4835"/>
    <w:rPr>
      <w:b/>
      <w:bCs/>
    </w:rPr>
  </w:style>
  <w:style w:type="character" w:styleId="Accentuation">
    <w:name w:val="Emphasis"/>
    <w:basedOn w:val="Policepardfaut"/>
    <w:uiPriority w:val="20"/>
    <w:qFormat/>
    <w:rsid w:val="003F4835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3F48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4435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10190">
                                      <w:marLeft w:val="0"/>
                                      <w:marRight w:val="0"/>
                                      <w:marTop w:val="7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16016">
                                      <w:marLeft w:val="0"/>
                                      <w:marRight w:val="0"/>
                                      <w:marTop w:val="7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908399">
                                  <w:marLeft w:val="600"/>
                                  <w:marRight w:val="0"/>
                                  <w:marTop w:val="375"/>
                                  <w:marBottom w:val="1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4900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064356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04225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9948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3752">
                          <w:marLeft w:val="0"/>
                          <w:marRight w:val="0"/>
                          <w:marTop w:val="75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415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99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74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21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8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27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5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350230">
                              <w:marLeft w:val="150"/>
                              <w:marRight w:val="0"/>
                              <w:marTop w:val="0"/>
                              <w:marBottom w:val="150"/>
                              <w:divBdr>
                                <w:top w:val="single" w:sz="18" w:space="0" w:color="F0D001"/>
                                <w:left w:val="single" w:sz="18" w:space="31" w:color="F0D001"/>
                                <w:bottom w:val="single" w:sz="18" w:space="8" w:color="F0D001"/>
                                <w:right w:val="single" w:sz="18" w:space="8" w:color="F0D001"/>
                              </w:divBdr>
                              <w:divsChild>
                                <w:div w:id="19666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32007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43989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2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7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0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41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nabac.com/content/un-espoir-pour-l%E2%80%99etre-hu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2018-05-01T15:53:00Z</dcterms:created>
  <dcterms:modified xsi:type="dcterms:W3CDTF">2018-05-01T15:54:00Z</dcterms:modified>
</cp:coreProperties>
</file>