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AE17FC" w14:textId="77777777" w:rsidR="001F1AF5" w:rsidRPr="001F1AF5" w:rsidRDefault="001F1AF5" w:rsidP="001F1AF5">
      <w:pPr>
        <w:spacing w:after="120" w:line="360" w:lineRule="auto"/>
        <w:jc w:val="center"/>
        <w:rPr>
          <w:b/>
          <w:bCs/>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F1AF5">
        <w:rPr>
          <w:b/>
          <w:bCs/>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L’engagement en littérature</w:t>
      </w:r>
    </w:p>
    <w:p w14:paraId="2CDAE80E" w14:textId="77777777" w:rsidR="001F1AF5" w:rsidRDefault="001F1AF5" w:rsidP="001F1AF5">
      <w:pPr>
        <w:spacing w:after="120"/>
      </w:pPr>
      <w:r>
        <w:t>Les écrivains prennent position, témoigne, dénonce, faisant de leur plume une arme et de leur talent un instrument eu service de cause. L'engagement fait entrer en jeu la volonté de définir une position et de s'y tenir, par rapport à un contexte politique, religieux ou social. Pour les écrivains, l'action consiste à écrire en transformant, selon Sartre, « sa plume en épée ».</w:t>
      </w:r>
    </w:p>
    <w:p w14:paraId="65051BD4" w14:textId="77777777" w:rsidR="001F1AF5" w:rsidRPr="0094480F" w:rsidRDefault="001F1AF5" w:rsidP="001F1AF5">
      <w:pPr>
        <w:spacing w:after="120"/>
        <w:rPr>
          <w:u w:val="single"/>
        </w:rPr>
      </w:pPr>
      <w:r w:rsidRPr="0094480F">
        <w:rPr>
          <w:u w:val="single"/>
        </w:rPr>
        <w:t>Le XVIIème siècle</w:t>
      </w:r>
    </w:p>
    <w:p w14:paraId="10097D71" w14:textId="77777777" w:rsidR="001F1AF5" w:rsidRDefault="001F1AF5" w:rsidP="001F1AF5">
      <w:pPr>
        <w:spacing w:after="120"/>
      </w:pPr>
      <w:r>
        <w:t>Le XVIIe siècle se caractérise par une dénonciation souvent orientée vers la Cour, dont l'hypocrisie ambiante paraît insupportable sur le plan morale, et éminemment nuisible sur le plan politique et social :</w:t>
      </w:r>
    </w:p>
    <w:p w14:paraId="571E2154" w14:textId="1D4C4839" w:rsidR="001F1AF5" w:rsidRDefault="001F1AF5" w:rsidP="0094480F">
      <w:pPr>
        <w:pStyle w:val="Paragraphedeliste"/>
        <w:numPr>
          <w:ilvl w:val="0"/>
          <w:numId w:val="1"/>
        </w:numPr>
        <w:spacing w:after="120"/>
      </w:pPr>
      <w:r>
        <w:t xml:space="preserve">Jean de la Fontaine : </w:t>
      </w:r>
    </w:p>
    <w:p w14:paraId="39F18615" w14:textId="77777777" w:rsidR="001F1AF5" w:rsidRDefault="001F1AF5" w:rsidP="001F1AF5">
      <w:pPr>
        <w:spacing w:after="120"/>
      </w:pPr>
      <w:r>
        <w:t xml:space="preserve">Le fabuliste Jean de La Fontaine, dans ses Fables, égratigne régulièrement les </w:t>
      </w:r>
    </w:p>
    <w:p w14:paraId="01B1A30F" w14:textId="77777777" w:rsidR="001F1AF5" w:rsidRDefault="001F1AF5" w:rsidP="001F1AF5">
      <w:pPr>
        <w:spacing w:after="120"/>
      </w:pPr>
      <w:r>
        <w:t>Pratiques des courtisans, mais également les abus de pouvoir des puissants.</w:t>
      </w:r>
    </w:p>
    <w:p w14:paraId="16C9183F" w14:textId="7DC2C78B" w:rsidR="001F1AF5" w:rsidRDefault="001F1AF5" w:rsidP="0094480F">
      <w:pPr>
        <w:pStyle w:val="Paragraphedeliste"/>
        <w:numPr>
          <w:ilvl w:val="0"/>
          <w:numId w:val="1"/>
        </w:numPr>
        <w:spacing w:after="120"/>
      </w:pPr>
      <w:r>
        <w:t>Molière :</w:t>
      </w:r>
    </w:p>
    <w:p w14:paraId="3BB3D94B" w14:textId="77777777" w:rsidR="001F1AF5" w:rsidRDefault="001F1AF5" w:rsidP="001F1AF5">
      <w:pPr>
        <w:spacing w:after="120"/>
      </w:pPr>
      <w:r>
        <w:t xml:space="preserve"> Molière, de même, s'en prend au règne de l'hypocrisie, en particulier dans Tartuffe, pièce longtemps censurée en raison de l'anathème jeté sur les "faux dévots" et sur les mensonges d'hommes d'Église peu fidèles aux principes moraux du christianisme.</w:t>
      </w:r>
    </w:p>
    <w:p w14:paraId="7DA3E9C2" w14:textId="77777777" w:rsidR="001F1AF5" w:rsidRPr="0094480F" w:rsidRDefault="001F1AF5" w:rsidP="001F1AF5">
      <w:pPr>
        <w:spacing w:after="120"/>
        <w:rPr>
          <w:u w:val="single"/>
        </w:rPr>
      </w:pPr>
      <w:r w:rsidRPr="0094480F">
        <w:rPr>
          <w:u w:val="single"/>
        </w:rPr>
        <w:t xml:space="preserve">Le XVIIIème siècle </w:t>
      </w:r>
    </w:p>
    <w:p w14:paraId="144BBDAD" w14:textId="47E941D5" w:rsidR="001F1AF5" w:rsidRDefault="0094480F" w:rsidP="001F1AF5">
      <w:pPr>
        <w:spacing w:after="120"/>
      </w:pPr>
      <w:r>
        <w:t>E</w:t>
      </w:r>
      <w:r w:rsidR="001F1AF5">
        <w:t xml:space="preserve">n </w:t>
      </w:r>
      <w:r>
        <w:t xml:space="preserve">Europe, il </w:t>
      </w:r>
      <w:r w:rsidR="001F1AF5">
        <w:t>est surnommé le siècle des Lumières; de fait, il est marqué par un grand nombre d'œuvres engagées, dans lesquelles auteurs et philosophes réfléchissent aux mœurs en vigueur. La critique porte, d'abord, sur le régime politique de la monarchie absolue. Les inégalités politiques et sociales sont également pointées du doigt,  Enfin, l'esclavagisme est dénoncé avec virulence.</w:t>
      </w:r>
    </w:p>
    <w:p w14:paraId="38B8559D" w14:textId="484220D4" w:rsidR="001F1AF5" w:rsidRDefault="001F1AF5" w:rsidP="0094480F">
      <w:pPr>
        <w:pStyle w:val="Paragraphedeliste"/>
        <w:numPr>
          <w:ilvl w:val="0"/>
          <w:numId w:val="1"/>
        </w:numPr>
        <w:spacing w:after="120"/>
      </w:pPr>
      <w:r>
        <w:t xml:space="preserve">Montesquieu : </w:t>
      </w:r>
    </w:p>
    <w:p w14:paraId="12B9319E" w14:textId="77777777" w:rsidR="001F1AF5" w:rsidRDefault="001F1AF5" w:rsidP="001F1AF5">
      <w:pPr>
        <w:spacing w:after="120"/>
      </w:pPr>
      <w:r>
        <w:t xml:space="preserve">Dans De l'esprit des lois, Montesquieu propose la séparation des trois pouvoirs législatif, exécutif et judiciaire. </w:t>
      </w:r>
    </w:p>
    <w:p w14:paraId="65B13C1C" w14:textId="6B6217EC" w:rsidR="001F1AF5" w:rsidRDefault="001F1AF5" w:rsidP="0094480F">
      <w:pPr>
        <w:pStyle w:val="Paragraphedeliste"/>
        <w:numPr>
          <w:ilvl w:val="0"/>
          <w:numId w:val="1"/>
        </w:numPr>
        <w:spacing w:after="120"/>
      </w:pPr>
      <w:r>
        <w:t>Beaumarchais :</w:t>
      </w:r>
    </w:p>
    <w:p w14:paraId="5B5BE379" w14:textId="77777777" w:rsidR="001F1AF5" w:rsidRDefault="001F1AF5" w:rsidP="001F1AF5">
      <w:pPr>
        <w:spacing w:after="120"/>
      </w:pPr>
      <w:r>
        <w:t xml:space="preserve">Il  invite à renverser les rôles entre maître et valet, rappelant que la naissance noble ou populaire n'est qu'une contingence, qui ne devrait pas ouvrir de droits particuliers (c'est l'idée centrale </w:t>
      </w:r>
      <w:r w:rsidRPr="0094480F">
        <w:t xml:space="preserve">de </w:t>
      </w:r>
      <w:r w:rsidRPr="0094480F">
        <w:rPr>
          <w:u w:val="single"/>
        </w:rPr>
        <w:t>L'île des esclaves</w:t>
      </w:r>
      <w:r>
        <w:t xml:space="preserve"> ou </w:t>
      </w:r>
      <w:r w:rsidRPr="0094480F">
        <w:rPr>
          <w:u w:val="single"/>
        </w:rPr>
        <w:t>Le Mariage de Figaro</w:t>
      </w:r>
      <w:r>
        <w:t xml:space="preserve">. </w:t>
      </w:r>
    </w:p>
    <w:p w14:paraId="6F3288F9" w14:textId="153A8926" w:rsidR="001F1AF5" w:rsidRDefault="001F1AF5" w:rsidP="0094480F">
      <w:pPr>
        <w:pStyle w:val="Paragraphedeliste"/>
        <w:numPr>
          <w:ilvl w:val="0"/>
          <w:numId w:val="1"/>
        </w:numPr>
        <w:spacing w:after="120"/>
      </w:pPr>
      <w:r>
        <w:t>Voltaire</w:t>
      </w:r>
      <w:r w:rsidR="0094480F">
        <w:t> </w:t>
      </w:r>
      <w:r>
        <w:t xml:space="preserve">: </w:t>
      </w:r>
    </w:p>
    <w:p w14:paraId="00BDA781" w14:textId="4953B380" w:rsidR="001F1AF5" w:rsidRPr="0094480F" w:rsidRDefault="001F1AF5" w:rsidP="001F1AF5">
      <w:pPr>
        <w:spacing w:after="120"/>
        <w:rPr>
          <w:u w:val="single"/>
        </w:rPr>
      </w:pPr>
      <w:r>
        <w:t>Il  est parmi les premiers philosophes à prendre position lors d</w:t>
      </w:r>
      <w:r w:rsidR="0094480F">
        <w:t>’</w:t>
      </w:r>
      <w:r>
        <w:t>une affaire contemporaine</w:t>
      </w:r>
      <w:r w:rsidR="0094480F">
        <w:t> </w:t>
      </w:r>
      <w:r>
        <w:t>: il prend la défense du protestant Jean Calas, accusé à tort d</w:t>
      </w:r>
      <w:r w:rsidR="0094480F">
        <w:t>’</w:t>
      </w:r>
      <w:r>
        <w:t xml:space="preserve">avoir tué son fils qui désirait se convertir au catholicisme. Le Traité sur la tolérance reprend les leçons de </w:t>
      </w:r>
      <w:r w:rsidR="0094480F">
        <w:rPr>
          <w:u w:val="single"/>
        </w:rPr>
        <w:t>« </w:t>
      </w:r>
      <w:r w:rsidRPr="0094480F">
        <w:rPr>
          <w:u w:val="single"/>
        </w:rPr>
        <w:t>l</w:t>
      </w:r>
      <w:r w:rsidR="0094480F">
        <w:rPr>
          <w:u w:val="single"/>
        </w:rPr>
        <w:t>’</w:t>
      </w:r>
      <w:r w:rsidRPr="0094480F">
        <w:rPr>
          <w:u w:val="single"/>
        </w:rPr>
        <w:t>affaire Calas</w:t>
      </w:r>
      <w:r w:rsidR="0094480F">
        <w:rPr>
          <w:u w:val="single"/>
        </w:rPr>
        <w:t> »</w:t>
      </w:r>
      <w:r w:rsidRPr="0094480F">
        <w:rPr>
          <w:u w:val="single"/>
        </w:rPr>
        <w:t>.</w:t>
      </w:r>
    </w:p>
    <w:p w14:paraId="06CFBAD6" w14:textId="77777777" w:rsidR="001F1AF5" w:rsidRPr="0094480F" w:rsidRDefault="001F1AF5" w:rsidP="001F1AF5">
      <w:pPr>
        <w:spacing w:after="120"/>
        <w:rPr>
          <w:u w:val="single"/>
        </w:rPr>
      </w:pPr>
      <w:r w:rsidRPr="0094480F">
        <w:rPr>
          <w:u w:val="single"/>
        </w:rPr>
        <w:t>Le XIXème siècle</w:t>
      </w:r>
    </w:p>
    <w:p w14:paraId="6A3F5558" w14:textId="215293B6" w:rsidR="001F1AF5" w:rsidRDefault="001F1AF5" w:rsidP="0094480F">
      <w:pPr>
        <w:pStyle w:val="Paragraphedeliste"/>
        <w:numPr>
          <w:ilvl w:val="0"/>
          <w:numId w:val="1"/>
        </w:numPr>
        <w:spacing w:after="120"/>
      </w:pPr>
      <w:r>
        <w:t xml:space="preserve">Victor Hugo : </w:t>
      </w:r>
    </w:p>
    <w:p w14:paraId="1AB9FFC1" w14:textId="77777777" w:rsidR="001F1AF5" w:rsidRDefault="001F1AF5" w:rsidP="001F1AF5">
      <w:pPr>
        <w:spacing w:after="120"/>
      </w:pPr>
      <w:r>
        <w:t xml:space="preserve">Au XIXe siècle, le recueil de Victor Hugo, </w:t>
      </w:r>
      <w:r w:rsidRPr="0094480F">
        <w:rPr>
          <w:u w:val="single"/>
        </w:rPr>
        <w:t>Les Châtiments</w:t>
      </w:r>
      <w:r>
        <w:t xml:space="preserve">, est désigné comme un "poème du crime". Le poète ne s'en prend pas seulement à un sujet général, mais directement à une personne, qui est Napoléon III, qu'il surnomme « Napoléon le Petit ». Il dénonce également la misère sociale dans de nombreux pans de son œuvres, notamment son roman </w:t>
      </w:r>
      <w:r w:rsidRPr="0094480F">
        <w:rPr>
          <w:u w:val="single"/>
        </w:rPr>
        <w:t>Les Misérables</w:t>
      </w:r>
      <w:r>
        <w:t xml:space="preserve"> ou encore le poème </w:t>
      </w:r>
      <w:r>
        <w:lastRenderedPageBreak/>
        <w:t>"</w:t>
      </w:r>
      <w:proofErr w:type="spellStart"/>
      <w:r w:rsidRPr="0094480F">
        <w:rPr>
          <w:u w:val="single"/>
        </w:rPr>
        <w:t>Melancholia</w:t>
      </w:r>
      <w:proofErr w:type="spellEnd"/>
      <w:r w:rsidRPr="0094480F">
        <w:rPr>
          <w:u w:val="single"/>
        </w:rPr>
        <w:t>"</w:t>
      </w:r>
      <w:r>
        <w:t xml:space="preserve">, extrait de son recueil poétique Les Contemplations. Il prend également position contre la peine de mort dans </w:t>
      </w:r>
      <w:r w:rsidRPr="0094480F">
        <w:rPr>
          <w:u w:val="single"/>
        </w:rPr>
        <w:t>Le Dernier Jour d'un condamné.</w:t>
      </w:r>
      <w:r>
        <w:t xml:space="preserve"> </w:t>
      </w:r>
    </w:p>
    <w:p w14:paraId="6C9544C2" w14:textId="2ACC1A9C" w:rsidR="001F1AF5" w:rsidRDefault="001F1AF5" w:rsidP="0094480F">
      <w:pPr>
        <w:pStyle w:val="Paragraphedeliste"/>
        <w:numPr>
          <w:ilvl w:val="0"/>
          <w:numId w:val="1"/>
        </w:numPr>
        <w:spacing w:after="120"/>
      </w:pPr>
      <w:r>
        <w:t>Emile Zola</w:t>
      </w:r>
      <w:r w:rsidR="0094480F">
        <w:t> </w:t>
      </w:r>
      <w:r>
        <w:t>:</w:t>
      </w:r>
    </w:p>
    <w:p w14:paraId="357BC8C7" w14:textId="7018D776" w:rsidR="001F1AF5" w:rsidRDefault="001F1AF5" w:rsidP="001F1AF5">
      <w:pPr>
        <w:spacing w:after="120"/>
      </w:pPr>
      <w:r>
        <w:t>Le véritable acte de naissance de l</w:t>
      </w:r>
      <w:r w:rsidR="0094480F">
        <w:t>’</w:t>
      </w:r>
      <w:r>
        <w:t>i</w:t>
      </w:r>
      <w:bookmarkStart w:id="0" w:name="_GoBack"/>
      <w:bookmarkEnd w:id="0"/>
      <w:r>
        <w:t>ntellectuel engagé, c</w:t>
      </w:r>
      <w:r w:rsidR="0094480F">
        <w:t>’</w:t>
      </w:r>
      <w:r>
        <w:t>est l</w:t>
      </w:r>
      <w:r w:rsidR="0094480F">
        <w:t>’</w:t>
      </w:r>
      <w:r>
        <w:t xml:space="preserve">article </w:t>
      </w:r>
      <w:r w:rsidR="0094480F">
        <w:rPr>
          <w:u w:val="single"/>
        </w:rPr>
        <w:t>« </w:t>
      </w:r>
      <w:r w:rsidRPr="0094480F">
        <w:rPr>
          <w:u w:val="single"/>
        </w:rPr>
        <w:t>J</w:t>
      </w:r>
      <w:r w:rsidR="0094480F">
        <w:rPr>
          <w:u w:val="single"/>
        </w:rPr>
        <w:t>’</w:t>
      </w:r>
      <w:r w:rsidRPr="0094480F">
        <w:rPr>
          <w:u w:val="single"/>
        </w:rPr>
        <w:t>accuse...</w:t>
      </w:r>
      <w:r w:rsidR="0094480F">
        <w:rPr>
          <w:u w:val="single"/>
        </w:rPr>
        <w:t> </w:t>
      </w:r>
      <w:r w:rsidRPr="0094480F">
        <w:rPr>
          <w:u w:val="single"/>
        </w:rPr>
        <w:t>!</w:t>
      </w:r>
      <w:r w:rsidR="0094480F">
        <w:rPr>
          <w:u w:val="single"/>
        </w:rPr>
        <w:t> »</w:t>
      </w:r>
      <w:r>
        <w:t xml:space="preserve"> d’Émile Zola qui a été rédigé au cours de l’affaire Dreyfus, sous la forme d</w:t>
      </w:r>
      <w:r w:rsidR="0094480F">
        <w:t>’</w:t>
      </w:r>
      <w:r>
        <w:t>une lettre ouverte au président de la République française, Félix Faure, parue dans le journal L</w:t>
      </w:r>
      <w:r w:rsidR="0094480F">
        <w:t>’</w:t>
      </w:r>
      <w:r>
        <w:t>Aurore. Zola y dénonce l</w:t>
      </w:r>
      <w:r w:rsidR="0094480F">
        <w:t>’</w:t>
      </w:r>
      <w:r>
        <w:t>injuste condamnation d</w:t>
      </w:r>
      <w:r w:rsidR="0094480F">
        <w:t>’</w:t>
      </w:r>
      <w:r>
        <w:t xml:space="preserve">Alfred Dreyfus, accusé de complot contre la </w:t>
      </w:r>
      <w:r w:rsidR="0094480F">
        <w:t>France</w:t>
      </w:r>
      <w:r>
        <w:t xml:space="preserve">. Son procès est dit antisémite. Cette affaire a divisé la </w:t>
      </w:r>
      <w:r w:rsidR="0094480F">
        <w:t>France</w:t>
      </w:r>
      <w:r>
        <w:t xml:space="preserve"> à l</w:t>
      </w:r>
      <w:r w:rsidR="0094480F">
        <w:t>’</w:t>
      </w:r>
      <w:r>
        <w:t>époque. Cette lettre est un symbole de l</w:t>
      </w:r>
      <w:r w:rsidR="0094480F">
        <w:t>’</w:t>
      </w:r>
      <w:r>
        <w:t>éloquence oratoire et du pouvoir de la presse mis au service de la défense d</w:t>
      </w:r>
      <w:r w:rsidR="0094480F">
        <w:t>’</w:t>
      </w:r>
      <w:r>
        <w:t>un homme et de la vérité.</w:t>
      </w:r>
    </w:p>
    <w:p w14:paraId="68D24F56" w14:textId="62BB58EE" w:rsidR="001F1AF5" w:rsidRPr="0094480F" w:rsidRDefault="001F1AF5" w:rsidP="001F1AF5">
      <w:pPr>
        <w:spacing w:after="120"/>
        <w:rPr>
          <w:u w:val="single"/>
        </w:rPr>
      </w:pPr>
      <w:r w:rsidRPr="0094480F">
        <w:rPr>
          <w:u w:val="single"/>
        </w:rPr>
        <w:t xml:space="preserve">LE </w:t>
      </w:r>
      <w:r w:rsidR="0094480F" w:rsidRPr="0094480F">
        <w:rPr>
          <w:u w:val="single"/>
        </w:rPr>
        <w:t>XXème</w:t>
      </w:r>
      <w:r w:rsidRPr="0094480F">
        <w:rPr>
          <w:u w:val="single"/>
        </w:rPr>
        <w:t xml:space="preserve"> Siècle</w:t>
      </w:r>
    </w:p>
    <w:p w14:paraId="673A764C" w14:textId="019494D0" w:rsidR="001F1AF5" w:rsidRDefault="001F1AF5" w:rsidP="0094480F">
      <w:pPr>
        <w:pStyle w:val="Paragraphedeliste"/>
        <w:numPr>
          <w:ilvl w:val="0"/>
          <w:numId w:val="1"/>
        </w:numPr>
        <w:spacing w:after="120"/>
      </w:pPr>
      <w:r>
        <w:t>Jean Paul Sartre :</w:t>
      </w:r>
    </w:p>
    <w:p w14:paraId="48D93C91" w14:textId="6A43D42C" w:rsidR="00250A0A" w:rsidRPr="00337469" w:rsidRDefault="0094480F" w:rsidP="00337469">
      <w:r w:rsidRPr="00337469">
        <w:t>Celui qui représente souvent la figure de l’écrivain engagé, expliquait qu’un texte littéraire n’est presque jamais neutre. Un écrivain serait donc toujours, en quelque sorte, engagé, puisqu’il offre une vision particulière du monde. Il défend des valeurs, même sans le souhaiter, même si ce n’est pas son projet. Il fait réfléchir aux relations entre les hommes, des hommes avec leur environnement. Même un écrivain qui se présenterait comme intimiste, attaché à une individualité particulière, renvoie ainsi à l’universel : en rendant compte des méandres de la pensée, des émotions d’un être humain particulier, l’écrivain se fait le miroir de toute l’humanité.</w:t>
      </w:r>
    </w:p>
    <w:p w14:paraId="472F8F39" w14:textId="09FEC848" w:rsidR="0094480F" w:rsidRPr="000B42DE" w:rsidRDefault="00587AD0" w:rsidP="000B42DE">
      <w:proofErr w:type="gramStart"/>
      <w:r w:rsidRPr="000B42DE">
        <w:t>de</w:t>
      </w:r>
      <w:proofErr w:type="gramEnd"/>
      <w:r w:rsidRPr="000B42DE">
        <w:t xml:space="preserve"> nombreux auteurs se font la voix du pacifisme, de la dénonciation de la guerre (</w:t>
      </w:r>
      <w:hyperlink r:id="rId7" w:tooltip="Max Scheler" w:history="1">
        <w:r w:rsidRPr="000B42DE">
          <w:rPr>
            <w:rStyle w:val="Lienhypertexte"/>
          </w:rPr>
          <w:t>Max Scheler</w:t>
        </w:r>
      </w:hyperlink>
      <w:r w:rsidRPr="000B42DE">
        <w:t>). Il existe plusieurs genres de pacifismes qui se distinguent par leurs modes d’action et par les valeurs principales qui les animent. Les écrivains de l'</w:t>
      </w:r>
      <w:hyperlink r:id="rId8" w:tooltip="Existentialisme" w:history="1">
        <w:r w:rsidRPr="000B42DE">
          <w:rPr>
            <w:rStyle w:val="Lienhypertexte"/>
          </w:rPr>
          <w:t>existentialisme</w:t>
        </w:r>
      </w:hyperlink>
      <w:r w:rsidRPr="000B42DE">
        <w:t>, </w:t>
      </w:r>
      <w:hyperlink r:id="rId9" w:tooltip="Jean-Paul Sartre" w:history="1">
        <w:r w:rsidRPr="000B42DE">
          <w:rPr>
            <w:rStyle w:val="Lienhypertexte"/>
          </w:rPr>
          <w:t>Jean-Paul Sartre</w:t>
        </w:r>
      </w:hyperlink>
      <w:r w:rsidRPr="000B42DE">
        <w:t>, </w:t>
      </w:r>
      <w:hyperlink r:id="rId10" w:tooltip="Simone de Beauvoir" w:history="1">
        <w:r w:rsidRPr="000B42DE">
          <w:rPr>
            <w:rStyle w:val="Lienhypertexte"/>
          </w:rPr>
          <w:t>Simone de Beauvoir</w:t>
        </w:r>
      </w:hyperlink>
      <w:r w:rsidRPr="000B42DE">
        <w:t>, </w:t>
      </w:r>
      <w:hyperlink r:id="rId11" w:tooltip="Merleau-Ponty" w:history="1">
        <w:r w:rsidRPr="000B42DE">
          <w:rPr>
            <w:rStyle w:val="Lienhypertexte"/>
          </w:rPr>
          <w:t>Merleau-Ponty</w:t>
        </w:r>
      </w:hyperlink>
      <w:r w:rsidRPr="000B42DE">
        <w:t>, mais aussi des intellectuels contemporains comme </w:t>
      </w:r>
      <w:hyperlink r:id="rId12" w:tooltip="Raymond Aron" w:history="1">
        <w:r w:rsidRPr="000B42DE">
          <w:rPr>
            <w:rStyle w:val="Lienhypertexte"/>
          </w:rPr>
          <w:t>Raymond Aron</w:t>
        </w:r>
      </w:hyperlink>
      <w:r w:rsidRPr="000B42DE">
        <w:t> considèrent qu'ils doivent s'engager sur de questions politiques. Les existentialistes promeuvent le </w:t>
      </w:r>
      <w:hyperlink r:id="rId13" w:tooltip="Communisme" w:history="1">
        <w:r w:rsidRPr="000B42DE">
          <w:rPr>
            <w:rStyle w:val="Lienhypertexte"/>
          </w:rPr>
          <w:t>communisme</w:t>
        </w:r>
      </w:hyperlink>
      <w:r w:rsidRPr="000B42DE">
        <w:t> et dénoncent l'</w:t>
      </w:r>
      <w:hyperlink r:id="rId14" w:tooltip="Impérialisme" w:history="1">
        <w:r w:rsidRPr="000B42DE">
          <w:rPr>
            <w:rStyle w:val="Lienhypertexte"/>
          </w:rPr>
          <w:t>impérialisme</w:t>
        </w:r>
      </w:hyperlink>
      <w:r w:rsidRPr="000B42DE">
        <w:t> de leur temps.</w:t>
      </w:r>
    </w:p>
    <w:p w14:paraId="1309D8F0" w14:textId="7A05D8BA" w:rsidR="00587AD0" w:rsidRPr="00337469" w:rsidRDefault="00587AD0" w:rsidP="000B42DE">
      <w:r w:rsidRPr="00337469">
        <w:t>Le féminisme: le mouvement féministe s'engage pour le droit des femmes ; il dénonce les inégalités sociales, politiques, juridiques, économiques et culturelles dont les femmes sont victimes. Les premières idées féministes sont apparues au </w:t>
      </w:r>
      <w:hyperlink r:id="rId15" w:tooltip="Moyen Âge" w:history="1">
        <w:r w:rsidRPr="00337469">
          <w:rPr>
            <w:rStyle w:val="Lienhypertexte"/>
          </w:rPr>
          <w:t>Moyen Âge</w:t>
        </w:r>
      </w:hyperlink>
      <w:r w:rsidRPr="00337469">
        <w:t> avec </w:t>
      </w:r>
      <w:hyperlink r:id="rId16" w:tooltip="Christine de Pisan" w:history="1">
        <w:r w:rsidRPr="00337469">
          <w:rPr>
            <w:rStyle w:val="Lienhypertexte"/>
          </w:rPr>
          <w:t>Christine de Pisan</w:t>
        </w:r>
      </w:hyperlink>
      <w:r w:rsidRPr="00337469">
        <w:t>. Entre le XVIIIe et le XIXe siècle, </w:t>
      </w:r>
      <w:hyperlink r:id="rId17" w:tooltip="Olympe de Gouges" w:history="1">
        <w:r w:rsidRPr="00337469">
          <w:rPr>
            <w:rStyle w:val="Lienhypertexte"/>
          </w:rPr>
          <w:t>Olympe de Gouges</w:t>
        </w:r>
      </w:hyperlink>
      <w:r w:rsidRPr="00337469">
        <w:t> et </w:t>
      </w:r>
      <w:hyperlink r:id="rId18" w:tooltip="George Sand" w:history="1">
        <w:r w:rsidRPr="00337469">
          <w:rPr>
            <w:rStyle w:val="Lienhypertexte"/>
          </w:rPr>
          <w:t>George Sand</w:t>
        </w:r>
      </w:hyperlink>
      <w:r w:rsidRPr="00337469">
        <w:t> défendent le féminisme. Au XXe siècle, les </w:t>
      </w:r>
      <w:hyperlink r:id="rId19" w:tooltip="Suffragettes" w:history="1">
        <w:r w:rsidRPr="00337469">
          <w:rPr>
            <w:rStyle w:val="Lienhypertexte"/>
          </w:rPr>
          <w:t>suffragettes</w:t>
        </w:r>
      </w:hyperlink>
      <w:r w:rsidRPr="00337469">
        <w:t>, des militantes britanniques font beaucoup parler d'elles et obtiennent le droit de vote des femmes au Royaume-Uni. En </w:t>
      </w:r>
      <w:hyperlink r:id="rId20" w:tooltip="1971" w:history="1">
        <w:r w:rsidRPr="00337469">
          <w:rPr>
            <w:rStyle w:val="Lienhypertexte"/>
          </w:rPr>
          <w:t>1971</w:t>
        </w:r>
      </w:hyperlink>
      <w:r w:rsidRPr="00337469">
        <w:t>, le </w:t>
      </w:r>
      <w:hyperlink r:id="rId21" w:tooltip="Manifeste des 343" w:history="1">
        <w:r w:rsidRPr="00337469">
          <w:rPr>
            <w:rStyle w:val="Lienhypertexte"/>
          </w:rPr>
          <w:t>Manifeste des 343</w:t>
        </w:r>
      </w:hyperlink>
      <w:r w:rsidRPr="00337469">
        <w:t> est rédigé par </w:t>
      </w:r>
      <w:hyperlink r:id="rId22" w:tooltip="Simone de Beauvoir" w:history="1">
        <w:r w:rsidRPr="00337469">
          <w:rPr>
            <w:rStyle w:val="Lienhypertexte"/>
          </w:rPr>
          <w:t>Simone de Beauvoir</w:t>
        </w:r>
      </w:hyperlink>
      <w:r w:rsidRPr="00337469">
        <w:t>, c'est une pétition française signée par 343 femmes ayant eu recours à l'avortement alors que cet acte était reconnu comme illégal en France. Le Manifeste appelle à dépénaliser et légaliser l'interruption volontaire de grossesse. En </w:t>
      </w:r>
      <w:hyperlink r:id="rId23" w:tooltip="1975" w:history="1">
        <w:r w:rsidRPr="00337469">
          <w:rPr>
            <w:rStyle w:val="Lienhypertexte"/>
          </w:rPr>
          <w:t>1975</w:t>
        </w:r>
      </w:hyperlink>
      <w:r w:rsidRPr="00337469">
        <w:t>, </w:t>
      </w:r>
      <w:hyperlink r:id="rId24" w:tooltip="Simone Veil" w:history="1">
        <w:r w:rsidRPr="00337469">
          <w:rPr>
            <w:rStyle w:val="Lienhypertexte"/>
          </w:rPr>
          <w:t>Simone Veil</w:t>
        </w:r>
      </w:hyperlink>
      <w:r w:rsidRPr="00337469">
        <w:t>, alors ministre de la Santé, fait adopter la </w:t>
      </w:r>
      <w:hyperlink r:id="rId25" w:tooltip="Loi Veil" w:history="1">
        <w:r w:rsidRPr="00337469">
          <w:rPr>
            <w:rStyle w:val="Lienhypertexte"/>
          </w:rPr>
          <w:t>loi Veil</w:t>
        </w:r>
      </w:hyperlink>
      <w:r w:rsidRPr="00337469">
        <w:t> qui autorise l'avortement.</w:t>
      </w:r>
    </w:p>
    <w:p w14:paraId="658FD2E9" w14:textId="1711C486" w:rsidR="00A62014" w:rsidRPr="00337469" w:rsidRDefault="00A62014" w:rsidP="00337469">
      <w:pPr>
        <w:ind w:left="709" w:firstLine="0"/>
      </w:pPr>
      <w:r w:rsidRPr="00337469">
        <w:t>Voir pages 120-121-122 du manuel scolaire.</w:t>
      </w:r>
    </w:p>
    <w:sectPr w:rsidR="00A62014" w:rsidRPr="00337469" w:rsidSect="001F1AF5">
      <w:headerReference w:type="even" r:id="rId26"/>
      <w:headerReference w:type="default" r:id="rId27"/>
      <w:headerReference w:type="first" r:id="rId2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9D9F38" w14:textId="77777777" w:rsidR="006242EE" w:rsidRDefault="006242EE" w:rsidP="001F1AF5">
      <w:pPr>
        <w:spacing w:before="0" w:after="0" w:line="240" w:lineRule="auto"/>
      </w:pPr>
      <w:r>
        <w:separator/>
      </w:r>
    </w:p>
  </w:endnote>
  <w:endnote w:type="continuationSeparator" w:id="0">
    <w:p w14:paraId="30FA4C42" w14:textId="77777777" w:rsidR="006242EE" w:rsidRDefault="006242EE" w:rsidP="001F1A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AC0F1F" w14:textId="77777777" w:rsidR="006242EE" w:rsidRDefault="006242EE" w:rsidP="001F1AF5">
      <w:pPr>
        <w:spacing w:before="0" w:after="0" w:line="240" w:lineRule="auto"/>
      </w:pPr>
      <w:r>
        <w:separator/>
      </w:r>
    </w:p>
  </w:footnote>
  <w:footnote w:type="continuationSeparator" w:id="0">
    <w:p w14:paraId="3B0EE584" w14:textId="77777777" w:rsidR="006242EE" w:rsidRDefault="006242EE" w:rsidP="001F1AF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02F803" w14:textId="5773F241" w:rsidR="001F1AF5" w:rsidRDefault="006242EE">
    <w:pPr>
      <w:pStyle w:val="En-tte"/>
    </w:pPr>
    <w:r>
      <w:rPr>
        <w:noProof/>
      </w:rPr>
      <w:pict w14:anchorId="5B19A7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738672" o:spid="_x0000_s2051" type="#_x0000_t136" style="position:absolute;left:0;text-align:left;margin-left:0;margin-top:0;width:555.9pt;height:123.5pt;rotation:315;z-index:-251659776;mso-position-horizontal:center;mso-position-horizontal-relative:margin;mso-position-vertical:center;mso-position-vertical-relative:margin" o:allowincell="f" fillcolor="silver" stroked="f">
          <v:fill opacity=".5"/>
          <v:textpath style="font-family:&quot;Arial Narrow&quot;;font-size:1pt" string="LAMIA GNAB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D51BD" w14:textId="304FD464" w:rsidR="001F1AF5" w:rsidRDefault="006242EE">
    <w:pPr>
      <w:pStyle w:val="En-tte"/>
    </w:pPr>
    <w:r>
      <w:rPr>
        <w:noProof/>
      </w:rPr>
      <w:pict w14:anchorId="0246A3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738673" o:spid="_x0000_s2050" type="#_x0000_t136" style="position:absolute;left:0;text-align:left;margin-left:-134.65pt;margin-top:258.15pt;width:792.15pt;height:171.75pt;rotation:43541411fd;z-index:-251658752;mso-position-horizontal:absolute;mso-position-horizontal-relative:margin;mso-position-vertical-relative:margin" o:allowincell="f" fillcolor="black [3213]" stroked="f">
          <v:fill opacity="20316f"/>
          <v:textpath style="font-family:&quot;Eras Bold ITC&quot;;font-size:54pt" string="LAMIA GNABA"/>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F5C3E6" w14:textId="4242F0C0" w:rsidR="001F1AF5" w:rsidRDefault="006242EE">
    <w:pPr>
      <w:pStyle w:val="En-tte"/>
    </w:pPr>
    <w:r>
      <w:rPr>
        <w:noProof/>
      </w:rPr>
      <w:pict w14:anchorId="6B0900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738671" o:spid="_x0000_s2049" type="#_x0000_t136" style="position:absolute;left:0;text-align:left;margin-left:0;margin-top:0;width:555.9pt;height:123.5pt;rotation:315;z-index:-251657728;mso-position-horizontal:center;mso-position-horizontal-relative:margin;mso-position-vertical:center;mso-position-vertical-relative:margin" o:allowincell="f" fillcolor="silver" stroked="f">
          <v:fill opacity=".5"/>
          <v:textpath style="font-family:&quot;Arial Narrow&quot;;font-size:1pt" string="LAMIA GNABA"/>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2A418E"/>
    <w:multiLevelType w:val="hybridMultilevel"/>
    <w:tmpl w:val="A0C2BED2"/>
    <w:lvl w:ilvl="0" w:tplc="74205920">
      <w:numFmt w:val="bullet"/>
      <w:lvlText w:val=""/>
      <w:lvlJc w:val="left"/>
      <w:pPr>
        <w:ind w:left="1069" w:hanging="360"/>
      </w:pPr>
      <w:rPr>
        <w:rFonts w:ascii="Symbol" w:eastAsiaTheme="minorHAnsi" w:hAnsi="Symbol"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45CC75DD"/>
    <w:multiLevelType w:val="multilevel"/>
    <w:tmpl w:val="FF7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AF5"/>
    <w:rsid w:val="000B42DE"/>
    <w:rsid w:val="001C551D"/>
    <w:rsid w:val="001F1AF5"/>
    <w:rsid w:val="003073CB"/>
    <w:rsid w:val="00337469"/>
    <w:rsid w:val="00587AD0"/>
    <w:rsid w:val="006242EE"/>
    <w:rsid w:val="006D1989"/>
    <w:rsid w:val="008D0A57"/>
    <w:rsid w:val="0094480F"/>
    <w:rsid w:val="00A62014"/>
    <w:rsid w:val="00A942D1"/>
    <w:rsid w:val="00BD1774"/>
    <w:rsid w:val="00CC77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FE665E6"/>
  <w15:chartTrackingRefBased/>
  <w15:docId w15:val="{60774F0E-42A1-4F15-95F0-522D7C1D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Bidi" w:eastAsiaTheme="minorHAnsi" w:hAnsiTheme="majorBidi" w:cs="Times New Roman"/>
        <w:color w:val="000000" w:themeColor="text1"/>
        <w:sz w:val="24"/>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A57"/>
    <w:pPr>
      <w:spacing w:before="120" w:after="60"/>
      <w:ind w:firstLine="709"/>
      <w:jc w:val="both"/>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F1AF5"/>
    <w:pPr>
      <w:tabs>
        <w:tab w:val="center" w:pos="4536"/>
        <w:tab w:val="right" w:pos="9072"/>
      </w:tabs>
      <w:spacing w:before="0" w:after="0" w:line="240" w:lineRule="auto"/>
    </w:pPr>
  </w:style>
  <w:style w:type="character" w:customStyle="1" w:styleId="En-tteCar">
    <w:name w:val="En-tête Car"/>
    <w:basedOn w:val="Policepardfaut"/>
    <w:link w:val="En-tte"/>
    <w:uiPriority w:val="99"/>
    <w:rsid w:val="001F1AF5"/>
  </w:style>
  <w:style w:type="paragraph" w:styleId="Pieddepage">
    <w:name w:val="footer"/>
    <w:basedOn w:val="Normal"/>
    <w:link w:val="PieddepageCar"/>
    <w:uiPriority w:val="99"/>
    <w:unhideWhenUsed/>
    <w:rsid w:val="001F1AF5"/>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1F1AF5"/>
  </w:style>
  <w:style w:type="paragraph" w:styleId="NormalWeb">
    <w:name w:val="Normal (Web)"/>
    <w:basedOn w:val="Normal"/>
    <w:uiPriority w:val="99"/>
    <w:semiHidden/>
    <w:unhideWhenUsed/>
    <w:rsid w:val="003073CB"/>
    <w:pPr>
      <w:spacing w:before="100" w:beforeAutospacing="1" w:after="100" w:afterAutospacing="1" w:line="240" w:lineRule="auto"/>
      <w:ind w:firstLine="0"/>
      <w:jc w:val="left"/>
    </w:pPr>
    <w:rPr>
      <w:rFonts w:ascii="Times New Roman" w:eastAsiaTheme="minorEastAsia" w:hAnsi="Times New Roman"/>
      <w:color w:val="auto"/>
      <w:szCs w:val="24"/>
      <w:lang w:val="" w:eastAsia="fr-FR"/>
    </w:rPr>
  </w:style>
  <w:style w:type="paragraph" w:styleId="Paragraphedeliste">
    <w:name w:val="List Paragraph"/>
    <w:basedOn w:val="Normal"/>
    <w:uiPriority w:val="34"/>
    <w:qFormat/>
    <w:rsid w:val="0094480F"/>
    <w:pPr>
      <w:ind w:left="720"/>
      <w:contextualSpacing/>
    </w:pPr>
  </w:style>
  <w:style w:type="character" w:styleId="Lienhypertexte">
    <w:name w:val="Hyperlink"/>
    <w:basedOn w:val="Policepardfaut"/>
    <w:uiPriority w:val="99"/>
    <w:unhideWhenUsed/>
    <w:rsid w:val="00587AD0"/>
    <w:rPr>
      <w:color w:val="0000FF"/>
      <w:u w:val="single"/>
    </w:rPr>
  </w:style>
  <w:style w:type="character" w:customStyle="1" w:styleId="romain">
    <w:name w:val="romain"/>
    <w:basedOn w:val="Policepardfaut"/>
    <w:rsid w:val="00587AD0"/>
  </w:style>
  <w:style w:type="paragraph" w:styleId="Textedebulles">
    <w:name w:val="Balloon Text"/>
    <w:basedOn w:val="Normal"/>
    <w:link w:val="TextedebullesCar"/>
    <w:uiPriority w:val="99"/>
    <w:semiHidden/>
    <w:unhideWhenUsed/>
    <w:rsid w:val="000B42DE"/>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42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038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Existentialisme" TargetMode="External"/><Relationship Id="rId13" Type="http://schemas.openxmlformats.org/officeDocument/2006/relationships/hyperlink" Target="https://fr.wikipedia.org/wiki/Communisme" TargetMode="External"/><Relationship Id="rId18" Type="http://schemas.openxmlformats.org/officeDocument/2006/relationships/hyperlink" Target="https://fr.wikipedia.org/wiki/George_Sand"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fr.wikipedia.org/wiki/Manifeste_des_343" TargetMode="External"/><Relationship Id="rId7" Type="http://schemas.openxmlformats.org/officeDocument/2006/relationships/hyperlink" Target="https://fr.wikipedia.org/wiki/Max_Scheler" TargetMode="External"/><Relationship Id="rId12" Type="http://schemas.openxmlformats.org/officeDocument/2006/relationships/hyperlink" Target="https://fr.wikipedia.org/wiki/Raymond_Aron" TargetMode="External"/><Relationship Id="rId17" Type="http://schemas.openxmlformats.org/officeDocument/2006/relationships/hyperlink" Target="https://fr.wikipedia.org/wiki/Olympe_de_Gouges" TargetMode="External"/><Relationship Id="rId25" Type="http://schemas.openxmlformats.org/officeDocument/2006/relationships/hyperlink" Target="https://fr.wikipedia.org/wiki/Loi_Veil" TargetMode="External"/><Relationship Id="rId2" Type="http://schemas.openxmlformats.org/officeDocument/2006/relationships/styles" Target="styles.xml"/><Relationship Id="rId16" Type="http://schemas.openxmlformats.org/officeDocument/2006/relationships/hyperlink" Target="https://fr.wikipedia.org/wiki/Christine_de_Pisan" TargetMode="External"/><Relationship Id="rId20" Type="http://schemas.openxmlformats.org/officeDocument/2006/relationships/hyperlink" Target="https://fr.wikipedia.org/wiki/197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Merleau-Ponty" TargetMode="External"/><Relationship Id="rId24" Type="http://schemas.openxmlformats.org/officeDocument/2006/relationships/hyperlink" Target="https://fr.wikipedia.org/wiki/Simone_Veil" TargetMode="External"/><Relationship Id="rId5" Type="http://schemas.openxmlformats.org/officeDocument/2006/relationships/footnotes" Target="footnotes.xml"/><Relationship Id="rId15" Type="http://schemas.openxmlformats.org/officeDocument/2006/relationships/hyperlink" Target="https://fr.wikipedia.org/wiki/Moyen_%C3%82ge" TargetMode="External"/><Relationship Id="rId23" Type="http://schemas.openxmlformats.org/officeDocument/2006/relationships/hyperlink" Target="https://fr.wikipedia.org/wiki/1975" TargetMode="External"/><Relationship Id="rId28" Type="http://schemas.openxmlformats.org/officeDocument/2006/relationships/header" Target="header3.xml"/><Relationship Id="rId10" Type="http://schemas.openxmlformats.org/officeDocument/2006/relationships/hyperlink" Target="https://fr.wikipedia.org/wiki/Simone_de_Beauvoir" TargetMode="External"/><Relationship Id="rId19" Type="http://schemas.openxmlformats.org/officeDocument/2006/relationships/hyperlink" Target="https://fr.wikipedia.org/wiki/Suffragettes" TargetMode="External"/><Relationship Id="rId4" Type="http://schemas.openxmlformats.org/officeDocument/2006/relationships/webSettings" Target="webSettings.xml"/><Relationship Id="rId9" Type="http://schemas.openxmlformats.org/officeDocument/2006/relationships/hyperlink" Target="https://fr.wikipedia.org/wiki/Jean-Paul_Sartre" TargetMode="External"/><Relationship Id="rId14" Type="http://schemas.openxmlformats.org/officeDocument/2006/relationships/hyperlink" Target="https://fr.wikipedia.org/wiki/Imp%C3%A9rialisme" TargetMode="External"/><Relationship Id="rId22" Type="http://schemas.openxmlformats.org/officeDocument/2006/relationships/hyperlink" Target="https://fr.wikipedia.org/wiki/Simone_de_Beauvoir"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1077</Words>
  <Characters>5928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cp:lastPrinted>2017-11-19T18:18:00Z</cp:lastPrinted>
  <dcterms:created xsi:type="dcterms:W3CDTF">2017-11-19T18:41:00Z</dcterms:created>
  <dcterms:modified xsi:type="dcterms:W3CDTF">2017-11-19T18:41:00Z</dcterms:modified>
</cp:coreProperties>
</file>