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vertAnchor="text" w:tblpY="1"/>
        <w:tblOverlap w:val="never"/>
        <w:tblW w:w="0" w:type="auto"/>
        <w:tblLook w:val="04A0"/>
      </w:tblPr>
      <w:tblGrid>
        <w:gridCol w:w="527"/>
        <w:gridCol w:w="527"/>
        <w:gridCol w:w="528"/>
        <w:gridCol w:w="453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</w:tblGrid>
      <w:tr w:rsidR="0046266E" w:rsidRPr="008B51E4" w:rsidTr="00E7081E"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  <w:r w:rsidRPr="008B51E4">
              <w:rPr>
                <w:b/>
                <w:bCs/>
              </w:rPr>
              <w:t>4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</w:tr>
      <w:tr w:rsidR="0046266E" w:rsidRPr="008B51E4" w:rsidTr="00E7081E">
        <w:tc>
          <w:tcPr>
            <w:tcW w:w="527" w:type="dxa"/>
            <w:tcBorders>
              <w:top w:val="nil"/>
              <w:left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  <w:r w:rsidRPr="008B51E4">
              <w:rPr>
                <w:b/>
                <w:bCs/>
              </w:rPr>
              <w:t>1</w:t>
            </w: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2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single" w:sz="4" w:space="0" w:color="auto"/>
              <w:right w:val="single" w:sz="4" w:space="0" w:color="auto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</w:tr>
      <w:tr w:rsidR="0046266E" w:rsidRPr="008B51E4" w:rsidTr="00E7081E">
        <w:tc>
          <w:tcPr>
            <w:tcW w:w="527" w:type="dxa"/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7" w:type="dxa"/>
            <w:tcBorders>
              <w:top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453" w:type="dxa"/>
            <w:tcBorders>
              <w:top w:val="single" w:sz="4" w:space="0" w:color="auto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right w:val="single" w:sz="4" w:space="0" w:color="auto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</w:tr>
      <w:tr w:rsidR="0046266E" w:rsidRPr="008B51E4" w:rsidTr="00E7081E">
        <w:tc>
          <w:tcPr>
            <w:tcW w:w="527" w:type="dxa"/>
          </w:tcPr>
          <w:p w:rsidR="0046266E" w:rsidRPr="008B51E4" w:rsidRDefault="0046266E" w:rsidP="00E7081E">
            <w:pPr>
              <w:rPr>
                <w:b/>
                <w:bCs/>
              </w:rPr>
            </w:pPr>
            <w:r w:rsidRPr="008B51E4">
              <w:rPr>
                <w:b/>
                <w:bCs/>
              </w:rPr>
              <w:t>E</w:t>
            </w:r>
          </w:p>
        </w:tc>
        <w:tc>
          <w:tcPr>
            <w:tcW w:w="527" w:type="dxa"/>
            <w:tcBorders>
              <w:bottom w:val="single" w:sz="4" w:space="0" w:color="000000" w:themeColor="text1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N</w:t>
            </w:r>
          </w:p>
        </w:tc>
        <w:tc>
          <w:tcPr>
            <w:tcW w:w="528" w:type="dxa"/>
            <w:tcBorders>
              <w:bottom w:val="single" w:sz="4" w:space="0" w:color="000000" w:themeColor="text1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G</w:t>
            </w:r>
          </w:p>
        </w:tc>
        <w:tc>
          <w:tcPr>
            <w:tcW w:w="453" w:type="dxa"/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A</w:t>
            </w:r>
          </w:p>
        </w:tc>
        <w:tc>
          <w:tcPr>
            <w:tcW w:w="528" w:type="dxa"/>
            <w:tcBorders>
              <w:bottom w:val="single" w:sz="4" w:space="0" w:color="000000" w:themeColor="text1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G</w:t>
            </w:r>
          </w:p>
        </w:tc>
        <w:tc>
          <w:tcPr>
            <w:tcW w:w="528" w:type="dxa"/>
            <w:tcBorders>
              <w:bottom w:val="single" w:sz="4" w:space="0" w:color="000000" w:themeColor="text1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E</w:t>
            </w:r>
          </w:p>
        </w:tc>
        <w:tc>
          <w:tcPr>
            <w:tcW w:w="528" w:type="dxa"/>
            <w:tcBorders>
              <w:top w:val="single" w:sz="4" w:space="0" w:color="auto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M</w:t>
            </w:r>
          </w:p>
        </w:tc>
        <w:tc>
          <w:tcPr>
            <w:tcW w:w="528" w:type="dxa"/>
            <w:tcBorders>
              <w:bottom w:val="single" w:sz="4" w:space="0" w:color="000000" w:themeColor="text1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E</w:t>
            </w:r>
          </w:p>
        </w:tc>
        <w:tc>
          <w:tcPr>
            <w:tcW w:w="528" w:type="dxa"/>
            <w:tcBorders>
              <w:bottom w:val="single" w:sz="4" w:space="0" w:color="000000" w:themeColor="text1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N</w:t>
            </w:r>
          </w:p>
        </w:tc>
        <w:tc>
          <w:tcPr>
            <w:tcW w:w="528" w:type="dxa"/>
            <w:tcBorders>
              <w:right w:val="single" w:sz="4" w:space="0" w:color="auto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</w:tr>
      <w:tr w:rsidR="0046266E" w:rsidRPr="008B51E4" w:rsidTr="00E7081E">
        <w:tc>
          <w:tcPr>
            <w:tcW w:w="527" w:type="dxa"/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7" w:type="dxa"/>
            <w:tcBorders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left w:val="nil"/>
              <w:bottom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453" w:type="dxa"/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left w:val="nil"/>
              <w:bottom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left w:val="nil"/>
              <w:bottom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right w:val="single" w:sz="4" w:space="0" w:color="auto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</w:tr>
      <w:tr w:rsidR="0046266E" w:rsidRPr="008B51E4" w:rsidTr="00E7081E">
        <w:tc>
          <w:tcPr>
            <w:tcW w:w="527" w:type="dxa"/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7" w:type="dxa"/>
            <w:tcBorders>
              <w:top w:val="nil"/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453" w:type="dxa"/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right w:val="single" w:sz="4" w:space="0" w:color="auto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</w:tr>
      <w:tr w:rsidR="0046266E" w:rsidRPr="008B51E4" w:rsidTr="00E7081E">
        <w:tc>
          <w:tcPr>
            <w:tcW w:w="527" w:type="dxa"/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7" w:type="dxa"/>
            <w:tcBorders>
              <w:top w:val="nil"/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453" w:type="dxa"/>
            <w:tcBorders>
              <w:bottom w:val="single" w:sz="4" w:space="0" w:color="000000" w:themeColor="text1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bottom w:val="single" w:sz="4" w:space="0" w:color="000000" w:themeColor="text1"/>
              <w:right w:val="single" w:sz="4" w:space="0" w:color="auto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</w:tr>
      <w:tr w:rsidR="0046266E" w:rsidRPr="008B51E4" w:rsidTr="00E7081E">
        <w:tc>
          <w:tcPr>
            <w:tcW w:w="527" w:type="dxa"/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7" w:type="dxa"/>
            <w:tcBorders>
              <w:top w:val="nil"/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453" w:type="dxa"/>
            <w:tcBorders>
              <w:left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left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</w:tr>
      <w:tr w:rsidR="0046266E" w:rsidRPr="008B51E4" w:rsidTr="00E7081E">
        <w:tc>
          <w:tcPr>
            <w:tcW w:w="527" w:type="dxa"/>
            <w:tcBorders>
              <w:bottom w:val="single" w:sz="4" w:space="0" w:color="000000" w:themeColor="text1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7" w:type="dxa"/>
            <w:tcBorders>
              <w:top w:val="nil"/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5</w:t>
            </w:r>
          </w:p>
        </w:tc>
        <w:tc>
          <w:tcPr>
            <w:tcW w:w="453" w:type="dxa"/>
            <w:tcBorders>
              <w:bottom w:val="single" w:sz="4" w:space="0" w:color="000000" w:themeColor="text1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bottom w:val="single" w:sz="4" w:space="0" w:color="000000" w:themeColor="text1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bottom w:val="single" w:sz="4" w:space="0" w:color="000000" w:themeColor="text1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bottom w:val="single" w:sz="4" w:space="0" w:color="000000" w:themeColor="text1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bottom w:val="single" w:sz="4" w:space="0" w:color="000000" w:themeColor="text1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bottom w:val="single" w:sz="4" w:space="0" w:color="000000" w:themeColor="text1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single" w:sz="4" w:space="0" w:color="auto"/>
              <w:bottom w:val="single" w:sz="4" w:space="0" w:color="000000" w:themeColor="text1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bottom w:val="single" w:sz="4" w:space="0" w:color="000000" w:themeColor="text1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</w:tr>
      <w:tr w:rsidR="0046266E" w:rsidRPr="008B51E4" w:rsidTr="00E7081E">
        <w:tc>
          <w:tcPr>
            <w:tcW w:w="527" w:type="dxa"/>
            <w:tcBorders>
              <w:bottom w:val="single" w:sz="4" w:space="0" w:color="auto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7" w:type="dxa"/>
            <w:tcBorders>
              <w:top w:val="nil"/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453" w:type="dxa"/>
            <w:tcBorders>
              <w:left w:val="nil"/>
              <w:bottom w:val="nil"/>
              <w:right w:val="single" w:sz="4" w:space="0" w:color="auto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6</w:t>
            </w:r>
          </w:p>
        </w:tc>
        <w:tc>
          <w:tcPr>
            <w:tcW w:w="528" w:type="dxa"/>
            <w:tcBorders>
              <w:left w:val="single" w:sz="4" w:space="0" w:color="auto"/>
              <w:bottom w:val="single" w:sz="4" w:space="0" w:color="auto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bottom w:val="single" w:sz="4" w:space="0" w:color="auto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bottom w:val="single" w:sz="4" w:space="0" w:color="000000" w:themeColor="text1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bottom w:val="single" w:sz="4" w:space="0" w:color="auto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bottom w:val="single" w:sz="4" w:space="0" w:color="auto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bottom w:val="single" w:sz="4" w:space="0" w:color="auto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bottom w:val="single" w:sz="4" w:space="0" w:color="auto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bottom w:val="single" w:sz="4" w:space="0" w:color="auto"/>
              <w:right w:val="single" w:sz="4" w:space="0" w:color="auto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</w:tr>
      <w:tr w:rsidR="0046266E" w:rsidRPr="008B51E4" w:rsidTr="00E7081E">
        <w:tc>
          <w:tcPr>
            <w:tcW w:w="5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</w:tr>
      <w:tr w:rsidR="0046266E" w:rsidRPr="008B51E4" w:rsidTr="00E7081E"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  <w:r w:rsidRPr="008B51E4">
              <w:rPr>
                <w:b/>
                <w:bCs/>
              </w:rPr>
              <w:t>7</w:t>
            </w:r>
          </w:p>
        </w:tc>
        <w:tc>
          <w:tcPr>
            <w:tcW w:w="528" w:type="dxa"/>
            <w:tcBorders>
              <w:top w:val="single" w:sz="4" w:space="0" w:color="auto"/>
              <w:bottom w:val="single" w:sz="4" w:space="0" w:color="auto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single" w:sz="4" w:space="0" w:color="auto"/>
              <w:bottom w:val="single" w:sz="4" w:space="0" w:color="auto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single" w:sz="4" w:space="0" w:color="auto"/>
              <w:bottom w:val="single" w:sz="4" w:space="0" w:color="auto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single" w:sz="4" w:space="0" w:color="auto"/>
              <w:bottom w:val="single" w:sz="4" w:space="0" w:color="auto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single" w:sz="4" w:space="0" w:color="auto"/>
              <w:bottom w:val="single" w:sz="4" w:space="0" w:color="auto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single" w:sz="4" w:space="0" w:color="auto"/>
              <w:bottom w:val="single" w:sz="4" w:space="0" w:color="auto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single" w:sz="4" w:space="0" w:color="auto"/>
              <w:bottom w:val="single" w:sz="4" w:space="0" w:color="auto"/>
            </w:tcBorders>
          </w:tcPr>
          <w:p w:rsidR="0046266E" w:rsidRPr="008B51E4" w:rsidRDefault="0046266E" w:rsidP="00E7081E">
            <w:pPr>
              <w:jc w:val="center"/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single" w:sz="4" w:space="0" w:color="auto"/>
              <w:bottom w:val="single" w:sz="4" w:space="0" w:color="auto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Pr="008B51E4" w:rsidRDefault="0046266E" w:rsidP="00E7081E">
            <w:pPr>
              <w:rPr>
                <w:b/>
                <w:bCs/>
              </w:rPr>
            </w:pPr>
          </w:p>
        </w:tc>
      </w:tr>
      <w:tr w:rsidR="0046266E" w:rsidTr="00E7081E"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:rsidR="0046266E" w:rsidRDefault="0046266E" w:rsidP="00E7081E"/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:rsidR="0046266E" w:rsidRDefault="0046266E" w:rsidP="00E7081E">
            <w:pPr>
              <w:jc w:val="center"/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Default="0046266E" w:rsidP="00E7081E">
            <w:pPr>
              <w:jc w:val="center"/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46266E" w:rsidRDefault="0046266E" w:rsidP="00E7081E">
            <w:pPr>
              <w:jc w:val="center"/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Default="0046266E" w:rsidP="00E7081E">
            <w:pPr>
              <w:jc w:val="center"/>
            </w:pP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6266E" w:rsidRDefault="0046266E" w:rsidP="00E7081E">
            <w:pPr>
              <w:jc w:val="center"/>
            </w:pP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6266E" w:rsidRDefault="0046266E" w:rsidP="00E7081E">
            <w:pPr>
              <w:jc w:val="center"/>
            </w:pP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6266E" w:rsidRDefault="0046266E" w:rsidP="00E7081E">
            <w:pPr>
              <w:jc w:val="center"/>
            </w:pP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6266E" w:rsidRDefault="0046266E" w:rsidP="00E7081E">
            <w:pPr>
              <w:jc w:val="center"/>
            </w:pP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6266E" w:rsidRDefault="0046266E" w:rsidP="00E7081E">
            <w:pPr>
              <w:jc w:val="center"/>
            </w:pP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6266E" w:rsidRDefault="0046266E" w:rsidP="00E7081E">
            <w:pPr>
              <w:jc w:val="center"/>
            </w:pP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6266E" w:rsidRDefault="0046266E" w:rsidP="00E7081E">
            <w:pPr>
              <w:jc w:val="center"/>
            </w:pP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6266E" w:rsidRDefault="0046266E" w:rsidP="00E7081E"/>
        </w:tc>
        <w:tc>
          <w:tcPr>
            <w:tcW w:w="5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6266E" w:rsidRDefault="0046266E" w:rsidP="00E7081E"/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Default="0046266E" w:rsidP="00E7081E"/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</w:tcPr>
          <w:p w:rsidR="0046266E" w:rsidRDefault="0046266E" w:rsidP="00E7081E"/>
        </w:tc>
      </w:tr>
    </w:tbl>
    <w:p w:rsidR="0046266E" w:rsidRPr="00103AA9" w:rsidRDefault="0046266E" w:rsidP="0046266E">
      <w:pPr>
        <w:tabs>
          <w:tab w:val="left" w:pos="3075"/>
        </w:tabs>
      </w:pPr>
      <w:r>
        <w:br w:type="textWrapping" w:clear="all"/>
      </w:r>
      <w:r w:rsidRPr="008B51E4">
        <w:rPr>
          <w:rFonts w:ascii="Matura MT Script Capitals" w:hAnsi="Matura MT Script Capitals"/>
          <w:sz w:val="28"/>
          <w:szCs w:val="28"/>
        </w:rPr>
        <w:t>Exercice 1 : remplissez la grille des mots croisés  en vous aidant de la liste suivante :</w:t>
      </w:r>
    </w:p>
    <w:p w:rsidR="0046266E" w:rsidRDefault="0046266E" w:rsidP="0046266E">
      <w:pPr>
        <w:pStyle w:val="Paragraphedeliste"/>
        <w:numPr>
          <w:ilvl w:val="0"/>
          <w:numId w:val="1"/>
        </w:numPr>
        <w:rPr>
          <w:b/>
          <w:bCs/>
        </w:rPr>
      </w:pPr>
      <w:r w:rsidRPr="00FC7DCF">
        <w:rPr>
          <w:b/>
          <w:bCs/>
        </w:rPr>
        <w:t>protéger qqn ou qqch</w:t>
      </w:r>
      <w:r>
        <w:rPr>
          <w:b/>
          <w:bCs/>
        </w:rPr>
        <w:t xml:space="preserve"> 2 . </w:t>
      </w:r>
      <w:r w:rsidRPr="00A075BA">
        <w:rPr>
          <w:b/>
          <w:bCs/>
        </w:rPr>
        <w:t>antonyme de parler (se)</w:t>
      </w:r>
      <w:r>
        <w:rPr>
          <w:b/>
          <w:bCs/>
        </w:rPr>
        <w:t xml:space="preserve"> 3. </w:t>
      </w:r>
      <w:r w:rsidRPr="00A075BA">
        <w:rPr>
          <w:b/>
          <w:bCs/>
        </w:rPr>
        <w:t>se préparer à l’action</w:t>
      </w:r>
      <w:r>
        <w:rPr>
          <w:b/>
          <w:bCs/>
        </w:rPr>
        <w:t xml:space="preserve"> 4. </w:t>
      </w:r>
      <w:r w:rsidRPr="00A075BA">
        <w:rPr>
          <w:b/>
          <w:bCs/>
        </w:rPr>
        <w:t>batailler, combattre</w:t>
      </w:r>
    </w:p>
    <w:p w:rsidR="0046266E" w:rsidRPr="00A075BA" w:rsidRDefault="0046266E" w:rsidP="0046266E">
      <w:pPr>
        <w:pStyle w:val="Paragraphedeliste"/>
        <w:rPr>
          <w:b/>
          <w:bCs/>
        </w:rPr>
      </w:pPr>
      <w:r>
        <w:rPr>
          <w:b/>
          <w:bCs/>
        </w:rPr>
        <w:t xml:space="preserve"> 5. </w:t>
      </w:r>
      <w:r w:rsidRPr="00A075BA">
        <w:rPr>
          <w:b/>
          <w:bCs/>
        </w:rPr>
        <w:t>admettre, se soumettre à (se)</w:t>
      </w:r>
      <w:r>
        <w:rPr>
          <w:b/>
          <w:bCs/>
        </w:rPr>
        <w:t xml:space="preserve">  6. </w:t>
      </w:r>
      <w:r w:rsidRPr="00A075BA">
        <w:rPr>
          <w:b/>
          <w:bCs/>
        </w:rPr>
        <w:t>ne pas céder, tenir</w:t>
      </w:r>
      <w:r>
        <w:rPr>
          <w:b/>
          <w:bCs/>
        </w:rPr>
        <w:t xml:space="preserve"> 7. </w:t>
      </w:r>
      <w:r w:rsidRPr="00A075BA">
        <w:rPr>
          <w:b/>
          <w:bCs/>
        </w:rPr>
        <w:t>émettre un jugement négatif sur</w:t>
      </w:r>
    </w:p>
    <w:p w:rsidR="0046266E" w:rsidRPr="008B51E4" w:rsidRDefault="0046266E" w:rsidP="0046266E">
      <w:pPr>
        <w:rPr>
          <w:rFonts w:ascii="Matura MT Script Capitals" w:hAnsi="Matura MT Script Capitals"/>
          <w:sz w:val="28"/>
          <w:szCs w:val="28"/>
        </w:rPr>
      </w:pPr>
      <w:r w:rsidRPr="008B51E4">
        <w:rPr>
          <w:rFonts w:ascii="Matura MT Script Capitals" w:hAnsi="Matura MT Script Capitals"/>
          <w:sz w:val="28"/>
          <w:szCs w:val="28"/>
        </w:rPr>
        <w:t>Exercice 2 : En vous aidant des mots trouvés, complétez cette définition de l’engagement en littérature :</w:t>
      </w:r>
    </w:p>
    <w:p w:rsidR="0046266E" w:rsidRPr="00103AA9" w:rsidRDefault="0046266E" w:rsidP="00A53558">
      <w:pPr>
        <w:jc w:val="both"/>
        <w:rPr>
          <w:sz w:val="24"/>
          <w:szCs w:val="24"/>
        </w:rPr>
      </w:pPr>
      <w:r>
        <w:t xml:space="preserve">     </w:t>
      </w:r>
      <w:r w:rsidRPr="00103AA9">
        <w:rPr>
          <w:sz w:val="24"/>
          <w:szCs w:val="24"/>
        </w:rPr>
        <w:t xml:space="preserve">Une œuvre littéraire est engagée lorsqu’elle </w:t>
      </w:r>
      <w:r w:rsidR="00A53558">
        <w:rPr>
          <w:sz w:val="24"/>
          <w:szCs w:val="24"/>
          <w:bdr w:val="single" w:sz="4" w:space="0" w:color="auto"/>
        </w:rPr>
        <w:t xml:space="preserve">              </w:t>
      </w:r>
      <w:r w:rsidRPr="00103AA9">
        <w:rPr>
          <w:sz w:val="24"/>
          <w:szCs w:val="24"/>
        </w:rPr>
        <w:t xml:space="preserve">des valeurs, </w:t>
      </w:r>
      <w:r w:rsidR="00A53558">
        <w:rPr>
          <w:sz w:val="24"/>
          <w:szCs w:val="24"/>
          <w:bdr w:val="single" w:sz="4" w:space="0" w:color="auto"/>
        </w:rPr>
        <w:t xml:space="preserve">                    </w:t>
      </w:r>
      <w:r w:rsidRPr="00103AA9">
        <w:rPr>
          <w:sz w:val="24"/>
          <w:szCs w:val="24"/>
        </w:rPr>
        <w:t>et dénonce des abus et des injustices.</w:t>
      </w:r>
    </w:p>
    <w:p w:rsidR="0046266E" w:rsidRPr="00103AA9" w:rsidRDefault="0046266E" w:rsidP="00A53558">
      <w:pPr>
        <w:rPr>
          <w:sz w:val="24"/>
          <w:szCs w:val="24"/>
        </w:rPr>
      </w:pPr>
      <w:r w:rsidRPr="00103AA9">
        <w:rPr>
          <w:sz w:val="24"/>
          <w:szCs w:val="24"/>
        </w:rPr>
        <w:t xml:space="preserve">      L’auteur engagé considère qu’il ne peut pas </w:t>
      </w:r>
      <w:r w:rsidR="00A53558">
        <w:rPr>
          <w:sz w:val="24"/>
          <w:szCs w:val="24"/>
          <w:bdr w:val="single" w:sz="4" w:space="0" w:color="auto"/>
        </w:rPr>
        <w:t xml:space="preserve">                 </w:t>
      </w:r>
      <w:r w:rsidRPr="00103AA9">
        <w:rPr>
          <w:sz w:val="24"/>
          <w:szCs w:val="24"/>
        </w:rPr>
        <w:t xml:space="preserve">face aux atteintes aux droits de l’homme.  Alors il </w:t>
      </w:r>
      <w:r w:rsidRPr="00103AA9">
        <w:rPr>
          <w:sz w:val="24"/>
          <w:szCs w:val="24"/>
          <w:bdr w:val="single" w:sz="4" w:space="0" w:color="auto"/>
        </w:rPr>
        <w:t>mobilise</w:t>
      </w:r>
      <w:r w:rsidRPr="00103AA9">
        <w:rPr>
          <w:sz w:val="24"/>
          <w:szCs w:val="24"/>
        </w:rPr>
        <w:t xml:space="preserve"> ses efforts pour empêcher le lecteur de </w:t>
      </w:r>
      <w:r w:rsidR="00A53558">
        <w:rPr>
          <w:sz w:val="24"/>
          <w:szCs w:val="24"/>
          <w:bdr w:val="single" w:sz="4" w:space="0" w:color="auto"/>
        </w:rPr>
        <w:t xml:space="preserve">                         </w:t>
      </w:r>
      <w:r w:rsidRPr="00103AA9">
        <w:rPr>
          <w:sz w:val="24"/>
          <w:szCs w:val="24"/>
        </w:rPr>
        <w:t xml:space="preserve">et l’inciter à agir, à </w:t>
      </w:r>
      <w:r w:rsidR="00A53558">
        <w:rPr>
          <w:sz w:val="24"/>
          <w:szCs w:val="24"/>
          <w:bdr w:val="single" w:sz="4" w:space="0" w:color="auto"/>
        </w:rPr>
        <w:t xml:space="preserve">                   </w:t>
      </w:r>
      <w:r w:rsidRPr="00103AA9">
        <w:rPr>
          <w:sz w:val="24"/>
          <w:szCs w:val="24"/>
        </w:rPr>
        <w:t xml:space="preserve">et à </w:t>
      </w:r>
      <w:r w:rsidR="00A53558">
        <w:rPr>
          <w:sz w:val="24"/>
          <w:szCs w:val="24"/>
          <w:bdr w:val="single" w:sz="4" w:space="0" w:color="auto"/>
        </w:rPr>
        <w:t xml:space="preserve">               </w:t>
      </w:r>
      <w:r w:rsidRPr="00103AA9">
        <w:rPr>
          <w:sz w:val="24"/>
          <w:szCs w:val="24"/>
        </w:rPr>
        <w:t>à tous ceux qui bafouent ses droits.</w:t>
      </w:r>
    </w:p>
    <w:p w:rsidR="0046266E" w:rsidRPr="008B51E4" w:rsidRDefault="0046266E" w:rsidP="0046266E">
      <w:pPr>
        <w:rPr>
          <w:rFonts w:ascii="Matura MT Script Capitals" w:hAnsi="Matura MT Script Capitals"/>
          <w:sz w:val="28"/>
          <w:szCs w:val="28"/>
        </w:rPr>
      </w:pPr>
      <w:r w:rsidRPr="008B51E4">
        <w:rPr>
          <w:rFonts w:ascii="Matura MT Script Capitals" w:hAnsi="Matura MT Script Capitals"/>
          <w:sz w:val="28"/>
          <w:szCs w:val="28"/>
        </w:rPr>
        <w:t xml:space="preserve">Exercice 3 : </w:t>
      </w:r>
    </w:p>
    <w:p w:rsidR="0046266E" w:rsidRPr="00103AA9" w:rsidRDefault="0046266E" w:rsidP="0046266E">
      <w:pPr>
        <w:rPr>
          <w:sz w:val="24"/>
          <w:szCs w:val="24"/>
        </w:rPr>
      </w:pPr>
      <w:r w:rsidRPr="00103AA9">
        <w:rPr>
          <w:sz w:val="24"/>
          <w:szCs w:val="24"/>
        </w:rPr>
        <w:t>Concevez –vous, dans le monde qui est le nôtre, une littérature non-engagée ? « l’art pour l’art » a-t-il encore un</w:t>
      </w:r>
      <w:r w:rsidR="006425AC">
        <w:rPr>
          <w:sz w:val="24"/>
          <w:szCs w:val="24"/>
        </w:rPr>
        <w:t>e</w:t>
      </w:r>
      <w:r w:rsidRPr="00103AA9">
        <w:rPr>
          <w:sz w:val="24"/>
          <w:szCs w:val="24"/>
        </w:rPr>
        <w:t xml:space="preserve"> raison d’être ?</w:t>
      </w:r>
    </w:p>
    <w:p w:rsidR="0046266E" w:rsidRDefault="0046266E" w:rsidP="0046266E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46266E" w:rsidRPr="008B51E4" w:rsidRDefault="0046266E" w:rsidP="0046266E">
      <w:pPr>
        <w:rPr>
          <w:rFonts w:ascii="Matura MT Script Capitals" w:hAnsi="Matura MT Script Capitals"/>
          <w:sz w:val="28"/>
          <w:szCs w:val="28"/>
        </w:rPr>
      </w:pPr>
      <w:r w:rsidRPr="008B51E4">
        <w:rPr>
          <w:rFonts w:ascii="Matura MT Script Capitals" w:hAnsi="Matura MT Script Capitals"/>
          <w:sz w:val="28"/>
          <w:szCs w:val="28"/>
        </w:rPr>
        <w:t>Citations utiles :</w:t>
      </w:r>
    </w:p>
    <w:p w:rsidR="0046266E" w:rsidRPr="00103AA9" w:rsidRDefault="006425AC" w:rsidP="006425AC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Louis de Bonald</w:t>
      </w:r>
      <w:r w:rsidR="0046266E" w:rsidRPr="00103AA9">
        <w:rPr>
          <w:sz w:val="24"/>
          <w:szCs w:val="24"/>
        </w:rPr>
        <w:t>: « la littérature est l’expression de la société, comme la parole est l’expression de l’homme »</w:t>
      </w:r>
    </w:p>
    <w:p w:rsidR="0046266E" w:rsidRPr="00103AA9" w:rsidRDefault="0046266E" w:rsidP="0046266E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103AA9">
        <w:rPr>
          <w:sz w:val="24"/>
          <w:szCs w:val="24"/>
        </w:rPr>
        <w:t>Voltaire : « j’écris pour agir »</w:t>
      </w:r>
    </w:p>
    <w:p w:rsidR="0046266E" w:rsidRPr="00103AA9" w:rsidRDefault="0046266E" w:rsidP="0046266E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103AA9">
        <w:rPr>
          <w:sz w:val="24"/>
          <w:szCs w:val="24"/>
        </w:rPr>
        <w:t>Roger Vaillant : « l’engagement particulier de l’artiste, c’est de descendre aux entrailles des choses et de vendre  exactement ce qu’il a découvert »</w:t>
      </w:r>
    </w:p>
    <w:p w:rsidR="0046266E" w:rsidRPr="00103AA9" w:rsidRDefault="0046266E" w:rsidP="0046266E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103AA9">
        <w:rPr>
          <w:sz w:val="24"/>
          <w:szCs w:val="24"/>
        </w:rPr>
        <w:t>Thomas Corneille « quiconque écrit s’engage »</w:t>
      </w:r>
    </w:p>
    <w:p w:rsidR="0046266E" w:rsidRPr="00103AA9" w:rsidRDefault="0046266E" w:rsidP="0046266E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103AA9">
        <w:rPr>
          <w:sz w:val="24"/>
          <w:szCs w:val="24"/>
        </w:rPr>
        <w:t>Coelho « le bon combat est celui qui est fait au nom de nos rêves »</w:t>
      </w:r>
    </w:p>
    <w:p w:rsidR="00564CC4" w:rsidRDefault="00564CC4"/>
    <w:sectPr w:rsidR="00564CC4" w:rsidSect="00103AA9">
      <w:headerReference w:type="default" r:id="rId7"/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7D40" w:rsidRDefault="00B57D40" w:rsidP="003704D3">
      <w:pPr>
        <w:spacing w:after="0" w:line="240" w:lineRule="auto"/>
      </w:pPr>
      <w:r>
        <w:separator/>
      </w:r>
    </w:p>
  </w:endnote>
  <w:endnote w:type="continuationSeparator" w:id="1">
    <w:p w:rsidR="00B57D40" w:rsidRDefault="00B57D40" w:rsidP="003704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7D40" w:rsidRDefault="00B57D40" w:rsidP="003704D3">
      <w:pPr>
        <w:spacing w:after="0" w:line="240" w:lineRule="auto"/>
      </w:pPr>
      <w:r>
        <w:separator/>
      </w:r>
    </w:p>
  </w:footnote>
  <w:footnote w:type="continuationSeparator" w:id="1">
    <w:p w:rsidR="00B57D40" w:rsidRDefault="00B57D40" w:rsidP="003704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3AA9" w:rsidRPr="00103AA9" w:rsidRDefault="00A53558" w:rsidP="00103AA9">
    <w:pPr>
      <w:pStyle w:val="En-tte"/>
      <w:jc w:val="right"/>
      <w:rPr>
        <w:rFonts w:ascii="Matura MT Script Capitals" w:hAnsi="Matura MT Script Capitals"/>
        <w:sz w:val="24"/>
        <w:szCs w:val="24"/>
      </w:rPr>
    </w:pPr>
    <w:r w:rsidRPr="00103AA9">
      <w:rPr>
        <w:rFonts w:ascii="Matura MT Script Capitals" w:hAnsi="Matura MT Script Capitals"/>
        <w:sz w:val="24"/>
        <w:szCs w:val="24"/>
      </w:rPr>
      <w:t>Module 2 : l’engagement en littérature (vocabulaire)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37772"/>
    <w:multiLevelType w:val="hybridMultilevel"/>
    <w:tmpl w:val="6AF80A5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C3440C"/>
    <w:multiLevelType w:val="hybridMultilevel"/>
    <w:tmpl w:val="73A85168"/>
    <w:lvl w:ilvl="0" w:tplc="8C32DD6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6266E"/>
    <w:rsid w:val="003704D3"/>
    <w:rsid w:val="0046266E"/>
    <w:rsid w:val="00564CC4"/>
    <w:rsid w:val="006425AC"/>
    <w:rsid w:val="00A53558"/>
    <w:rsid w:val="00B57D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66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6266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46266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4626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46266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303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2018-11-11T12:43:00Z</dcterms:created>
  <dcterms:modified xsi:type="dcterms:W3CDTF">2018-11-13T07:31:00Z</dcterms:modified>
</cp:coreProperties>
</file>