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000000"/>
          <w:sz w:val="28"/>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000000"/>
          <w:sz w:val="28"/>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000000"/>
          <w:sz w:val="28"/>
        </w:rPr>
        <w:t>4. TABLE OF CONTENTS</w:t>
      </w:r>
    </w:p>
    <w:p>
      <w:pPr>
        <w:spacing w:before="40" w:after="40" w:lineRule="auto" w:line="276"/>
        <w:tabs>
          <w:tab w:val="right" w:leader="dot" w:pos="8668"/>
        </w:tabs>
      </w:pPr>
      <w:r>
        <w:rPr>
          <w:rFonts w:ascii="Times New Roman" w:hAnsi="Times New Roman"/>
          <w:b/>
          <w:color w:val="000000"/>
          <w:sz w:val="22"/>
        </w:rPr>
        <w:t>1. Title / Cover Page</w:t>
      </w:r>
      <w:r>
        <w:tab/>
      </w:r>
      <w:r>
        <w:rPr>
          <w:rFonts w:ascii="Times New Roman" w:hAnsi="Times New Roman"/>
          <w:b/>
          <w:color w:val="000000"/>
          <w:sz w:val="22"/>
        </w:rPr>
        <w:t>i</w:t>
      </w:r>
    </w:p>
    <w:p>
      <w:pPr>
        <w:spacing w:before="40" w:after="40" w:lineRule="auto" w:line="276"/>
        <w:tabs>
          <w:tab w:val="right" w:leader="dot" w:pos="8668"/>
        </w:tabs>
      </w:pPr>
      <w:r>
        <w:rPr>
          <w:rFonts w:ascii="Times New Roman" w:hAnsi="Times New Roman"/>
          <w:b/>
          <w:color w:val="000000"/>
          <w:sz w:val="22"/>
        </w:rPr>
        <w:t>2. Acknowledgment</w:t>
      </w:r>
      <w:r>
        <w:tab/>
      </w:r>
      <w:r>
        <w:rPr>
          <w:rFonts w:ascii="Times New Roman" w:hAnsi="Times New Roman"/>
          <w:b/>
          <w:color w:val="000000"/>
          <w:sz w:val="22"/>
        </w:rPr>
        <w:t>ii</w:t>
      </w:r>
    </w:p>
    <w:p>
      <w:pPr>
        <w:spacing w:before="40" w:after="40" w:lineRule="auto" w:line="276"/>
        <w:tabs>
          <w:tab w:val="right" w:leader="dot" w:pos="8668"/>
        </w:tabs>
      </w:pPr>
      <w:r>
        <w:rPr>
          <w:rFonts w:ascii="Times New Roman" w:hAnsi="Times New Roman"/>
          <w:b/>
          <w:color w:val="000000"/>
          <w:sz w:val="22"/>
        </w:rPr>
        <w:t>3. Institutional Training / Lab Certificate</w:t>
      </w:r>
      <w:r>
        <w:tab/>
      </w:r>
      <w:r>
        <w:rPr>
          <w:rFonts w:ascii="Times New Roman" w:hAnsi="Times New Roman"/>
          <w:b/>
          <w:color w:val="000000"/>
          <w:sz w:val="22"/>
        </w:rPr>
        <w:t>iv</w:t>
      </w:r>
    </w:p>
    <w:p>
      <w:pPr>
        <w:spacing w:before="40" w:after="40" w:lineRule="auto" w:line="276"/>
        <w:tabs>
          <w:tab w:val="right" w:leader="dot" w:pos="8668"/>
        </w:tabs>
      </w:pPr>
      <w:r>
        <w:rPr>
          <w:rFonts w:ascii="Times New Roman" w:hAnsi="Times New Roman"/>
          <w:b/>
          <w:color w:val="000000"/>
          <w:sz w:val="22"/>
        </w:rPr>
        <w:t>4. Table of Contents / List of Figures / List of Tables</w:t>
      </w:r>
      <w:r>
        <w:tab/>
      </w:r>
      <w:r>
        <w:rPr>
          <w:rFonts w:ascii="Times New Roman" w:hAnsi="Times New Roman"/>
          <w:b/>
          <w:color w:val="000000"/>
          <w:sz w:val="22"/>
        </w:rPr>
        <w:t>v</w:t>
      </w:r>
    </w:p>
    <w:p>
      <w:pPr>
        <w:spacing w:before="40" w:after="40" w:lineRule="auto" w:line="276"/>
        <w:tabs>
          <w:tab w:val="right" w:leader="dot" w:pos="8668"/>
        </w:tabs>
      </w:pPr>
      <w:r>
        <w:rPr>
          <w:rFonts w:ascii="Times New Roman" w:hAnsi="Times New Roman"/>
          <w:b/>
          <w:color w:val="000000"/>
          <w:sz w:val="22"/>
        </w:rPr>
        <w:t>5. Abstract</w:t>
      </w:r>
      <w:r>
        <w:tab/>
      </w:r>
      <w:r>
        <w:rPr>
          <w:rFonts w:ascii="Times New Roman" w:hAnsi="Times New Roman"/>
          <w:b/>
          <w:color w:val="000000"/>
          <w:sz w:val="22"/>
        </w:rPr>
        <w:t>1</w:t>
      </w:r>
    </w:p>
    <w:p>
      <w:pPr>
        <w:spacing w:before="40" w:after="40" w:lineRule="auto" w:line="276"/>
        <w:tabs>
          <w:tab w:val="right" w:leader="dot" w:pos="8668"/>
        </w:tabs>
      </w:pPr>
      <w:r>
        <w:rPr>
          <w:rFonts w:ascii="Times New Roman" w:hAnsi="Times New Roman"/>
          <w:b/>
          <w:color w:val="000000"/>
          <w:sz w:val="22"/>
        </w:rPr>
        <w:t>6. Introduction</w:t>
      </w:r>
      <w:r>
        <w:tab/>
      </w:r>
      <w:r>
        <w:rPr>
          <w:rFonts w:ascii="Times New Roman" w:hAnsi="Times New Roman"/>
          <w:b/>
          <w:color w:val="000000"/>
          <w:sz w:val="22"/>
        </w:rPr>
        <w:t>4</w:t>
      </w:r>
    </w:p>
    <w:p>
      <w:pPr>
        <w:spacing w:before="40" w:after="40" w:lineRule="auto" w:line="276"/>
        <w:ind w:left="576"/>
        <w:tabs>
          <w:tab w:val="right" w:leader="dot" w:pos="8668"/>
        </w:tabs>
      </w:pPr>
      <w:r>
        <w:rPr>
          <w:rFonts w:ascii="Times New Roman" w:hAnsi="Times New Roman"/>
          <w:b w:val="0"/>
          <w:color w:val="000000"/>
          <w:sz w:val="22"/>
        </w:rPr>
        <w:t>(i) Problem Domain: The Indian Educational Attendance Crisis</w:t>
      </w:r>
      <w:r>
        <w:tab/>
      </w:r>
      <w:r>
        <w:rPr>
          <w:rFonts w:ascii="Times New Roman" w:hAnsi="Times New Roman"/>
          <w:color w:val="000000"/>
          <w:sz w:val="22"/>
        </w:rPr>
        <w:t>4</w:t>
      </w:r>
    </w:p>
    <w:p>
      <w:pPr>
        <w:spacing w:before="40" w:after="40" w:lineRule="auto" w:line="276"/>
        <w:ind w:left="576"/>
        <w:tabs>
          <w:tab w:val="right" w:leader="dot" w:pos="8668"/>
        </w:tabs>
      </w:pPr>
      <w:r>
        <w:rPr>
          <w:rFonts w:ascii="Times New Roman" w:hAnsi="Times New Roman"/>
          <w:b w:val="0"/>
          <w:color w:val="000000"/>
          <w:sz w:val="22"/>
        </w:rPr>
        <w:t>(ii) About the HAAZIR Project: The Hybrid Philosophy</w:t>
      </w:r>
      <w:r>
        <w:tab/>
      </w:r>
      <w:r>
        <w:rPr>
          <w:rFonts w:ascii="Times New Roman" w:hAnsi="Times New Roman"/>
          <w:color w:val="000000"/>
          <w:sz w:val="22"/>
        </w:rPr>
        <w:t>6</w:t>
      </w:r>
    </w:p>
    <w:p>
      <w:pPr>
        <w:spacing w:before="40" w:after="40" w:lineRule="auto" w:line="276"/>
        <w:tabs>
          <w:tab w:val="right" w:leader="dot" w:pos="8668"/>
        </w:tabs>
      </w:pPr>
      <w:r>
        <w:rPr>
          <w:rFonts w:ascii="Times New Roman" w:hAnsi="Times New Roman"/>
          <w:b/>
          <w:color w:val="000000"/>
          <w:sz w:val="22"/>
        </w:rPr>
        <w:t>7. Objectives &amp; Key Differentiating Features</w:t>
      </w:r>
      <w:r>
        <w:tab/>
      </w:r>
      <w:r>
        <w:rPr>
          <w:rFonts w:ascii="Times New Roman" w:hAnsi="Times New Roman"/>
          <w:b/>
          <w:color w:val="000000"/>
          <w:sz w:val="22"/>
        </w:rPr>
        <w:t>8</w:t>
      </w:r>
    </w:p>
    <w:p>
      <w:pPr>
        <w:spacing w:before="40" w:after="40" w:lineRule="auto" w:line="276"/>
        <w:tabs>
          <w:tab w:val="right" w:leader="dot" w:pos="8668"/>
        </w:tabs>
      </w:pPr>
      <w:r>
        <w:rPr>
          <w:rFonts w:ascii="Times New Roman" w:hAnsi="Times New Roman"/>
          <w:b/>
          <w:color w:val="000000"/>
          <w:sz w:val="22"/>
        </w:rPr>
        <w:t>8. Project Category &amp; Beneficiary Analysis</w:t>
      </w:r>
      <w:r>
        <w:tab/>
      </w:r>
      <w:r>
        <w:rPr>
          <w:rFonts w:ascii="Times New Roman" w:hAnsi="Times New Roman"/>
          <w:b/>
          <w:color w:val="000000"/>
          <w:sz w:val="22"/>
        </w:rPr>
        <w:t>11</w:t>
      </w:r>
    </w:p>
    <w:p>
      <w:pPr>
        <w:spacing w:before="40" w:after="40" w:lineRule="auto" w:line="276"/>
        <w:tabs>
          <w:tab w:val="right" w:leader="dot" w:pos="8668"/>
        </w:tabs>
      </w:pPr>
      <w:r>
        <w:rPr>
          <w:rFonts w:ascii="Times New Roman" w:hAnsi="Times New Roman"/>
          <w:b/>
          <w:color w:val="000000"/>
          <w:sz w:val="22"/>
        </w:rPr>
        <w:t>9. Feasibility Study</w:t>
      </w:r>
      <w:r>
        <w:tab/>
      </w:r>
      <w:r>
        <w:rPr>
          <w:rFonts w:ascii="Times New Roman" w:hAnsi="Times New Roman"/>
          <w:b/>
          <w:color w:val="000000"/>
          <w:sz w:val="22"/>
        </w:rPr>
        <w:t>13</w:t>
      </w:r>
    </w:p>
    <w:p>
      <w:pPr>
        <w:spacing w:before="40" w:after="40" w:lineRule="auto" w:line="276"/>
        <w:tabs>
          <w:tab w:val="right" w:leader="dot" w:pos="8668"/>
        </w:tabs>
      </w:pPr>
      <w:r>
        <w:rPr>
          <w:rFonts w:ascii="Times New Roman" w:hAnsi="Times New Roman"/>
          <w:b/>
          <w:color w:val="000000"/>
          <w:sz w:val="22"/>
        </w:rPr>
        <w:t>10. Methodology Used &amp; Planning Work</w:t>
      </w:r>
      <w:r>
        <w:tab/>
      </w:r>
      <w:r>
        <w:rPr>
          <w:rFonts w:ascii="Times New Roman" w:hAnsi="Times New Roman"/>
          <w:b/>
          <w:color w:val="000000"/>
          <w:sz w:val="22"/>
        </w:rPr>
        <w:t>17</w:t>
      </w:r>
    </w:p>
    <w:p>
      <w:pPr>
        <w:spacing w:before="40" w:after="40" w:lineRule="auto" w:line="276"/>
        <w:tabs>
          <w:tab w:val="right" w:leader="dot" w:pos="8668"/>
        </w:tabs>
      </w:pPr>
      <w:r>
        <w:rPr>
          <w:rFonts w:ascii="Times New Roman" w:hAnsi="Times New Roman"/>
          <w:b/>
          <w:color w:val="000000"/>
          <w:sz w:val="22"/>
        </w:rPr>
        <w:t>11. Tools &amp; Technologies Used</w:t>
      </w:r>
      <w:r>
        <w:tab/>
      </w:r>
      <w:r>
        <w:rPr>
          <w:rFonts w:ascii="Times New Roman" w:hAnsi="Times New Roman"/>
          <w:b/>
          <w:color w:val="000000"/>
          <w:sz w:val="22"/>
        </w:rPr>
        <w:t>21</w:t>
      </w:r>
    </w:p>
    <w:p>
      <w:pPr>
        <w:spacing w:before="40" w:after="40" w:lineRule="auto" w:line="276"/>
        <w:tabs>
          <w:tab w:val="right" w:leader="dot" w:pos="8668"/>
        </w:tabs>
      </w:pPr>
      <w:r>
        <w:rPr>
          <w:rFonts w:ascii="Times New Roman" w:hAnsi="Times New Roman"/>
          <w:b/>
          <w:color w:val="000000"/>
          <w:sz w:val="22"/>
        </w:rPr>
        <w:t>12. Platform Used (Hardware &amp; Software)</w:t>
      </w:r>
      <w:r>
        <w:tab/>
      </w:r>
      <w:r>
        <w:rPr>
          <w:rFonts w:ascii="Times New Roman" w:hAnsi="Times New Roman"/>
          <w:b/>
          <w:color w:val="000000"/>
          <w:sz w:val="22"/>
        </w:rPr>
        <w:t>25</w:t>
      </w:r>
    </w:p>
    <w:p>
      <w:pPr>
        <w:spacing w:before="40" w:after="40" w:lineRule="auto" w:line="276"/>
        <w:tabs>
          <w:tab w:val="right" w:leader="dot" w:pos="8668"/>
        </w:tabs>
      </w:pPr>
      <w:r>
        <w:rPr>
          <w:rFonts w:ascii="Times New Roman" w:hAnsi="Times New Roman"/>
          <w:b/>
          <w:color w:val="000000"/>
          <w:sz w:val="22"/>
        </w:rPr>
        <w:t>13. Comprehensive Module Description</w:t>
      </w:r>
      <w:r>
        <w:tab/>
      </w:r>
      <w:r>
        <w:rPr>
          <w:rFonts w:ascii="Times New Roman" w:hAnsi="Times New Roman"/>
          <w:b/>
          <w:color w:val="000000"/>
          <w:sz w:val="22"/>
        </w:rPr>
        <w:t>28</w:t>
      </w:r>
    </w:p>
    <w:p>
      <w:pPr>
        <w:spacing w:before="40" w:after="40" w:lineRule="auto" w:line="276"/>
        <w:ind w:left="576"/>
        <w:tabs>
          <w:tab w:val="right" w:leader="dot" w:pos="8668"/>
        </w:tabs>
      </w:pPr>
      <w:r>
        <w:rPr>
          <w:rFonts w:ascii="Times New Roman" w:hAnsi="Times New Roman"/>
          <w:b w:val="0"/>
          <w:color w:val="000000"/>
          <w:sz w:val="22"/>
        </w:rPr>
        <w:t>• Module 1.0: Core Infrastructure &amp; Multi-Tenant Config Engine</w:t>
      </w:r>
      <w:r>
        <w:tab/>
      </w:r>
      <w:r>
        <w:rPr>
          <w:rFonts w:ascii="Times New Roman" w:hAnsi="Times New Roman"/>
          <w:color w:val="000000"/>
          <w:sz w:val="22"/>
        </w:rPr>
        <w:t>28</w:t>
      </w:r>
    </w:p>
    <w:p>
      <w:pPr>
        <w:spacing w:before="40" w:after="40" w:lineRule="auto" w:line="276"/>
        <w:ind w:left="576"/>
        <w:tabs>
          <w:tab w:val="right" w:leader="dot" w:pos="8668"/>
        </w:tabs>
      </w:pPr>
      <w:r>
        <w:rPr>
          <w:rFonts w:ascii="Times New Roman" w:hAnsi="Times New Roman"/>
          <w:b w:val="0"/>
          <w:color w:val="000000"/>
          <w:sz w:val="22"/>
        </w:rPr>
        <w:t>• Module 2.0: Identity, Access &amp; Role-Based Security (RBAC)</w:t>
      </w:r>
      <w:r>
        <w:tab/>
      </w:r>
      <w:r>
        <w:rPr>
          <w:rFonts w:ascii="Times New Roman" w:hAnsi="Times New Roman"/>
          <w:color w:val="000000"/>
          <w:sz w:val="22"/>
        </w:rPr>
        <w:t>29</w:t>
      </w:r>
    </w:p>
    <w:p>
      <w:pPr>
        <w:spacing w:before="40" w:after="40" w:lineRule="auto" w:line="276"/>
        <w:ind w:left="576"/>
        <w:tabs>
          <w:tab w:val="right" w:leader="dot" w:pos="8668"/>
        </w:tabs>
      </w:pPr>
      <w:r>
        <w:rPr>
          <w:rFonts w:ascii="Times New Roman" w:hAnsi="Times New Roman"/>
          <w:b w:val="0"/>
          <w:color w:val="000000"/>
          <w:sz w:val="22"/>
        </w:rPr>
        <w:t>• Module 3.0: High-Speed Synthetic Data Engine</w:t>
      </w:r>
      <w:r>
        <w:tab/>
      </w:r>
      <w:r>
        <w:rPr>
          <w:rFonts w:ascii="Times New Roman" w:hAnsi="Times New Roman"/>
          <w:color w:val="000000"/>
          <w:sz w:val="22"/>
        </w:rPr>
        <w:t>30</w:t>
      </w:r>
    </w:p>
    <w:p>
      <w:pPr>
        <w:spacing w:before="40" w:after="40" w:lineRule="auto" w:line="276"/>
        <w:ind w:left="576"/>
        <w:tabs>
          <w:tab w:val="right" w:leader="dot" w:pos="8668"/>
        </w:tabs>
      </w:pPr>
      <w:r>
        <w:rPr>
          <w:rFonts w:ascii="Times New Roman" w:hAnsi="Times New Roman"/>
          <w:b w:val="0"/>
          <w:color w:val="000000"/>
          <w:sz w:val="22"/>
        </w:rPr>
        <w:t>• Module 4.0: Student &amp; Academic Management Module</w:t>
      </w:r>
      <w:r>
        <w:tab/>
      </w:r>
      <w:r>
        <w:rPr>
          <w:rFonts w:ascii="Times New Roman" w:hAnsi="Times New Roman"/>
          <w:color w:val="000000"/>
          <w:sz w:val="22"/>
        </w:rPr>
        <w:t>31</w:t>
      </w:r>
    </w:p>
    <w:p>
      <w:pPr>
        <w:spacing w:before="40" w:after="40" w:lineRule="auto" w:line="276"/>
        <w:ind w:left="576"/>
        <w:tabs>
          <w:tab w:val="right" w:leader="dot" w:pos="8668"/>
        </w:tabs>
      </w:pPr>
      <w:r>
        <w:rPr>
          <w:rFonts w:ascii="Times New Roman" w:hAnsi="Times New Roman"/>
          <w:b w:val="0"/>
          <w:color w:val="000000"/>
          <w:sz w:val="22"/>
        </w:rPr>
        <w:t>• Module 5.0: YOLO Vision &amp; Register Digitization Engine (FLAGSHIP)</w:t>
      </w:r>
      <w:r>
        <w:tab/>
      </w:r>
      <w:r>
        <w:rPr>
          <w:rFonts w:ascii="Times New Roman" w:hAnsi="Times New Roman"/>
          <w:color w:val="000000"/>
          <w:sz w:val="22"/>
        </w:rPr>
        <w:t>32</w:t>
      </w:r>
    </w:p>
    <w:p>
      <w:pPr>
        <w:spacing w:before="40" w:after="40" w:lineRule="auto" w:line="276"/>
        <w:ind w:left="576"/>
        <w:tabs>
          <w:tab w:val="right" w:leader="dot" w:pos="8668"/>
        </w:tabs>
      </w:pPr>
      <w:r>
        <w:rPr>
          <w:rFonts w:ascii="Times New Roman" w:hAnsi="Times New Roman"/>
          <w:b w:val="0"/>
          <w:color w:val="000000"/>
          <w:sz w:val="22"/>
        </w:rPr>
        <w:t>• Module 6.0: Attendance Ingestion &amp; Audit Service</w:t>
      </w:r>
      <w:r>
        <w:tab/>
      </w:r>
      <w:r>
        <w:rPr>
          <w:rFonts w:ascii="Times New Roman" w:hAnsi="Times New Roman"/>
          <w:color w:val="000000"/>
          <w:sz w:val="22"/>
        </w:rPr>
        <w:t>34</w:t>
      </w:r>
    </w:p>
    <w:p>
      <w:pPr>
        <w:spacing w:before="40" w:after="40" w:lineRule="auto" w:line="276"/>
        <w:ind w:left="576"/>
        <w:tabs>
          <w:tab w:val="right" w:leader="dot" w:pos="8668"/>
        </w:tabs>
      </w:pPr>
      <w:r>
        <w:rPr>
          <w:rFonts w:ascii="Times New Roman" w:hAnsi="Times New Roman"/>
          <w:b w:val="0"/>
          <w:color w:val="000000"/>
          <w:sz w:val="22"/>
        </w:rPr>
        <w:t>• Module 7.0: Fee Management &amp; Payment Ledger Module</w:t>
      </w:r>
      <w:r>
        <w:tab/>
      </w:r>
      <w:r>
        <w:rPr>
          <w:rFonts w:ascii="Times New Roman" w:hAnsi="Times New Roman"/>
          <w:color w:val="000000"/>
          <w:sz w:val="22"/>
        </w:rPr>
        <w:t>34</w:t>
      </w:r>
    </w:p>
    <w:p>
      <w:pPr>
        <w:spacing w:before="40" w:after="40" w:lineRule="auto" w:line="276"/>
        <w:ind w:left="576"/>
        <w:tabs>
          <w:tab w:val="right" w:leader="dot" w:pos="8668"/>
        </w:tabs>
      </w:pPr>
      <w:r>
        <w:rPr>
          <w:rFonts w:ascii="Times New Roman" w:hAnsi="Times New Roman"/>
          <w:b w:val="0"/>
          <w:color w:val="000000"/>
          <w:sz w:val="22"/>
        </w:rPr>
        <w:t>• Module 8.0: Parent Notification &amp; Communication Engine</w:t>
      </w:r>
      <w:r>
        <w:tab/>
      </w:r>
      <w:r>
        <w:rPr>
          <w:rFonts w:ascii="Times New Roman" w:hAnsi="Times New Roman"/>
          <w:color w:val="000000"/>
          <w:sz w:val="22"/>
        </w:rPr>
        <w:t>35</w:t>
      </w:r>
    </w:p>
    <w:p>
      <w:pPr>
        <w:spacing w:before="40" w:after="40" w:lineRule="auto" w:line="276"/>
        <w:ind w:left="576"/>
        <w:tabs>
          <w:tab w:val="right" w:leader="dot" w:pos="8668"/>
        </w:tabs>
      </w:pPr>
      <w:r>
        <w:rPr>
          <w:rFonts w:ascii="Times New Roman" w:hAnsi="Times New Roman"/>
          <w:b w:val="0"/>
          <w:color w:val="000000"/>
          <w:sz w:val="22"/>
        </w:rPr>
        <w:t>• Module 9.0: Conversational Text-to-SQL Analytics Engine</w:t>
      </w:r>
      <w:r>
        <w:tab/>
      </w:r>
      <w:r>
        <w:rPr>
          <w:rFonts w:ascii="Times New Roman" w:hAnsi="Times New Roman"/>
          <w:color w:val="000000"/>
          <w:sz w:val="22"/>
        </w:rPr>
        <w:t>35</w:t>
      </w:r>
    </w:p>
    <w:p>
      <w:pPr>
        <w:spacing w:before="40" w:after="40" w:lineRule="auto" w:line="276"/>
        <w:ind w:left="576"/>
        <w:tabs>
          <w:tab w:val="right" w:leader="dot" w:pos="8668"/>
        </w:tabs>
      </w:pPr>
      <w:r>
        <w:rPr>
          <w:rFonts w:ascii="Times New Roman" w:hAnsi="Times New Roman"/>
          <w:b w:val="0"/>
          <w:color w:val="000000"/>
          <w:sz w:val="22"/>
        </w:rPr>
        <w:t>• Module 10.0: Web Portal &amp; Mobile UI Interfaces</w:t>
      </w:r>
      <w:r>
        <w:tab/>
      </w:r>
      <w:r>
        <w:rPr>
          <w:rFonts w:ascii="Times New Roman" w:hAnsi="Times New Roman"/>
          <w:color w:val="000000"/>
          <w:sz w:val="22"/>
        </w:rPr>
        <w:t>36</w:t>
      </w:r>
    </w:p>
    <w:p>
      <w:pPr>
        <w:spacing w:before="40" w:after="40" w:lineRule="auto" w:line="276"/>
        <w:tabs>
          <w:tab w:val="right" w:leader="dot" w:pos="8668"/>
        </w:tabs>
      </w:pPr>
      <w:r>
        <w:rPr>
          <w:rFonts w:ascii="Times New Roman" w:hAnsi="Times New Roman"/>
          <w:b/>
          <w:color w:val="000000"/>
          <w:sz w:val="22"/>
        </w:rPr>
        <w:t>14. System Design &amp; Flow Diagrams</w:t>
      </w:r>
      <w:r>
        <w:tab/>
      </w:r>
      <w:r>
        <w:rPr>
          <w:rFonts w:ascii="Times New Roman" w:hAnsi="Times New Roman"/>
          <w:b/>
          <w:color w:val="000000"/>
          <w:sz w:val="22"/>
        </w:rPr>
        <w:t>37</w:t>
      </w:r>
    </w:p>
    <w:p>
      <w:pPr>
        <w:spacing w:before="40" w:after="40" w:lineRule="auto" w:line="276"/>
        <w:ind w:left="576"/>
        <w:tabs>
          <w:tab w:val="right" w:leader="dot" w:pos="8668"/>
        </w:tabs>
      </w:pPr>
      <w:r>
        <w:rPr>
          <w:rFonts w:ascii="Times New Roman" w:hAnsi="Times New Roman"/>
          <w:b w:val="0"/>
          <w:color w:val="000000"/>
          <w:sz w:val="22"/>
        </w:rPr>
        <w:t>(i) Computer Vision &amp; YOLO Inference Pipeline Flowchart</w:t>
      </w:r>
      <w:r>
        <w:tab/>
      </w:r>
      <w:r>
        <w:rPr>
          <w:rFonts w:ascii="Times New Roman" w:hAnsi="Times New Roman"/>
          <w:color w:val="000000"/>
          <w:sz w:val="22"/>
        </w:rPr>
        <w:t>37</w:t>
      </w:r>
    </w:p>
    <w:p>
      <w:pPr>
        <w:spacing w:before="40" w:after="40" w:lineRule="auto" w:line="276"/>
        <w:ind w:left="576"/>
        <w:tabs>
          <w:tab w:val="right" w:leader="dot" w:pos="8668"/>
        </w:tabs>
      </w:pPr>
      <w:r>
        <w:rPr>
          <w:rFonts w:ascii="Times New Roman" w:hAnsi="Times New Roman"/>
          <w:b w:val="0"/>
          <w:color w:val="000000"/>
          <w:sz w:val="22"/>
        </w:rPr>
        <w:t>(ii) Context-Level (0-Level) Data Flow Diagram</w:t>
      </w:r>
      <w:r>
        <w:tab/>
      </w:r>
      <w:r>
        <w:rPr>
          <w:rFonts w:ascii="Times New Roman" w:hAnsi="Times New Roman"/>
          <w:color w:val="000000"/>
          <w:sz w:val="22"/>
        </w:rPr>
        <w:t>38</w:t>
      </w:r>
    </w:p>
    <w:p>
      <w:pPr>
        <w:spacing w:before="40" w:after="40" w:lineRule="auto" w:line="276"/>
        <w:ind w:left="576"/>
        <w:tabs>
          <w:tab w:val="right" w:leader="dot" w:pos="8668"/>
        </w:tabs>
      </w:pPr>
      <w:r>
        <w:rPr>
          <w:rFonts w:ascii="Times New Roman" w:hAnsi="Times New Roman"/>
          <w:b w:val="0"/>
          <w:color w:val="000000"/>
          <w:sz w:val="22"/>
        </w:rPr>
        <w:t>(iii) Level-1 Decomposed Data Flow Diagram</w:t>
      </w:r>
      <w:r>
        <w:tab/>
      </w:r>
      <w:r>
        <w:rPr>
          <w:rFonts w:ascii="Times New Roman" w:hAnsi="Times New Roman"/>
          <w:color w:val="000000"/>
          <w:sz w:val="22"/>
        </w:rPr>
        <w:t>39</w:t>
      </w:r>
    </w:p>
    <w:p>
      <w:pPr>
        <w:spacing w:before="40" w:after="40" w:lineRule="auto" w:line="276"/>
        <w:ind w:left="576"/>
        <w:tabs>
          <w:tab w:val="right" w:leader="dot" w:pos="8668"/>
        </w:tabs>
      </w:pPr>
      <w:r>
        <w:rPr>
          <w:rFonts w:ascii="Times New Roman" w:hAnsi="Times New Roman"/>
          <w:b w:val="0"/>
          <w:color w:val="000000"/>
          <w:sz w:val="22"/>
        </w:rPr>
        <w:t>(iv) Entity-Relationship (ER) Diagram — 3NF Relational Schema</w:t>
      </w:r>
      <w:r>
        <w:tab/>
      </w:r>
      <w:r>
        <w:rPr>
          <w:rFonts w:ascii="Times New Roman" w:hAnsi="Times New Roman"/>
          <w:color w:val="000000"/>
          <w:sz w:val="22"/>
        </w:rPr>
        <w:t>40</w:t>
      </w:r>
    </w:p>
    <w:p>
      <w:pPr>
        <w:spacing w:before="40" w:after="40" w:lineRule="auto" w:line="276"/>
        <w:tabs>
          <w:tab w:val="right" w:leader="dot" w:pos="8668"/>
        </w:tabs>
      </w:pPr>
      <w:r>
        <w:rPr>
          <w:rFonts w:ascii="Times New Roman" w:hAnsi="Times New Roman"/>
          <w:b/>
          <w:color w:val="000000"/>
          <w:sz w:val="22"/>
        </w:rPr>
        <w:t>15. Data Tables — Complete Data Dictionary</w:t>
      </w:r>
      <w:r>
        <w:tab/>
      </w:r>
      <w:r>
        <w:rPr>
          <w:rFonts w:ascii="Times New Roman" w:hAnsi="Times New Roman"/>
          <w:b/>
          <w:color w:val="000000"/>
          <w:sz w:val="22"/>
        </w:rPr>
        <w:t>41</w:t>
      </w:r>
    </w:p>
    <w:p>
      <w:pPr>
        <w:spacing w:before="40" w:after="40" w:lineRule="auto" w:line="276"/>
        <w:tabs>
          <w:tab w:val="right" w:leader="dot" w:pos="8668"/>
        </w:tabs>
      </w:pPr>
      <w:r>
        <w:rPr>
          <w:rFonts w:ascii="Times New Roman" w:hAnsi="Times New Roman"/>
          <w:b/>
          <w:color w:val="000000"/>
          <w:sz w:val="22"/>
        </w:rPr>
        <w:t>16. Results &amp; Performance Benchmarks</w:t>
      </w:r>
      <w:r>
        <w:tab/>
      </w:r>
      <w:r>
        <w:rPr>
          <w:rFonts w:ascii="Times New Roman" w:hAnsi="Times New Roman"/>
          <w:b/>
          <w:color w:val="000000"/>
          <w:sz w:val="22"/>
        </w:rPr>
        <w:t>50</w:t>
      </w:r>
    </w:p>
    <w:p>
      <w:pPr>
        <w:spacing w:before="40" w:after="40" w:lineRule="auto" w:line="276"/>
        <w:tabs>
          <w:tab w:val="right" w:leader="dot" w:pos="8668"/>
        </w:tabs>
      </w:pPr>
      <w:r>
        <w:rPr>
          <w:rFonts w:ascii="Times New Roman" w:hAnsi="Times New Roman"/>
          <w:b/>
          <w:color w:val="000000"/>
          <w:sz w:val="22"/>
        </w:rPr>
        <w:t>17. Future Scope</w:t>
      </w:r>
      <w:r>
        <w:tab/>
      </w:r>
      <w:r>
        <w:rPr>
          <w:rFonts w:ascii="Times New Roman" w:hAnsi="Times New Roman"/>
          <w:b/>
          <w:color w:val="000000"/>
          <w:sz w:val="22"/>
        </w:rPr>
        <w:t>52</w:t>
      </w:r>
    </w:p>
    <w:p>
      <w:pPr>
        <w:spacing w:before="40" w:after="40" w:lineRule="auto" w:line="276"/>
        <w:tabs>
          <w:tab w:val="right" w:leader="dot" w:pos="8668"/>
        </w:tabs>
      </w:pPr>
      <w:r>
        <w:rPr>
          <w:rFonts w:ascii="Times New Roman" w:hAnsi="Times New Roman"/>
          <w:b/>
          <w:color w:val="000000"/>
          <w:sz w:val="22"/>
        </w:rPr>
        <w:t>18. Conclusion</w:t>
      </w:r>
      <w:r>
        <w:tab/>
      </w:r>
      <w:r>
        <w:rPr>
          <w:rFonts w:ascii="Times New Roman" w:hAnsi="Times New Roman"/>
          <w:b/>
          <w:color w:val="000000"/>
          <w:sz w:val="22"/>
        </w:rPr>
        <w:t>55</w:t>
      </w:r>
    </w:p>
    <w:p>
      <w:pPr>
        <w:spacing w:before="40" w:after="40" w:lineRule="auto" w:line="276"/>
        <w:tabs>
          <w:tab w:val="right" w:leader="dot" w:pos="8668"/>
        </w:tabs>
      </w:pPr>
      <w:r>
        <w:rPr>
          <w:rFonts w:ascii="Times New Roman" w:hAnsi="Times New Roman"/>
          <w:b/>
          <w:color w:val="000000"/>
          <w:sz w:val="22"/>
        </w:rPr>
        <w:t>19. Bibliography / References</w:t>
      </w:r>
      <w:r>
        <w:tab/>
      </w:r>
      <w:r>
        <w:rPr>
          <w:rFonts w:ascii="Times New Roman" w:hAnsi="Times New Roman"/>
          <w:b/>
          <w:color w:val="000000"/>
          <w:sz w:val="22"/>
        </w:rPr>
        <w:t>57</w:t>
      </w:r>
    </w:p>
    <w:p/>
    <w:p>
      <w:pPr>
        <w:spacing w:after="120" w:before="120"/>
        <w:jc w:val="left"/>
      </w:pPr>
      <w:r>
        <w:rPr>
          <w:rFonts w:ascii="Times New Roman" w:hAnsi="Times New Roman"/>
          <w:b/>
          <w:color w:val="000000"/>
          <w:sz w:val="24"/>
        </w:rPr>
        <w:t>List Of Figures</w:t>
      </w:r>
    </w:p>
    <w:p>
      <w:pPr>
        <w:spacing w:before="40" w:after="40" w:lineRule="auto" w:line="276"/>
        <w:ind w:left="576"/>
        <w:tabs>
          <w:tab w:val="right" w:leader="dot" w:pos="8668"/>
        </w:tabs>
      </w:pPr>
      <w:r>
        <w:rPr>
          <w:rFonts w:ascii="Times New Roman" w:hAnsi="Times New Roman"/>
          <w:b w:val="0"/>
          <w:color w:val="000000"/>
          <w:sz w:val="22"/>
        </w:rPr>
        <w:t>Fig. 1 YOLO Vision &amp; Register Digitization Pipeline Flowchart</w:t>
      </w:r>
      <w:r>
        <w:tab/>
      </w:r>
      <w:r>
        <w:rPr>
          <w:rFonts w:ascii="Times New Roman" w:hAnsi="Times New Roman"/>
          <w:color w:val="000000"/>
          <w:sz w:val="22"/>
        </w:rPr>
        <w:t>37</w:t>
      </w:r>
    </w:p>
    <w:p>
      <w:pPr>
        <w:spacing w:before="40" w:after="40" w:lineRule="auto" w:line="276"/>
        <w:ind w:left="576"/>
        <w:tabs>
          <w:tab w:val="right" w:leader="dot" w:pos="8668"/>
        </w:tabs>
      </w:pPr>
      <w:r>
        <w:rPr>
          <w:rFonts w:ascii="Times New Roman" w:hAnsi="Times New Roman"/>
          <w:b w:val="0"/>
          <w:color w:val="000000"/>
          <w:sz w:val="22"/>
        </w:rPr>
        <w:t>Fig. 2 Context-Level (0-Level) Data Flow Diagram</w:t>
      </w:r>
      <w:r>
        <w:tab/>
      </w:r>
      <w:r>
        <w:rPr>
          <w:rFonts w:ascii="Times New Roman" w:hAnsi="Times New Roman"/>
          <w:color w:val="000000"/>
          <w:sz w:val="22"/>
        </w:rPr>
        <w:t>38</w:t>
      </w:r>
    </w:p>
    <w:p>
      <w:pPr>
        <w:spacing w:before="40" w:after="40" w:lineRule="auto" w:line="276"/>
        <w:ind w:left="576"/>
        <w:tabs>
          <w:tab w:val="right" w:leader="dot" w:pos="8668"/>
        </w:tabs>
      </w:pPr>
      <w:r>
        <w:rPr>
          <w:rFonts w:ascii="Times New Roman" w:hAnsi="Times New Roman"/>
          <w:b w:val="0"/>
          <w:color w:val="000000"/>
          <w:sz w:val="22"/>
        </w:rPr>
        <w:t>Fig. 3 Level-1 Decomposed Data Flow Diagram</w:t>
      </w:r>
      <w:r>
        <w:tab/>
      </w:r>
      <w:r>
        <w:rPr>
          <w:rFonts w:ascii="Times New Roman" w:hAnsi="Times New Roman"/>
          <w:color w:val="000000"/>
          <w:sz w:val="22"/>
        </w:rPr>
        <w:t>39</w:t>
      </w:r>
    </w:p>
    <w:p>
      <w:pPr>
        <w:spacing w:before="40" w:after="40" w:lineRule="auto" w:line="276"/>
        <w:ind w:left="576"/>
        <w:tabs>
          <w:tab w:val="right" w:leader="dot" w:pos="8668"/>
        </w:tabs>
      </w:pPr>
      <w:r>
        <w:rPr>
          <w:rFonts w:ascii="Times New Roman" w:hAnsi="Times New Roman"/>
          <w:b w:val="0"/>
          <w:color w:val="000000"/>
          <w:sz w:val="22"/>
        </w:rPr>
        <w:t>Fig. 4 Entity-Relationship (ER) Diagram — 3NF Schema</w:t>
      </w:r>
      <w:r>
        <w:tab/>
      </w:r>
      <w:r>
        <w:rPr>
          <w:rFonts w:ascii="Times New Roman" w:hAnsi="Times New Roman"/>
          <w:color w:val="000000"/>
          <w:sz w:val="22"/>
        </w:rPr>
        <w:t>40</w:t>
      </w:r>
    </w:p>
    <w:p>
      <w:pPr>
        <w:spacing w:before="40" w:after="40" w:lineRule="auto" w:line="276"/>
        <w:ind w:left="576"/>
        <w:tabs>
          <w:tab w:val="right" w:leader="dot" w:pos="8668"/>
        </w:tabs>
      </w:pPr>
      <w:r>
        <w:rPr>
          <w:rFonts w:ascii="Times New Roman" w:hAnsi="Times New Roman"/>
          <w:b w:val="0"/>
          <w:color w:val="000000"/>
          <w:sz w:val="22"/>
        </w:rPr>
        <w:t>Fig. 5 System Architecture — Multi-Tier Hybrid Deployment</w:t>
      </w:r>
      <w:r>
        <w:tab/>
      </w:r>
      <w:r>
        <w:rPr>
          <w:rFonts w:ascii="Times New Roman" w:hAnsi="Times New Roman"/>
          <w:color w:val="000000"/>
          <w:sz w:val="22"/>
        </w:rPr>
        <w:t>28</w:t>
      </w:r>
    </w:p>
    <w:p>
      <w:pPr>
        <w:spacing w:before="40" w:after="40" w:lineRule="auto" w:line="276"/>
        <w:ind w:left="576"/>
        <w:tabs>
          <w:tab w:val="right" w:leader="dot" w:pos="8668"/>
        </w:tabs>
      </w:pPr>
      <w:r>
        <w:rPr>
          <w:rFonts w:ascii="Times New Roman" w:hAnsi="Times New Roman"/>
          <w:b w:val="0"/>
          <w:color w:val="000000"/>
          <w:sz w:val="22"/>
        </w:rPr>
        <w:t>Fig. 6 RBAC Role Hierarchy Diagram</w:t>
      </w:r>
      <w:r>
        <w:tab/>
      </w:r>
      <w:r>
        <w:rPr>
          <w:rFonts w:ascii="Times New Roman" w:hAnsi="Times New Roman"/>
          <w:color w:val="000000"/>
          <w:sz w:val="22"/>
        </w:rPr>
        <w:t>29</w:t>
      </w:r>
    </w:p>
    <w:p>
      <w:pPr>
        <w:spacing w:before="40" w:after="40" w:lineRule="auto" w:line="276"/>
        <w:ind w:left="576"/>
        <w:tabs>
          <w:tab w:val="right" w:leader="dot" w:pos="8668"/>
        </w:tabs>
      </w:pPr>
      <w:r>
        <w:rPr>
          <w:rFonts w:ascii="Times New Roman" w:hAnsi="Times New Roman"/>
          <w:b w:val="0"/>
          <w:color w:val="000000"/>
          <w:sz w:val="22"/>
        </w:rPr>
        <w:t>Fig. 7 Text-to-SQL AST Guardrails Processing Flow</w:t>
      </w:r>
      <w:r>
        <w:tab/>
      </w:r>
      <w:r>
        <w:rPr>
          <w:rFonts w:ascii="Times New Roman" w:hAnsi="Times New Roman"/>
          <w:color w:val="000000"/>
          <w:sz w:val="22"/>
        </w:rPr>
        <w:t>35</w:t>
      </w:r>
    </w:p>
    <w:p/>
    <w:p>
      <w:pPr>
        <w:spacing w:after="120" w:before="120"/>
        <w:jc w:val="left"/>
      </w:pPr>
      <w:r>
        <w:rPr>
          <w:rFonts w:ascii="Times New Roman" w:hAnsi="Times New Roman"/>
          <w:b/>
          <w:color w:val="000000"/>
          <w:sz w:val="24"/>
        </w:rPr>
        <w:t>List Of Tables</w:t>
      </w:r>
    </w:p>
    <w:p>
      <w:pPr>
        <w:spacing w:before="40" w:after="40" w:lineRule="auto" w:line="276"/>
        <w:ind w:left="576"/>
        <w:tabs>
          <w:tab w:val="right" w:leader="dot" w:pos="8668"/>
        </w:tabs>
      </w:pPr>
      <w:r>
        <w:rPr>
          <w:rFonts w:ascii="Times New Roman" w:hAnsi="Times New Roman"/>
          <w:b w:val="0"/>
          <w:color w:val="000000"/>
          <w:sz w:val="22"/>
        </w:rPr>
        <w:t>Table 1 Comparative Analysis: HAAZIR vs. Commercial ERP Platforms</w:t>
      </w:r>
      <w:r>
        <w:tab/>
      </w:r>
      <w:r>
        <w:rPr>
          <w:rFonts w:ascii="Times New Roman" w:hAnsi="Times New Roman"/>
          <w:color w:val="000000"/>
          <w:sz w:val="22"/>
        </w:rPr>
        <w:t>10</w:t>
      </w:r>
    </w:p>
    <w:p>
      <w:pPr>
        <w:spacing w:before="40" w:after="40" w:lineRule="auto" w:line="276"/>
        <w:ind w:left="576"/>
        <w:tabs>
          <w:tab w:val="right" w:leader="dot" w:pos="8668"/>
        </w:tabs>
      </w:pPr>
      <w:r>
        <w:rPr>
          <w:rFonts w:ascii="Times New Roman" w:hAnsi="Times New Roman"/>
          <w:b w:val="0"/>
          <w:color w:val="000000"/>
          <w:sz w:val="22"/>
        </w:rPr>
        <w:t>Table 2 Beneficiary Stakeholder Analysis Matrix</w:t>
      </w:r>
      <w:r>
        <w:tab/>
      </w:r>
      <w:r>
        <w:rPr>
          <w:rFonts w:ascii="Times New Roman" w:hAnsi="Times New Roman"/>
          <w:color w:val="000000"/>
          <w:sz w:val="22"/>
        </w:rPr>
        <w:t>12</w:t>
      </w:r>
    </w:p>
    <w:p>
      <w:pPr>
        <w:spacing w:before="40" w:after="40" w:lineRule="auto" w:line="276"/>
        <w:ind w:left="576"/>
        <w:tabs>
          <w:tab w:val="right" w:leader="dot" w:pos="8668"/>
        </w:tabs>
      </w:pPr>
      <w:r>
        <w:rPr>
          <w:rFonts w:ascii="Times New Roman" w:hAnsi="Times New Roman"/>
          <w:b w:val="0"/>
          <w:color w:val="000000"/>
          <w:sz w:val="22"/>
        </w:rPr>
        <w:t>Table 3 Feasibility Assessment Summary</w:t>
      </w:r>
      <w:r>
        <w:tab/>
      </w:r>
      <w:r>
        <w:rPr>
          <w:rFonts w:ascii="Times New Roman" w:hAnsi="Times New Roman"/>
          <w:color w:val="000000"/>
          <w:sz w:val="22"/>
        </w:rPr>
        <w:t>15</w:t>
      </w:r>
    </w:p>
    <w:p>
      <w:pPr>
        <w:spacing w:before="40" w:after="40" w:lineRule="auto" w:line="276"/>
        <w:ind w:left="576"/>
        <w:tabs>
          <w:tab w:val="right" w:leader="dot" w:pos="8668"/>
        </w:tabs>
      </w:pPr>
      <w:r>
        <w:rPr>
          <w:rFonts w:ascii="Times New Roman" w:hAnsi="Times New Roman"/>
          <w:b w:val="0"/>
          <w:color w:val="000000"/>
          <w:sz w:val="22"/>
        </w:rPr>
        <w:t>Table 4 Sprint-Wise Project Schedule (Gantt Summary)</w:t>
      </w:r>
      <w:r>
        <w:tab/>
      </w:r>
      <w:r>
        <w:rPr>
          <w:rFonts w:ascii="Times New Roman" w:hAnsi="Times New Roman"/>
          <w:color w:val="000000"/>
          <w:sz w:val="22"/>
        </w:rPr>
        <w:t>20</w:t>
      </w:r>
    </w:p>
    <w:p>
      <w:pPr>
        <w:spacing w:before="40" w:after="40" w:lineRule="auto" w:line="276"/>
        <w:ind w:left="576"/>
        <w:tabs>
          <w:tab w:val="right" w:leader="dot" w:pos="8668"/>
        </w:tabs>
      </w:pPr>
      <w:r>
        <w:rPr>
          <w:rFonts w:ascii="Times New Roman" w:hAnsi="Times New Roman"/>
          <w:b w:val="0"/>
          <w:color w:val="000000"/>
          <w:sz w:val="22"/>
        </w:rPr>
        <w:t>Table 5 Tools &amp; Technologies Reference Matrix</w:t>
      </w:r>
      <w:r>
        <w:tab/>
      </w:r>
      <w:r>
        <w:rPr>
          <w:rFonts w:ascii="Times New Roman" w:hAnsi="Times New Roman"/>
          <w:color w:val="000000"/>
          <w:sz w:val="22"/>
        </w:rPr>
        <w:t>24</w:t>
      </w:r>
    </w:p>
    <w:p>
      <w:pPr>
        <w:spacing w:before="40" w:after="40" w:lineRule="auto" w:line="276"/>
        <w:ind w:left="576"/>
        <w:tabs>
          <w:tab w:val="right" w:leader="dot" w:pos="8668"/>
        </w:tabs>
      </w:pPr>
      <w:r>
        <w:rPr>
          <w:rFonts w:ascii="Times New Roman" w:hAnsi="Times New Roman"/>
          <w:b w:val="0"/>
          <w:color w:val="000000"/>
          <w:sz w:val="22"/>
        </w:rPr>
        <w:t>Table 6 Hardware &amp; Software Platform Specifications</w:t>
      </w:r>
      <w:r>
        <w:tab/>
      </w:r>
      <w:r>
        <w:rPr>
          <w:rFonts w:ascii="Times New Roman" w:hAnsi="Times New Roman"/>
          <w:color w:val="000000"/>
          <w:sz w:val="22"/>
        </w:rPr>
        <w:t>27</w:t>
      </w:r>
    </w:p>
    <w:p>
      <w:pPr>
        <w:spacing w:before="40" w:after="40" w:lineRule="auto" w:line="276"/>
        <w:ind w:left="576"/>
        <w:tabs>
          <w:tab w:val="right" w:leader="dot" w:pos="8668"/>
        </w:tabs>
      </w:pPr>
      <w:r>
        <w:rPr>
          <w:rFonts w:ascii="Times New Roman" w:hAnsi="Times New Roman"/>
          <w:b w:val="0"/>
          <w:color w:val="000000"/>
          <w:sz w:val="22"/>
        </w:rPr>
        <w:t>Table 7 Data Dictionary — users Table</w:t>
      </w:r>
      <w:r>
        <w:tab/>
      </w:r>
      <w:r>
        <w:rPr>
          <w:rFonts w:ascii="Times New Roman" w:hAnsi="Times New Roman"/>
          <w:color w:val="000000"/>
          <w:sz w:val="22"/>
        </w:rPr>
        <w:t>41</w:t>
      </w:r>
    </w:p>
    <w:p>
      <w:pPr>
        <w:spacing w:before="40" w:after="40" w:lineRule="auto" w:line="276"/>
        <w:ind w:left="576"/>
        <w:tabs>
          <w:tab w:val="right" w:leader="dot" w:pos="8668"/>
        </w:tabs>
      </w:pPr>
      <w:r>
        <w:rPr>
          <w:rFonts w:ascii="Times New Roman" w:hAnsi="Times New Roman"/>
          <w:b w:val="0"/>
          <w:color w:val="000000"/>
          <w:sz w:val="22"/>
        </w:rPr>
        <w:t>Table 8 Data Dictionary — class_sections Table</w:t>
      </w:r>
      <w:r>
        <w:tab/>
      </w:r>
      <w:r>
        <w:rPr>
          <w:rFonts w:ascii="Times New Roman" w:hAnsi="Times New Roman"/>
          <w:color w:val="000000"/>
          <w:sz w:val="22"/>
        </w:rPr>
        <w:t>42</w:t>
      </w:r>
    </w:p>
    <w:p>
      <w:pPr>
        <w:spacing w:before="40" w:after="40" w:lineRule="auto" w:line="276"/>
        <w:ind w:left="576"/>
        <w:tabs>
          <w:tab w:val="right" w:leader="dot" w:pos="8668"/>
        </w:tabs>
      </w:pPr>
      <w:r>
        <w:rPr>
          <w:rFonts w:ascii="Times New Roman" w:hAnsi="Times New Roman"/>
          <w:b w:val="0"/>
          <w:color w:val="000000"/>
          <w:sz w:val="22"/>
        </w:rPr>
        <w:t>Table 9 Data Dictionary — students Table</w:t>
      </w:r>
      <w:r>
        <w:tab/>
      </w:r>
      <w:r>
        <w:rPr>
          <w:rFonts w:ascii="Times New Roman" w:hAnsi="Times New Roman"/>
          <w:color w:val="000000"/>
          <w:sz w:val="22"/>
        </w:rPr>
        <w:t>43</w:t>
      </w:r>
    </w:p>
    <w:p>
      <w:pPr>
        <w:spacing w:before="40" w:after="40" w:lineRule="auto" w:line="276"/>
        <w:ind w:left="576"/>
        <w:tabs>
          <w:tab w:val="right" w:leader="dot" w:pos="8668"/>
        </w:tabs>
      </w:pPr>
      <w:r>
        <w:rPr>
          <w:rFonts w:ascii="Times New Roman" w:hAnsi="Times New Roman"/>
          <w:b w:val="0"/>
          <w:color w:val="000000"/>
          <w:sz w:val="22"/>
        </w:rPr>
        <w:t>Table 10 Data Dictionary — register_scans Table</w:t>
      </w:r>
      <w:r>
        <w:tab/>
      </w:r>
      <w:r>
        <w:rPr>
          <w:rFonts w:ascii="Times New Roman" w:hAnsi="Times New Roman"/>
          <w:color w:val="000000"/>
          <w:sz w:val="22"/>
        </w:rPr>
        <w:t>44</w:t>
      </w:r>
    </w:p>
    <w:p>
      <w:pPr>
        <w:spacing w:before="40" w:after="40" w:lineRule="auto" w:line="276"/>
        <w:ind w:left="576"/>
        <w:tabs>
          <w:tab w:val="right" w:leader="dot" w:pos="8668"/>
        </w:tabs>
      </w:pPr>
      <w:r>
        <w:rPr>
          <w:rFonts w:ascii="Times New Roman" w:hAnsi="Times New Roman"/>
          <w:b w:val="0"/>
          <w:color w:val="000000"/>
          <w:sz w:val="22"/>
        </w:rPr>
        <w:t>Table 11 Data Dictionary — attendance_records Table</w:t>
      </w:r>
      <w:r>
        <w:tab/>
      </w:r>
      <w:r>
        <w:rPr>
          <w:rFonts w:ascii="Times New Roman" w:hAnsi="Times New Roman"/>
          <w:color w:val="000000"/>
          <w:sz w:val="22"/>
        </w:rPr>
        <w:t>45</w:t>
      </w:r>
    </w:p>
    <w:p>
      <w:pPr>
        <w:spacing w:before="40" w:after="40" w:lineRule="auto" w:line="276"/>
        <w:ind w:left="576"/>
        <w:tabs>
          <w:tab w:val="right" w:leader="dot" w:pos="8668"/>
        </w:tabs>
      </w:pPr>
      <w:r>
        <w:rPr>
          <w:rFonts w:ascii="Times New Roman" w:hAnsi="Times New Roman"/>
          <w:b w:val="0"/>
          <w:color w:val="000000"/>
          <w:sz w:val="22"/>
        </w:rPr>
        <w:t>Table 12 Data Dictionary — fee_structures Table</w:t>
      </w:r>
      <w:r>
        <w:tab/>
      </w:r>
      <w:r>
        <w:rPr>
          <w:rFonts w:ascii="Times New Roman" w:hAnsi="Times New Roman"/>
          <w:color w:val="000000"/>
          <w:sz w:val="22"/>
        </w:rPr>
        <w:t>46</w:t>
      </w:r>
    </w:p>
    <w:p>
      <w:pPr>
        <w:spacing w:before="40" w:after="40" w:lineRule="auto" w:line="276"/>
        <w:ind w:left="576"/>
        <w:tabs>
          <w:tab w:val="right" w:leader="dot" w:pos="8668"/>
        </w:tabs>
      </w:pPr>
      <w:r>
        <w:rPr>
          <w:rFonts w:ascii="Times New Roman" w:hAnsi="Times New Roman"/>
          <w:b w:val="0"/>
          <w:color w:val="000000"/>
          <w:sz w:val="22"/>
        </w:rPr>
        <w:t>Table 13 Data Dictionary — fee_invoices Table</w:t>
      </w:r>
      <w:r>
        <w:tab/>
      </w:r>
      <w:r>
        <w:rPr>
          <w:rFonts w:ascii="Times New Roman" w:hAnsi="Times New Roman"/>
          <w:color w:val="000000"/>
          <w:sz w:val="22"/>
        </w:rPr>
        <w:t>47</w:t>
      </w:r>
    </w:p>
    <w:p>
      <w:pPr>
        <w:spacing w:before="40" w:after="40" w:lineRule="auto" w:line="276"/>
        <w:ind w:left="576"/>
        <w:tabs>
          <w:tab w:val="right" w:leader="dot" w:pos="8668"/>
        </w:tabs>
      </w:pPr>
      <w:r>
        <w:rPr>
          <w:rFonts w:ascii="Times New Roman" w:hAnsi="Times New Roman"/>
          <w:b w:val="0"/>
          <w:color w:val="000000"/>
          <w:sz w:val="22"/>
        </w:rPr>
        <w:t>Table 14 Data Dictionary — timetable_entries Table</w:t>
      </w:r>
      <w:r>
        <w:tab/>
      </w:r>
      <w:r>
        <w:rPr>
          <w:rFonts w:ascii="Times New Roman" w:hAnsi="Times New Roman"/>
          <w:color w:val="000000"/>
          <w:sz w:val="22"/>
        </w:rPr>
        <w:t>48</w:t>
      </w:r>
    </w:p>
    <w:p>
      <w:pPr>
        <w:spacing w:before="40" w:after="40" w:lineRule="auto" w:line="276"/>
        <w:ind w:left="576"/>
        <w:tabs>
          <w:tab w:val="right" w:leader="dot" w:pos="8668"/>
        </w:tabs>
      </w:pPr>
      <w:r>
        <w:rPr>
          <w:rFonts w:ascii="Times New Roman" w:hAnsi="Times New Roman"/>
          <w:b w:val="0"/>
          <w:color w:val="000000"/>
          <w:sz w:val="22"/>
        </w:rPr>
        <w:t>Table 15 Data Dictionary — in_app_notifications Table</w:t>
      </w:r>
      <w:r>
        <w:tab/>
      </w:r>
      <w:r>
        <w:rPr>
          <w:rFonts w:ascii="Times New Roman" w:hAnsi="Times New Roman"/>
          <w:color w:val="000000"/>
          <w:sz w:val="22"/>
        </w:rPr>
        <w:t>49</w:t>
      </w:r>
    </w:p>
    <w:p>
      <w:pPr>
        <w:sectPr>
          <w:headerReference w:type="default" r:id="rId18"/>
          <w:footerReference w:type="default" r:id="rId19"/>
          <w:pgSz w:w="11909" w:h="16834"/>
          <w:pgMar w:top="1440" w:right="1440" w:bottom="1440" w:left="1800" w:header="720" w:footer="720" w:gutter="0"/>
          <w:cols w:space="720"/>
          <w:docGrid w:linePitch="360"/>
          <w:pgNumType w:fmt="lowerRoman"/>
        </w:sectPr>
      </w:pPr>
    </w:p>
    <w:p>
      <w:pPr>
        <w:spacing w:after="240" w:before="120"/>
        <w:jc w:val="left"/>
      </w:pPr>
      <w:r>
        <w:rPr>
          <w:rFonts w:ascii="Times New Roman" w:hAnsi="Times New Roman"/>
          <w:b/>
          <w:color w:val="000000"/>
          <w:sz w:val="28"/>
        </w:rPr>
        <w:t>CHAPTER 1: 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000000"/>
          <w:sz w:val="28"/>
        </w:rPr>
        <w:t>CHAPTER 1: INTRODUCTION</w:t>
      </w:r>
    </w:p>
    <w:p>
      <w:pPr>
        <w:spacing w:after="120" w:before="120"/>
        <w:jc w:val="left"/>
      </w:pPr>
      <w:r>
        <w:rPr>
          <w:rFonts w:ascii="Times New Roman" w:hAnsi="Times New Roman"/>
          <w:b/>
          <w:color w:val="000000"/>
          <w:sz w:val="24"/>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000000"/>
          <w:sz w:val="24"/>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000000"/>
          <w:sz w:val="28"/>
        </w:rPr>
        <w:t>CHAPTER 2: OBJECTIVES &amp; KEY DIFFERENTIATING FEATURES</w:t>
      </w:r>
    </w:p>
    <w:p>
      <w:pPr>
        <w:spacing w:after="120" w:before="120"/>
        <w:jc w:val="left"/>
      </w:pPr>
      <w:r>
        <w:rPr>
          <w:rFonts w:ascii="Times New Roman" w:hAnsi="Times New Roman"/>
          <w:b/>
          <w:color w:val="000000"/>
          <w:sz w:val="24"/>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000000"/>
          <w:sz w:val="24"/>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000000"/>
          <w:sz w:val="24"/>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000000"/>
          <w:sz w:val="28"/>
        </w:rPr>
        <w:t>CHAPTER 3: PROJECT CATEGORY &amp; BENEFICIARY ANALYSIS</w:t>
      </w:r>
    </w:p>
    <w:p>
      <w:pPr>
        <w:spacing w:after="120" w:before="120"/>
        <w:jc w:val="left"/>
      </w:pPr>
      <w:r>
        <w:rPr>
          <w:rFonts w:ascii="Times New Roman" w:hAnsi="Times New Roman"/>
          <w:b/>
          <w:color w:val="000000"/>
          <w:sz w:val="24"/>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000000"/>
          <w:sz w:val="24"/>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000000"/>
          <w:sz w:val="28"/>
        </w:rPr>
        <w:t>CHAPTER 4: FEASIBILITY STUDY</w:t>
      </w:r>
    </w:p>
    <w:p>
      <w:pPr>
        <w:spacing w:after="120" w:before="120"/>
        <w:jc w:val="left"/>
      </w:pPr>
      <w:r>
        <w:rPr>
          <w:rFonts w:ascii="Times New Roman" w:hAnsi="Times New Roman"/>
          <w:b/>
          <w:color w:val="000000"/>
          <w:sz w:val="24"/>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000000"/>
          <w:sz w:val="24"/>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000000"/>
          <w:sz w:val="24"/>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000000"/>
          <w:sz w:val="24"/>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000000"/>
          <w:sz w:val="28"/>
        </w:rPr>
        <w:t>CHAPTER 5: METHODOLOGY USED &amp; PLANNING WORK</w:t>
      </w:r>
    </w:p>
    <w:p>
      <w:pPr>
        <w:spacing w:after="120" w:before="120"/>
        <w:jc w:val="left"/>
      </w:pPr>
      <w:r>
        <w:rPr>
          <w:rFonts w:ascii="Times New Roman" w:hAnsi="Times New Roman"/>
          <w:b/>
          <w:color w:val="000000"/>
          <w:sz w:val="24"/>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before="160" w:after="80"/>
        <w:jc w:val="center"/>
      </w:pPr>
      <w:r>
        <w:drawing>
          <wp:inline xmlns:a="http://schemas.openxmlformats.org/drawingml/2006/main" xmlns:pic="http://schemas.openxmlformats.org/drawingml/2006/picture">
            <wp:extent cx="5303520" cy="3774284"/>
            <wp:docPr id="1" name="Picture 1"/>
            <wp:cNvGraphicFramePr>
              <a:graphicFrameLocks noChangeAspect="1"/>
            </wp:cNvGraphicFramePr>
            <a:graphic>
              <a:graphicData uri="http://schemas.openxmlformats.org/drawingml/2006/picture">
                <pic:pic>
                  <pic:nvPicPr>
                    <pic:cNvPr id="0" name="methodology_framework.png"/>
                    <pic:cNvPicPr/>
                  </pic:nvPicPr>
                  <pic:blipFill>
                    <a:blip r:embed="rId9"/>
                    <a:stretch>
                      <a:fillRect/>
                    </a:stretch>
                  </pic:blipFill>
                  <pic:spPr>
                    <a:xfrm>
                      <a:off x="0" y="0"/>
                      <a:ext cx="5303520" cy="3774284"/>
                    </a:xfrm>
                    <a:prstGeom prst="rect"/>
                  </pic:spPr>
                </pic:pic>
              </a:graphicData>
            </a:graphic>
          </wp:inline>
        </w:drawing>
      </w:r>
    </w:p>
    <w:p>
      <w:pPr>
        <w:spacing w:after="240"/>
        <w:jc w:val="center"/>
      </w:pPr>
      <w:r>
        <w:rPr>
          <w:rFonts w:ascii="Times New Roman" w:hAnsi="Times New Roman"/>
          <w:b/>
          <w:i/>
          <w:color w:val="1B365D"/>
          <w:sz w:val="20"/>
        </w:rPr>
        <w:t>Figure 5.1: HAAZIR Dual Methodology Framework (Agile Scrum &amp; CRISP-DM)</w:t>
      </w:r>
    </w:p>
    <w:p>
      <w:pPr>
        <w:spacing w:after="120" w:before="120"/>
        <w:jc w:val="left"/>
      </w:pPr>
      <w:r>
        <w:rPr>
          <w:rFonts w:ascii="Times New Roman" w:hAnsi="Times New Roman"/>
          <w:b/>
          <w:color w:val="000000"/>
          <w:sz w:val="24"/>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jc w:val="left"/>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jc w:val="left"/>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jc w:val="left"/>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jc w:val="left"/>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jc w:val="left"/>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jc w:val="left"/>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pPr>
        <w:spacing w:before="160" w:after="80"/>
        <w:jc w:val="center"/>
      </w:pPr>
      <w:r>
        <w:drawing>
          <wp:inline xmlns:a="http://schemas.openxmlformats.org/drawingml/2006/main" xmlns:pic="http://schemas.openxmlformats.org/drawingml/2006/picture">
            <wp:extent cx="5303520" cy="2548175"/>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303520" cy="2548175"/>
                    </a:xfrm>
                    <a:prstGeom prst="rect"/>
                  </pic:spPr>
                </pic:pic>
              </a:graphicData>
            </a:graphic>
          </wp:inline>
        </w:drawing>
      </w:r>
    </w:p>
    <w:p>
      <w:pPr>
        <w:spacing w:after="240"/>
        <w:jc w:val="center"/>
      </w:pPr>
      <w:r>
        <w:rPr>
          <w:rFonts w:ascii="Times New Roman" w:hAnsi="Times New Roman"/>
          <w:b/>
          <w:i/>
          <w:color w:val="1B365D"/>
          <w:sz w:val="20"/>
        </w:rPr>
        <w:t>Figure 5.2: Work Breakdown Structure &amp; Project Implementation Schedule (Gantt Chart)</w:t>
      </w:r>
    </w:p>
    <w:p>
      <w:r>
        <w:br w:type="page"/>
      </w:r>
    </w:p>
    <w:p>
      <w:pPr>
        <w:spacing w:after="240" w:before="120"/>
        <w:jc w:val="left"/>
      </w:pPr>
      <w:r>
        <w:rPr>
          <w:rFonts w:ascii="Times New Roman" w:hAnsi="Times New Roman"/>
          <w:b/>
          <w:color w:val="000000"/>
          <w:sz w:val="28"/>
        </w:rPr>
        <w:t>CHAPTER 6: TOOLS &amp; TECHNOLOGIES USED</w:t>
      </w:r>
    </w:p>
    <w:p>
      <w:pPr>
        <w:spacing w:after="120" w:before="120"/>
        <w:jc w:val="left"/>
      </w:pPr>
      <w:r>
        <w:rPr>
          <w:rFonts w:ascii="Times New Roman" w:hAnsi="Times New Roman"/>
          <w:b/>
          <w:color w:val="000000"/>
          <w:sz w:val="24"/>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000000"/>
          <w:sz w:val="24"/>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000000"/>
          <w:sz w:val="24"/>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000000"/>
          <w:sz w:val="24"/>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000000"/>
          <w:sz w:val="24"/>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000000"/>
          <w:sz w:val="28"/>
        </w:rPr>
        <w:t>CHAPTER 7: PLATFORM USED</w:t>
      </w:r>
    </w:p>
    <w:p>
      <w:pPr>
        <w:spacing w:after="120" w:before="120"/>
        <w:jc w:val="left"/>
      </w:pPr>
      <w:r>
        <w:rPr>
          <w:rFonts w:ascii="Times New Roman" w:hAnsi="Times New Roman"/>
          <w:b/>
          <w:color w:val="000000"/>
          <w:sz w:val="24"/>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000000"/>
          <w:sz w:val="24"/>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pPr>
        <w:spacing w:after="120" w:before="120"/>
        <w:jc w:val="left"/>
      </w:pPr>
      <w:r>
        <w:rPr>
          <w:rFonts w:ascii="Times New Roman" w:hAnsi="Times New Roman"/>
          <w:b/>
          <w:color w:val="000000"/>
          <w:sz w:val="24"/>
        </w:rPr>
        <w:t>7.3  Master Enterprise Architecture Diagram</w:t>
      </w:r>
    </w:p>
    <w:p>
      <w:pPr>
        <w:spacing w:after="120" w:lineRule="auto" w:line="360"/>
        <w:jc w:val="both"/>
      </w:pPr>
      <w:r>
        <w:rPr>
          <w:rFonts w:ascii="Times New Roman" w:hAnsi="Times New Roman"/>
          <w:b w:val="0"/>
          <w:i w:val="0"/>
          <w:color w:val="000000"/>
          <w:sz w:val="24"/>
        </w:rPr>
        <w:t>The high-level 4-tier enterprise system architecture of HAAZIR, illustrating component interactions from the user interface layers down to database persistence, is rendered in Figure 7.1 below:</w:t>
      </w:r>
    </w:p>
    <w:p>
      <w:pPr>
        <w:spacing w:before="160" w:after="80"/>
        <w:jc w:val="center"/>
      </w:pPr>
      <w:r>
        <w:drawing>
          <wp:inline xmlns:a="http://schemas.openxmlformats.org/drawingml/2006/main" xmlns:pic="http://schemas.openxmlformats.org/drawingml/2006/picture">
            <wp:extent cx="5303520" cy="5498742"/>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5498742"/>
                    </a:xfrm>
                    <a:prstGeom prst="rect"/>
                  </pic:spPr>
                </pic:pic>
              </a:graphicData>
            </a:graphic>
          </wp:inline>
        </w:drawing>
      </w:r>
    </w:p>
    <w:p>
      <w:pPr>
        <w:spacing w:after="240"/>
        <w:jc w:val="center"/>
      </w:pPr>
      <w:r>
        <w:rPr>
          <w:rFonts w:ascii="Times New Roman" w:hAnsi="Times New Roman"/>
          <w:b/>
          <w:i/>
          <w:color w:val="1B365D"/>
          <w:sz w:val="20"/>
        </w:rPr>
        <w:t>Figure 7.1: HAAZIR 4-Tier Clean Enterprise System Architecture</w:t>
      </w:r>
    </w:p>
    <w:p>
      <w:r>
        <w:br w:type="page"/>
      </w:r>
    </w:p>
    <w:p>
      <w:pPr>
        <w:spacing w:after="240" w:before="120"/>
        <w:jc w:val="left"/>
      </w:pPr>
      <w:r>
        <w:rPr>
          <w:rFonts w:ascii="Times New Roman" w:hAnsi="Times New Roman"/>
          <w:b/>
          <w:color w:val="000000"/>
          <w:sz w:val="28"/>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000000"/>
          <w:sz w:val="24"/>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000000"/>
          <w:sz w:val="24"/>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000000"/>
          <w:sz w:val="24"/>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000000"/>
          <w:sz w:val="24"/>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000000"/>
          <w:sz w:val="24"/>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jc w:val="left"/>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jc w:val="left"/>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jc w:val="left"/>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jc w:val="left"/>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jc w:val="left"/>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jc w:val="left"/>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000000"/>
          <w:sz w:val="24"/>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000000"/>
          <w:sz w:val="24"/>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000000"/>
          <w:sz w:val="24"/>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000000"/>
          <w:sz w:val="24"/>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000000"/>
          <w:sz w:val="24"/>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000000"/>
          <w:sz w:val="28"/>
        </w:rPr>
        <w:t>CHAPTER 9: SYSTEM DESIGN &amp; FLOW DIAGRAMS</w:t>
      </w:r>
    </w:p>
    <w:p>
      <w:pPr>
        <w:spacing w:after="120" w:before="120"/>
        <w:jc w:val="left"/>
      </w:pPr>
      <w:r>
        <w:rPr>
          <w:rFonts w:ascii="Times New Roman" w:hAnsi="Times New Roman"/>
          <w:b/>
          <w:color w:val="000000"/>
          <w:sz w:val="24"/>
        </w:rPr>
        <w:t>9.1  Computer Vision &amp; Yolo Inference Pipeline Flowchart</w:t>
      </w:r>
    </w:p>
    <w:p>
      <w:pPr>
        <w:spacing w:after="120" w:lineRule="auto" w:line="360"/>
        <w:jc w:val="both"/>
      </w:pPr>
      <w:r>
        <w:rPr>
          <w:rFonts w:ascii="Times New Roman" w:hAnsi="Times New Roman"/>
          <w:b w:val="0"/>
          <w:i w:val="0"/>
          <w:color w:val="000000"/>
          <w:sz w:val="24"/>
        </w:rPr>
        <w:t>The following flowchart illustrates the end-to-end processing sequence of the HAAZIR YOLO Vision Engine from smartphone camera capture, homography perspective deskewing, YOLOv8 column detection, MobileNet character classification, to Human-in-the-Loop (HITL) verification and database commit:</w:t>
      </w:r>
    </w:p>
    <w:p>
      <w:pPr>
        <w:spacing w:before="160" w:after="80"/>
        <w:jc w:val="center"/>
      </w:pPr>
      <w:r>
        <w:drawing>
          <wp:inline xmlns:a="http://schemas.openxmlformats.org/drawingml/2006/main" xmlns:pic="http://schemas.openxmlformats.org/drawingml/2006/picture">
            <wp:extent cx="5303520" cy="5270983"/>
            <wp:docPr id="4" name="Picture 4"/>
            <wp:cNvGraphicFramePr>
              <a:graphicFrameLocks noChangeAspect="1"/>
            </wp:cNvGraphicFramePr>
            <a:graphic>
              <a:graphicData uri="http://schemas.openxmlformats.org/drawingml/2006/picture">
                <pic:pic>
                  <pic:nvPicPr>
                    <pic:cNvPr id="0" name="cv_pipeline_flowchart.png"/>
                    <pic:cNvPicPr/>
                  </pic:nvPicPr>
                  <pic:blipFill>
                    <a:blip r:embed="rId12"/>
                    <a:stretch>
                      <a:fillRect/>
                    </a:stretch>
                  </pic:blipFill>
                  <pic:spPr>
                    <a:xfrm>
                      <a:off x="0" y="0"/>
                      <a:ext cx="5303520" cy="5270983"/>
                    </a:xfrm>
                    <a:prstGeom prst="rect"/>
                  </pic:spPr>
                </pic:pic>
              </a:graphicData>
            </a:graphic>
          </wp:inline>
        </w:drawing>
      </w:r>
    </w:p>
    <w:p>
      <w:pPr>
        <w:spacing w:after="240"/>
        <w:jc w:val="center"/>
      </w:pPr>
      <w:r>
        <w:rPr>
          <w:rFonts w:ascii="Times New Roman" w:hAnsi="Times New Roman"/>
          <w:b/>
          <w:i/>
          <w:color w:val="1B365D"/>
          <w:sz w:val="20"/>
        </w:rPr>
        <w:t>Figure 9.1: HAAZIR Computer Vision &amp; YOLO Inference Pipeline Flowchart</w:t>
      </w:r>
    </w:p>
    <w:p>
      <w:pPr>
        <w:spacing w:after="120" w:before="120"/>
        <w:jc w:val="left"/>
      </w:pPr>
      <w:r>
        <w:rPr>
          <w:rFonts w:ascii="Times New Roman" w:hAnsi="Times New Roman"/>
          <w:b/>
          <w:color w:val="000000"/>
          <w:sz w:val="24"/>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(Teacher, Admin, Principal, Parent, Student, LLM API, Razorpay, FCM) and the primary data flows between them:</w:t>
      </w:r>
    </w:p>
    <w:p>
      <w:pPr>
        <w:spacing w:before="160" w:after="80"/>
        <w:jc w:val="center"/>
      </w:pPr>
      <w:r>
        <w:drawing>
          <wp:inline xmlns:a="http://schemas.openxmlformats.org/drawingml/2006/main" xmlns:pic="http://schemas.openxmlformats.org/drawingml/2006/picture">
            <wp:extent cx="5303520" cy="2521612"/>
            <wp:docPr id="5" name="Picture 5"/>
            <wp:cNvGraphicFramePr>
              <a:graphicFrameLocks noChangeAspect="1"/>
            </wp:cNvGraphicFramePr>
            <a:graphic>
              <a:graphicData uri="http://schemas.openxmlformats.org/drawingml/2006/picture">
                <pic:pic>
                  <pic:nvPicPr>
                    <pic:cNvPr id="0" name="dfd0_context.png"/>
                    <pic:cNvPicPr/>
                  </pic:nvPicPr>
                  <pic:blipFill>
                    <a:blip r:embed="rId13"/>
                    <a:stretch>
                      <a:fillRect/>
                    </a:stretch>
                  </pic:blipFill>
                  <pic:spPr>
                    <a:xfrm>
                      <a:off x="0" y="0"/>
                      <a:ext cx="5303520" cy="2521612"/>
                    </a:xfrm>
                    <a:prstGeom prst="rect"/>
                  </pic:spPr>
                </pic:pic>
              </a:graphicData>
            </a:graphic>
          </wp:inline>
        </w:drawing>
      </w:r>
    </w:p>
    <w:p>
      <w:pPr>
        <w:spacing w:after="240"/>
        <w:jc w:val="center"/>
      </w:pPr>
      <w:r>
        <w:rPr>
          <w:rFonts w:ascii="Times New Roman" w:hAnsi="Times New Roman"/>
          <w:b/>
          <w:i/>
          <w:color w:val="1B365D"/>
          <w:sz w:val="20"/>
        </w:rPr>
        <w:t>Figure 9.2: Context-Level (0-Level) Data Flow Diagram</w:t>
      </w:r>
    </w:p>
    <w:p>
      <w:pPr>
        <w:spacing w:after="120" w:before="120"/>
        <w:jc w:val="left"/>
      </w:pPr>
      <w:r>
        <w:rPr>
          <w:rFonts w:ascii="Times New Roman" w:hAnsi="Times New Roman"/>
          <w:b/>
          <w:color w:val="000000"/>
          <w:sz w:val="24"/>
        </w:rPr>
        <w:t>9.3  Level-1 Decomposed Data Flow Diagram</w:t>
      </w:r>
    </w:p>
    <w:p>
      <w:pPr>
        <w:spacing w:after="120" w:lineRule="auto" w:line="360"/>
        <w:jc w:val="both"/>
      </w:pPr>
      <w:r>
        <w:rPr>
          <w:rFonts w:ascii="Times New Roman" w:hAnsi="Times New Roman"/>
          <w:b w:val="0"/>
          <w:i w:val="0"/>
          <w:color w:val="000000"/>
          <w:sz w:val="24"/>
        </w:rPr>
        <w:t>The 1-Level decomposed DFD unpacks the core HAAZIR processes (Auth &amp; RBAC 1.0, YOLO Vision Engine 2.0, Attendance Ingestion 3.0, Notification Engine 4.0, Fee Management 5.0, Text-to-SQL Analytics 6.0) and their interactions with central data stores (User Store D1, Attendance Store D2, Notification Outbox D3, Fee Store D4):</w:t>
      </w:r>
    </w:p>
    <w:p>
      <w:pPr>
        <w:spacing w:before="160" w:after="80"/>
        <w:jc w:val="center"/>
      </w:pPr>
      <w:r>
        <w:drawing>
          <wp:inline xmlns:a="http://schemas.openxmlformats.org/drawingml/2006/main" xmlns:pic="http://schemas.openxmlformats.org/drawingml/2006/picture">
            <wp:extent cx="5303520" cy="7272004"/>
            <wp:docPr id="6" name="Picture 6"/>
            <wp:cNvGraphicFramePr>
              <a:graphicFrameLocks noChangeAspect="1"/>
            </wp:cNvGraphicFramePr>
            <a:graphic>
              <a:graphicData uri="http://schemas.openxmlformats.org/drawingml/2006/picture">
                <pic:pic>
                  <pic:nvPicPr>
                    <pic:cNvPr id="0" name="dfd1_decomposed.png"/>
                    <pic:cNvPicPr/>
                  </pic:nvPicPr>
                  <pic:blipFill>
                    <a:blip r:embed="rId14"/>
                    <a:stretch>
                      <a:fillRect/>
                    </a:stretch>
                  </pic:blipFill>
                  <pic:spPr>
                    <a:xfrm>
                      <a:off x="0" y="0"/>
                      <a:ext cx="5303520" cy="7272004"/>
                    </a:xfrm>
                    <a:prstGeom prst="rect"/>
                  </pic:spPr>
                </pic:pic>
              </a:graphicData>
            </a:graphic>
          </wp:inline>
        </w:drawing>
      </w:r>
    </w:p>
    <w:p>
      <w:pPr>
        <w:spacing w:after="240"/>
        <w:jc w:val="center"/>
      </w:pPr>
      <w:r>
        <w:rPr>
          <w:rFonts w:ascii="Times New Roman" w:hAnsi="Times New Roman"/>
          <w:b/>
          <w:i/>
          <w:color w:val="1B365D"/>
          <w:sz w:val="20"/>
        </w:rPr>
        <w:t>Figure 9.3: Level-1 Decomposed Data Flow Diagram</w:t>
      </w:r>
    </w:p>
    <w:p>
      <w:pPr>
        <w:spacing w:after="120" w:before="120"/>
        <w:jc w:val="left"/>
      </w:pPr>
      <w:r>
        <w:rPr>
          <w:rFonts w:ascii="Times New Roman" w:hAnsi="Times New Roman"/>
          <w:b/>
          <w:color w:val="000000"/>
          <w:sz w:val="24"/>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core entities is rendered below:</w:t>
      </w:r>
    </w:p>
    <w:p>
      <w:pPr>
        <w:spacing w:before="160" w:after="80"/>
        <w:jc w:val="center"/>
      </w:pPr>
      <w:r>
        <w:drawing>
          <wp:inline xmlns:a="http://schemas.openxmlformats.org/drawingml/2006/main" xmlns:pic="http://schemas.openxmlformats.org/drawingml/2006/picture">
            <wp:extent cx="5303520" cy="7564837"/>
            <wp:docPr id="7" name="Picture 7"/>
            <wp:cNvGraphicFramePr>
              <a:graphicFrameLocks noChangeAspect="1"/>
            </wp:cNvGraphicFramePr>
            <a:graphic>
              <a:graphicData uri="http://schemas.openxmlformats.org/drawingml/2006/picture">
                <pic:pic>
                  <pic:nvPicPr>
                    <pic:cNvPr id="0" name="er_diagram.png"/>
                    <pic:cNvPicPr/>
                  </pic:nvPicPr>
                  <pic:blipFill>
                    <a:blip r:embed="rId15"/>
                    <a:stretch>
                      <a:fillRect/>
                    </a:stretch>
                  </pic:blipFill>
                  <pic:spPr>
                    <a:xfrm>
                      <a:off x="0" y="0"/>
                      <a:ext cx="5303520" cy="7564837"/>
                    </a:xfrm>
                    <a:prstGeom prst="rect"/>
                  </pic:spPr>
                </pic:pic>
              </a:graphicData>
            </a:graphic>
          </wp:inline>
        </w:drawing>
      </w:r>
    </w:p>
    <w:p>
      <w:pPr>
        <w:spacing w:after="240"/>
        <w:jc w:val="center"/>
      </w:pPr>
      <w:r>
        <w:rPr>
          <w:rFonts w:ascii="Times New Roman" w:hAnsi="Times New Roman"/>
          <w:b/>
          <w:i/>
          <w:color w:val="1B365D"/>
          <w:sz w:val="20"/>
        </w:rPr>
        <w:t>Figure 9.4: Entity-Relationship (ER) Diagram — 3NF Relational Schema</w:t>
      </w:r>
    </w:p>
    <w:p>
      <w:r>
        <w:br w:type="page"/>
      </w:r>
    </w:p>
    <w:p>
      <w:pPr>
        <w:spacing w:after="240" w:before="120"/>
        <w:jc w:val="left"/>
      </w:pPr>
      <w:r>
        <w:rPr>
          <w:rFonts w:ascii="Times New Roman" w:hAnsi="Times New Roman"/>
          <w:b/>
          <w:color w:val="000000"/>
          <w:sz w:val="28"/>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000000"/>
          <w:sz w:val="24"/>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000000"/>
          <w:sz w:val="24"/>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000000"/>
          <w:sz w:val="24"/>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000000"/>
          <w:sz w:val="24"/>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000000"/>
          <w:sz w:val="24"/>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000000"/>
          <w:sz w:val="24"/>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000000"/>
          <w:sz w:val="24"/>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000000"/>
          <w:sz w:val="24"/>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000000"/>
          <w:sz w:val="24"/>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jc w:val="left"/>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000000"/>
          <w:sz w:val="28"/>
        </w:rPr>
        <w:t>CHAPTER 10: RESULTS &amp; PERFORMANCE BENCHMARKS</w:t>
      </w:r>
    </w:p>
    <w:p>
      <w:pPr>
        <w:spacing w:after="120" w:before="120"/>
        <w:jc w:val="left"/>
      </w:pPr>
      <w:r>
        <w:rPr>
          <w:rFonts w:ascii="Times New Roman" w:hAnsi="Times New Roman"/>
          <w:b/>
          <w:color w:val="000000"/>
          <w:sz w:val="24"/>
        </w:rPr>
        <w:t>10.1  Yolov8 Column Detection Model Training Results</w:t>
      </w:r>
    </w:p>
    <w:p>
      <w:pPr>
        <w:spacing w:after="120" w:lineRule="auto" w:line="360"/>
        <w:jc w:val="both"/>
      </w:pPr>
      <w:r>
        <w:rPr>
          <w:rFonts w:ascii="Times New Roman" w:hAnsi="Times New Roman"/>
          <w:b w:val="0"/>
          <w:i w:val="0"/>
          <w:color w:val="000000"/>
          <w:sz w:val="24"/>
        </w:rPr>
        <w:t>The HAAZIR YOLOv8 column detection model was fine-tuned on a synthetic annotated attendance register dataset across 50 training epochs. Figure 10.1 illustrates the convergence of box loss, class loss, and the mean Average Precision (mAP@0.5) over the training duration. The model achieves a peak mAP@0.5 of 98.6%, demonstrating robust column localization performance even under variable synthetic lighting and rotation conditions.</w:t>
      </w:r>
    </w:p>
    <w:p>
      <w:pPr>
        <w:spacing w:before="160" w:after="8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yolo_training_metrics.png"/>
                    <pic:cNvPicPr/>
                  </pic:nvPicPr>
                  <pic:blipFill>
                    <a:blip r:embed="rId16"/>
                    <a:stretch>
                      <a:fillRect/>
                    </a:stretch>
                  </pic:blipFill>
                  <pic:spPr>
                    <a:xfrm>
                      <a:off x="0" y="0"/>
                      <a:ext cx="5303520" cy="2651760"/>
                    </a:xfrm>
                    <a:prstGeom prst="rect"/>
                  </pic:spPr>
                </pic:pic>
              </a:graphicData>
            </a:graphic>
          </wp:inline>
        </w:drawing>
      </w:r>
    </w:p>
    <w:p>
      <w:pPr>
        <w:spacing w:after="240"/>
        <w:jc w:val="center"/>
      </w:pPr>
      <w:r>
        <w:rPr>
          <w:rFonts w:ascii="Times New Roman" w:hAnsi="Times New Roman"/>
          <w:b/>
          <w:i/>
          <w:color w:val="1B365D"/>
          <w:sz w:val="20"/>
        </w:rPr>
        <w:t>Figure 10.1: HAAZIR YOLOv8 Column Detection Model — Training Loss &amp; Accuracy Metrics (mAP@0.5)</w:t>
      </w:r>
    </w:p>
    <w:p>
      <w:pPr>
        <w:spacing w:after="120" w:before="120"/>
        <w:jc w:val="left"/>
      </w:pPr>
      <w:r>
        <w:rPr>
          <w:rFonts w:ascii="Times New Roman" w:hAnsi="Times New Roman"/>
          <w:b/>
          <w:color w:val="000000"/>
          <w:sz w:val="24"/>
        </w:rPr>
        <w:t>10.2  End-To-End Processing Latency Benchmark</w:t>
      </w:r>
    </w:p>
    <w:p>
      <w:pPr>
        <w:spacing w:after="120" w:lineRule="auto" w:line="360"/>
        <w:jc w:val="both"/>
      </w:pPr>
      <w:r>
        <w:rPr>
          <w:rFonts w:ascii="Times New Roman" w:hAnsi="Times New Roman"/>
          <w:b w:val="0"/>
          <w:i w:val="0"/>
          <w:color w:val="000000"/>
          <w:sz w:val="24"/>
        </w:rPr>
        <w:t>The end-to-end performance of the HAAZIR vision and ingestion pipeline was benchmarked across five sequential operational stages. As shown in Figure 10.2, the total processing latency from smartphone multipart upload to database commitment and audit logging averages ~334 milliseconds (well under the 500 ms SLA requirement). This sub-second performance guarantees a seamless, real-time user experience for classroom teachers during morning roll call.</w:t>
      </w:r>
    </w:p>
    <w:p>
      <w:pPr>
        <w:spacing w:before="160" w:after="8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latency_benchmark.png"/>
                    <pic:cNvPicPr/>
                  </pic:nvPicPr>
                  <pic:blipFill>
                    <a:blip r:embed="rId17"/>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b/>
          <w:i/>
          <w:color w:val="1B365D"/>
          <w:sz w:val="20"/>
        </w:rPr>
        <w:t>Figure 10.2: End-to-End Processing Latency Breakdown Across Pipeline Stages (Total ~334ms)</w:t>
      </w:r>
    </w:p>
    <w:p>
      <w:r>
        <w:br w:type="page"/>
      </w:r>
    </w:p>
    <w:p>
      <w:pPr>
        <w:spacing w:after="240" w:before="120"/>
        <w:jc w:val="left"/>
      </w:pPr>
      <w:r>
        <w:rPr>
          <w:rFonts w:ascii="Times New Roman" w:hAnsi="Times New Roman"/>
          <w:b/>
          <w:color w:val="000000"/>
          <w:sz w:val="28"/>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000000"/>
          <w:sz w:val="28"/>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000000"/>
          <w:sz w:val="28"/>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20"/>
      <w:footerReference w:type="default" r:id="rId21"/>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