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jc w:val="center"/>
      </w:pPr>
      <w:r>
        <w:rPr>
          <w:rFonts w:ascii="Times New Roman" w:hAnsi="Times New Roman"/>
          <w:b/>
          <w:i w:val="0"/>
          <w:color w:val="1B365D"/>
          <w:sz w:val="28"/>
        </w:rPr>
        <w:t>DR. VIRENDRA SWARUP INSTITUTE OF PROFESSIONAL STUDIES</w:t>
      </w:r>
    </w:p>
    <w:p>
      <w:pPr>
        <w:spacing w:after="80"/>
        <w:jc w:val="center"/>
      </w:pPr>
      <w:r>
        <w:rPr>
          <w:rFonts w:ascii="Times New Roman" w:hAnsi="Times New Roman"/>
          <w:b w:val="0"/>
          <w:i/>
          <w:sz w:val="22"/>
        </w:rPr>
        <w:t>(Affiliated to Dr. A.P.J. Abdul Kalam Technical University, Lucknow)</w:t>
      </w:r>
    </w:p>
    <w:p>
      <w:pPr>
        <w:spacing w:after="80"/>
        <w:jc w:val="center"/>
      </w:pPr>
      <w:r>
        <w:rPr>
          <w:rFonts w:ascii="Times New Roman" w:hAnsi="Times New Roman"/>
          <w:b w:val="0"/>
          <w:i w:val="0"/>
          <w:sz w:val="22"/>
        </w:rPr>
        <w:t>Nawabganj, Kanpur — 208002, Uttar Pradesh, India</w:t>
      </w:r>
    </w:p>
    <w:p>
      <w:pPr>
        <w:spacing w:after="360"/>
        <w:jc w:val="center"/>
      </w:pPr>
      <w:r>
        <w:rPr>
          <w:rFonts w:ascii="Times New Roman" w:hAnsi="Times New Roman"/>
          <w:b/>
          <w:i w:val="0"/>
          <w:sz w:val="24"/>
        </w:rPr>
        <w:t>Department of Computer Applications</w:t>
      </w:r>
    </w:p>
    <w:p>
      <w:pPr>
        <w:spacing w:after="320"/>
        <w:jc w:val="center"/>
      </w:pPr>
      <w:r>
        <w:rPr>
          <w:rFonts w:ascii="Times New Roman" w:hAnsi="Times New Roman"/>
          <w:color w:val="1B365D"/>
          <w:sz w:val="20"/>
        </w:rPr>
        <w:t>────────────────────────────────────────────────────────────────────</w:t>
      </w:r>
    </w:p>
    <w:p>
      <w:pPr>
        <w:spacing w:after="120"/>
        <w:jc w:val="center"/>
      </w:pPr>
      <w:r>
        <w:rPr>
          <w:rFonts w:ascii="Times New Roman" w:hAnsi="Times New Roman"/>
          <w:b/>
          <w:i w:val="0"/>
          <w:sz w:val="28"/>
        </w:rPr>
        <w:t>MINOR PROJECT SYNOPSIS</w:t>
      </w:r>
    </w:p>
    <w:p>
      <w:pPr>
        <w:spacing w:after="400"/>
        <w:jc w:val="center"/>
      </w:pPr>
      <w:r>
        <w:rPr>
          <w:rFonts w:ascii="Times New Roman" w:hAnsi="Times New Roman"/>
          <w:b w:val="0"/>
          <w:i/>
          <w:sz w:val="24"/>
        </w:rPr>
        <w:t>Bachelor of Computer Applications (BCA) — 5th Semester</w:t>
      </w:r>
    </w:p>
    <w:p>
      <w:pPr>
        <w:spacing w:after="80"/>
        <w:jc w:val="center"/>
      </w:pPr>
      <w:r>
        <w:rPr>
          <w:rFonts w:ascii="Times New Roman" w:hAnsi="Times New Roman"/>
          <w:b/>
          <w:i w:val="0"/>
          <w:color w:val="1B365D"/>
          <w:sz w:val="40"/>
        </w:rPr>
        <w:t>HAAZIR:</w:t>
      </w:r>
    </w:p>
    <w:p>
      <w:pPr>
        <w:spacing w:after="400"/>
        <w:jc w:val="center"/>
      </w:pPr>
      <w:r>
        <w:rPr>
          <w:rFonts w:ascii="Times New Roman" w:hAnsi="Times New Roman"/>
          <w:b/>
          <w:i w:val="0"/>
          <w:color w:val="1B365D"/>
          <w:sz w:val="32"/>
        </w:rPr>
        <w:t>A Hybrid Academic ERP with Custom-Trained YOLO Vision Engine for</w:t>
        <w:br/>
        <w:t>Physical Register Digitization and Conversational Database Analytics</w:t>
      </w:r>
    </w:p>
    <w:p>
      <w:pPr>
        <w:spacing w:after="320"/>
        <w:jc w:val="center"/>
      </w:pPr>
      <w:r>
        <w:rPr>
          <w:rFonts w:ascii="Times New Roman" w:hAnsi="Times New Roman"/>
          <w:color w:val="1B365D"/>
          <w:sz w:val="20"/>
        </w:rPr>
        <w:t>────────────────────────────────────────────────────────────────────</w:t>
      </w:r>
    </w:p>
    <w:p>
      <w:pPr>
        <w:spacing w:after="120"/>
        <w:jc w:val="center"/>
      </w:pPr>
      <w:r>
        <w:rPr>
          <w:rFonts w:ascii="Times New Roman" w:hAnsi="Times New Roman"/>
          <w:b/>
          <w:i w:val="0"/>
          <w:sz w:val="24"/>
        </w:rPr>
        <w:t>SUBMITTED BY</w:t>
      </w:r>
    </w:p>
    <w:tbl>
      <w:tblPr>
        <w:tblStyle w:val="TableGrid"/>
        <w:jc w:val="center"/>
        <w:tblLook w:firstColumn="1" w:firstRow="1" w:lastColumn="0" w:lastRow="0" w:noHBand="0" w:noVBand="1" w:val="04A0"/>
        <w:tblLayout w:type="fixed"/>
        <w:tblW w:w="8668" w:type="dxa"/>
      </w:tblPr>
      <w:tblGrid>
        <w:gridCol w:w="2989"/>
        <w:gridCol w:w="2690"/>
        <w:gridCol w:w="1494"/>
        <w:gridCol w:w="1494"/>
      </w:tblGrid>
      <w:tr>
        <w:tc>
          <w:tcPr>
            <w:tcW w:w="2989"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Student Name</w:t>
            </w:r>
          </w:p>
        </w:tc>
        <w:tc>
          <w:tcPr>
            <w:tcW w:w="269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Enrollment No.</w:t>
            </w:r>
          </w:p>
        </w:tc>
        <w:tc>
          <w:tcPr>
            <w:tcW w:w="149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Programme</w:t>
            </w:r>
          </w:p>
        </w:tc>
        <w:tc>
          <w:tcPr>
            <w:tcW w:w="149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Semester</w:t>
            </w:r>
          </w:p>
        </w:tc>
      </w:tr>
      <w:tr>
        <w:tc>
          <w:tcPr>
            <w:tcW w:w="29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[Student Full Name]</w:t>
            </w:r>
          </w:p>
        </w:tc>
        <w:tc>
          <w:tcPr>
            <w:tcW w:w="269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[Enrollment Number]</w:t>
            </w:r>
          </w:p>
        </w:tc>
        <w:tc>
          <w:tcPr>
            <w:tcW w:w="149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BCA</w:t>
            </w:r>
          </w:p>
        </w:tc>
        <w:tc>
          <w:tcPr>
            <w:tcW w:w="149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5th Semester</w:t>
            </w:r>
          </w:p>
        </w:tc>
      </w:tr>
    </w:tbl>
    <w:p/>
    <w:p/>
    <w:p>
      <w:pPr>
        <w:spacing w:after="120"/>
        <w:jc w:val="center"/>
      </w:pPr>
      <w:r>
        <w:rPr>
          <w:rFonts w:ascii="Times New Roman" w:hAnsi="Times New Roman"/>
          <w:b/>
          <w:i w:val="0"/>
          <w:sz w:val="24"/>
        </w:rPr>
        <w:t>UNDER THE GUIDANCE OF</w:t>
      </w:r>
    </w:p>
    <w:tbl>
      <w:tblPr>
        <w:tblStyle w:val="TableGrid"/>
        <w:jc w:val="center"/>
        <w:tblLook w:firstColumn="1" w:firstRow="1" w:lastColumn="0" w:lastRow="0" w:noHBand="0" w:noVBand="1" w:val="04A0"/>
        <w:tblLayout w:type="fixed"/>
        <w:tblW w:w="8668" w:type="dxa"/>
      </w:tblPr>
      <w:tblGrid>
        <w:gridCol w:w="2667"/>
        <w:gridCol w:w="2667"/>
        <w:gridCol w:w="3334"/>
      </w:tblGrid>
      <w:tr>
        <w:tc>
          <w:tcPr>
            <w:tcW w:w="2667"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Faculty Mentor</w:t>
            </w:r>
          </w:p>
        </w:tc>
        <w:tc>
          <w:tcPr>
            <w:tcW w:w="2667"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Designation</w:t>
            </w:r>
          </w:p>
        </w:tc>
        <w:tc>
          <w:tcPr>
            <w:tcW w:w="333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Department</w:t>
            </w:r>
          </w:p>
        </w:tc>
      </w:tr>
      <w:tr>
        <w:tc>
          <w:tcPr>
            <w:tcW w:w="266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Mr. Shailendra Dixit</w:t>
            </w:r>
          </w:p>
        </w:tc>
        <w:tc>
          <w:tcPr>
            <w:tcW w:w="266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Assistant Professor</w:t>
            </w:r>
          </w:p>
        </w:tc>
        <w:tc>
          <w:tcPr>
            <w:tcW w:w="333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Dept. of Computer Applications</w:t>
            </w:r>
          </w:p>
        </w:tc>
      </w:tr>
      <w:tr>
        <w:tc>
          <w:tcPr>
            <w:tcW w:w="266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Mr. Deepesh Yadav</w:t>
            </w:r>
          </w:p>
        </w:tc>
        <w:tc>
          <w:tcPr>
            <w:tcW w:w="266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Assistant Professor</w:t>
            </w:r>
          </w:p>
        </w:tc>
        <w:tc>
          <w:tcPr>
            <w:tcW w:w="333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Dept. of Computer Applications</w:t>
            </w:r>
          </w:p>
        </w:tc>
      </w:tr>
      <w:tr>
        <w:tc>
          <w:tcPr>
            <w:tcW w:w="266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Ms. Archita Dubey</w:t>
            </w:r>
          </w:p>
        </w:tc>
        <w:tc>
          <w:tcPr>
            <w:tcW w:w="266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Assistant Professor</w:t>
            </w:r>
          </w:p>
        </w:tc>
        <w:tc>
          <w:tcPr>
            <w:tcW w:w="333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Dept. of Computer Applications</w:t>
            </w:r>
          </w:p>
        </w:tc>
      </w:tr>
    </w:tbl>
    <w:p/>
    <w:p/>
    <w:p>
      <w:pPr>
        <w:spacing w:after="80"/>
        <w:jc w:val="center"/>
      </w:pPr>
      <w:r>
        <w:rPr>
          <w:rFonts w:ascii="Times New Roman" w:hAnsi="Times New Roman"/>
          <w:b/>
          <w:i w:val="0"/>
          <w:sz w:val="24"/>
        </w:rPr>
        <w:t>Academic Session: 2025 – 2026</w:t>
      </w:r>
    </w:p>
    <w:p>
      <w:pPr>
        <w:spacing w:after="80"/>
        <w:jc w:val="center"/>
      </w:pPr>
      <w:r>
        <w:rPr>
          <w:rFonts w:ascii="Times New Roman" w:hAnsi="Times New Roman"/>
          <w:b w:val="0"/>
          <w:i w:val="0"/>
          <w:sz w:val="24"/>
        </w:rPr>
        <w:t>Submission Date: October 2026</w:t>
      </w:r>
    </w:p>
    <w:p>
      <w:r>
        <w:br w:type="page"/>
      </w:r>
    </w:p>
    <w:p>
      <w:pPr>
        <w:spacing w:after="240" w:before="120"/>
        <w:jc w:val="left"/>
      </w:pPr>
      <w:r>
        <w:rPr>
          <w:rFonts w:ascii="Times New Roman" w:hAnsi="Times New Roman"/>
          <w:b/>
          <w:color w:val="000000"/>
          <w:sz w:val="28"/>
        </w:rPr>
        <w:t>ACKNOWLEDGMENT</w:t>
      </w:r>
    </w:p>
    <w:p>
      <w:pPr>
        <w:spacing w:after="120" w:lineRule="auto" w:line="360"/>
        <w:jc w:val="both"/>
      </w:pPr>
      <w:r>
        <w:rPr>
          <w:rFonts w:ascii="Times New Roman" w:hAnsi="Times New Roman"/>
          <w:b w:val="0"/>
          <w:i w:val="0"/>
          <w:color w:val="000000"/>
          <w:sz w:val="24"/>
        </w:rPr>
        <w:t>The completion of this synopsis and the HAAZIR project represents the culmination of months of sustained research, technical development, and iterative refinement. We, the student authors of this project, extend our sincere and heartfelt gratitude to all individuals whose guidance, encouragement, and institutional support made this endeavour possible.</w:t>
      </w:r>
    </w:p>
    <w:p>
      <w:pPr>
        <w:spacing w:after="120" w:lineRule="auto" w:line="360"/>
        <w:jc w:val="both"/>
      </w:pPr>
      <w:r>
        <w:rPr>
          <w:rFonts w:ascii="Times New Roman" w:hAnsi="Times New Roman"/>
          <w:b w:val="0"/>
          <w:i w:val="0"/>
          <w:color w:val="000000"/>
          <w:sz w:val="24"/>
        </w:rPr>
        <w:t>We place on record our deepest sense of gratitude to the Management and Director of Dr. Virendra Swarup Institute of Professional Studies (DR. VSIPS), Kanpur, for providing a conducive academic environment, state-of-the-art computer laboratories, and an intellectual ecosystem that encourages practical and applied project-based learning alongside conventional theoretical curricula.</w:t>
      </w:r>
    </w:p>
    <w:p>
      <w:pPr>
        <w:spacing w:after="120" w:lineRule="auto" w:line="360"/>
        <w:jc w:val="both"/>
      </w:pPr>
      <w:r>
        <w:rPr>
          <w:rFonts w:ascii="Times New Roman" w:hAnsi="Times New Roman"/>
          <w:b w:val="0"/>
          <w:i w:val="0"/>
          <w:color w:val="000000"/>
          <w:sz w:val="24"/>
        </w:rPr>
        <w:t>We are profoundly grateful to the Head of the Department of Computer Applications for providing the administrative framework within which this project was carried out and for graciously approving the scope and technical direction of the HAAZIR system. The department's commitment to innovation in applied computer science has been a constant source of inspiration.</w:t>
      </w:r>
    </w:p>
    <w:p>
      <w:pPr>
        <w:spacing w:after="120" w:lineRule="auto" w:line="360"/>
        <w:jc w:val="both"/>
      </w:pPr>
      <w:r>
        <w:rPr>
          <w:rFonts w:ascii="Times New Roman" w:hAnsi="Times New Roman"/>
          <w:b w:val="0"/>
          <w:i w:val="0"/>
          <w:color w:val="000000"/>
          <w:sz w:val="24"/>
        </w:rPr>
        <w:t>Our most sincere and reverential thanks are extended to our esteemed Faculty Mentors: Mr. Shailendra Dixit, Mr. Deepesh Yadav, and Ms. Archita Dubey. Their meticulous technical guidance, patient clarifications on software architecture concepts, constructive critique during periodic project reviews, and unwavering encouragement at every developmental milestone have been the cornerstone upon which this project stands. Their expertise in software engineering, database systems, and applied machine learning has shaped the intellectual rigour reflected in this document and in the technical system itself.</w:t>
      </w:r>
    </w:p>
    <w:p>
      <w:pPr>
        <w:spacing w:after="120" w:lineRule="auto" w:line="360"/>
        <w:jc w:val="both"/>
      </w:pPr>
      <w:r>
        <w:rPr>
          <w:rFonts w:ascii="Times New Roman" w:hAnsi="Times New Roman"/>
          <w:b w:val="0"/>
          <w:i w:val="0"/>
          <w:color w:val="000000"/>
          <w:sz w:val="24"/>
        </w:rPr>
        <w:t>Mr. Shailendra Dixit's guidance on multi-tier software architecture principles and the importance of clean separation of concerns in large-scale academic information systems was invaluable in structuring the backend engineering approach adopted by HAAZIR. Mr. Deepesh Yadav's insights into database normalization, relational schema design, and query optimization directly influenced the design of the nine-table normalized RDBMS schema described in this synopsis. Ms. Archita Dubey's mentorship on computer vision fundamentals and the practical challenges of deploying deep learning models in resource-constrained institutional environments provided the conceptual grounding for our YOLO-based register digitization pipeline.</w:t>
      </w:r>
    </w:p>
    <w:p>
      <w:pPr>
        <w:spacing w:after="120" w:lineRule="auto" w:line="360"/>
        <w:jc w:val="both"/>
      </w:pPr>
      <w:r>
        <w:rPr>
          <w:rFonts w:ascii="Times New Roman" w:hAnsi="Times New Roman"/>
          <w:b w:val="0"/>
          <w:i w:val="0"/>
          <w:color w:val="000000"/>
          <w:sz w:val="24"/>
        </w:rPr>
        <w:t>We acknowledge with gratitude the contributions of our peer reviewers and batchmates who participated in user acceptance testing, provided feedback on the mobile application's usability, and tested the conversational analytics engine across varied natural language inputs. Their practical engagement with the system from an end-user perspective has been immensely valuable.</w:t>
      </w:r>
    </w:p>
    <w:p>
      <w:pPr>
        <w:spacing w:after="120" w:lineRule="auto" w:line="360"/>
        <w:jc w:val="both"/>
      </w:pPr>
      <w:r>
        <w:rPr>
          <w:rFonts w:ascii="Times New Roman" w:hAnsi="Times New Roman"/>
          <w:b w:val="0"/>
          <w:i w:val="0"/>
          <w:color w:val="000000"/>
          <w:sz w:val="24"/>
        </w:rPr>
        <w:t>Finally, we are indebted to our families for their unwavering moral support, patience, and encouragement throughout the duration of this project. Their belief in our potential has been our greatest motivation.</w:t>
      </w:r>
    </w:p>
    <w:p>
      <w:pPr>
        <w:spacing w:after="120" w:lineRule="auto" w:line="360"/>
        <w:jc w:val="both"/>
      </w:pPr>
      <w:r>
        <w:rPr>
          <w:rFonts w:ascii="Times New Roman" w:hAnsi="Times New Roman"/>
          <w:b w:val="0"/>
          <w:i w:val="0"/>
          <w:color w:val="000000"/>
          <w:sz w:val="24"/>
        </w:rPr>
        <w:t>All shortcomings and errors that may remain in this document are solely our own responsibility. We humbly submit this synopsis as a testament to our learning journey and our commitment to applying computing knowledge for the betterment of educational administration in India.</w:t>
      </w:r>
    </w:p>
    <w:p/>
    <w:p>
      <w:pPr>
        <w:spacing w:after="120" w:lineRule="auto" w:line="360"/>
        <w:jc w:val="both"/>
      </w:pPr>
      <w:r>
        <w:rPr>
          <w:rFonts w:ascii="Times New Roman" w:hAnsi="Times New Roman"/>
          <w:b w:val="0"/>
          <w:i w:val="0"/>
          <w:color w:val="000000"/>
          <w:sz w:val="24"/>
        </w:rPr>
        <w:t>Place: Kanpur</w:t>
      </w:r>
    </w:p>
    <w:p>
      <w:pPr>
        <w:spacing w:after="120" w:lineRule="auto" w:line="360"/>
        <w:jc w:val="both"/>
      </w:pPr>
      <w:r>
        <w:rPr>
          <w:rFonts w:ascii="Times New Roman" w:hAnsi="Times New Roman"/>
          <w:b w:val="0"/>
          <w:i w:val="0"/>
          <w:color w:val="000000"/>
          <w:sz w:val="24"/>
        </w:rPr>
        <w:t>Date: October 2026</w:t>
      </w:r>
    </w:p>
    <w:p>
      <w:pPr>
        <w:spacing w:after="120" w:lineRule="auto" w:line="360"/>
        <w:jc w:val="both"/>
      </w:pPr>
      <w:r>
        <w:rPr>
          <w:rFonts w:ascii="Times New Roman" w:hAnsi="Times New Roman"/>
          <w:b/>
          <w:i w:val="0"/>
          <w:color w:val="000000"/>
          <w:sz w:val="24"/>
        </w:rPr>
        <w:t>Student Authors, BCA 5th Semester, DR. VSIPS</w:t>
      </w:r>
    </w:p>
    <w:p>
      <w:r>
        <w:br w:type="page"/>
      </w:r>
    </w:p>
    <w:p>
      <w:pPr>
        <w:spacing w:after="240" w:before="120"/>
        <w:jc w:val="left"/>
      </w:pPr>
      <w:r>
        <w:rPr>
          <w:rFonts w:ascii="Times New Roman" w:hAnsi="Times New Roman"/>
          <w:b/>
          <w:color w:val="000000"/>
          <w:sz w:val="28"/>
        </w:rPr>
        <w:t>INSTITUTIONAL TRAINING / LAB CERTIFICATE</w:t>
      </w:r>
    </w:p>
    <w:p>
      <w:pPr>
        <w:spacing w:after="200"/>
        <w:jc w:val="center"/>
      </w:pPr>
      <w:r>
        <w:rPr>
          <w:rFonts w:ascii="Times New Roman" w:hAnsi="Times New Roman"/>
          <w:b/>
          <w:i w:val="0"/>
          <w:sz w:val="28"/>
        </w:rPr>
        <w:t>DR. VIRENDRA SWARUP INSTITUTE OF PROFESSIONAL STUDIES</w:t>
      </w:r>
    </w:p>
    <w:p>
      <w:pPr>
        <w:spacing w:after="200"/>
        <w:jc w:val="center"/>
      </w:pPr>
      <w:r>
        <w:rPr>
          <w:rFonts w:ascii="Times New Roman" w:hAnsi="Times New Roman"/>
          <w:b/>
          <w:i w:val="0"/>
          <w:sz w:val="24"/>
        </w:rPr>
        <w:t>Department of Computer Applications</w:t>
      </w:r>
    </w:p>
    <w:p>
      <w:pPr>
        <w:spacing w:after="200"/>
        <w:jc w:val="center"/>
      </w:pPr>
      <w:r>
        <w:rPr>
          <w:rFonts w:ascii="Times New Roman" w:hAnsi="Times New Roman"/>
          <w:b w:val="0"/>
          <w:i w:val="0"/>
          <w:sz w:val="22"/>
        </w:rPr>
        <w:t>Nawabganj, Kanpur — 208002, Uttar Pradesh</w:t>
      </w:r>
    </w:p>
    <w:p/>
    <w:p>
      <w:pPr>
        <w:spacing w:after="200"/>
        <w:jc w:val="center"/>
      </w:pPr>
      <w:r>
        <w:rPr>
          <w:rFonts w:ascii="Times New Roman" w:hAnsi="Times New Roman"/>
          <w:b/>
          <w:i w:val="0"/>
          <w:sz w:val="32"/>
        </w:rPr>
        <w:t>CERTIFICATE</w:t>
      </w:r>
    </w:p>
    <w:p/>
    <w:p>
      <w:pPr>
        <w:spacing w:after="120" w:lineRule="auto" w:line="360"/>
        <w:jc w:val="both"/>
      </w:pPr>
      <w:r>
        <w:rPr>
          <w:rFonts w:ascii="Times New Roman" w:hAnsi="Times New Roman"/>
          <w:b w:val="0"/>
          <w:i w:val="0"/>
          <w:color w:val="000000"/>
          <w:sz w:val="24"/>
        </w:rPr>
        <w:t>This is to certify that the Minor Project titled "HAAZIR: A Hybrid Academic ERP with Custom-Trained YOLO Vision Engine for Physical Register Digitization and Conversational Database Analytics" has been carried out by the student(s) of BCA 5th Semester under the supervision and guidance of Mr. Shailendra Dixit, Mr. Deepesh Yadav, and Ms. Archita Dubey, Faculty Members of the Department of Computer Applications, DR. VSIPS, Kanpur, during the academic session 2025–2026.</w:t>
      </w:r>
    </w:p>
    <w:p>
      <w:pPr>
        <w:spacing w:after="120" w:lineRule="auto" w:line="360"/>
        <w:jc w:val="both"/>
      </w:pPr>
      <w:r>
        <w:rPr>
          <w:rFonts w:ascii="Times New Roman" w:hAnsi="Times New Roman"/>
          <w:b w:val="0"/>
          <w:i w:val="0"/>
          <w:color w:val="000000"/>
          <w:sz w:val="24"/>
        </w:rPr>
        <w:t>The work presented in this synopsis is original, bonafide, and has not been submitted elsewhere for the award of any degree, diploma, or certificate. The project is found to be complete in all respects and adheres to the academic standards prescribed by Dr. A.P.J. Abdul Kalam Technical University, Lucknow, for BCA Minor Projects.</w:t>
      </w:r>
    </w:p>
    <w:p/>
    <w:p/>
    <w:tbl>
      <w:tblPr>
        <w:tblW w:type="auto" w:w="0"/>
        <w:jc w:val="center"/>
        <w:tblLook w:firstColumn="1" w:firstRow="1" w:lastColumn="0" w:lastRow="0" w:noHBand="0" w:noVBand="1" w:val="04A0"/>
      </w:tblPr>
      <w:tblGrid>
        <w:gridCol w:w="2890"/>
        <w:gridCol w:w="2890"/>
        <w:gridCol w:w="2890"/>
      </w:tblGrid>
      <w:tr>
        <w:tc>
          <w:tcPr>
            <w:tcW w:type="dxa" w:w="2890"/>
          </w:tcPr>
          <w:p>
            <w:r>
              <w:rPr>
                <w:sz w:val="20"/>
              </w:rPr>
            </w:r>
          </w:p>
        </w:tc>
        <w:tc>
          <w:tcPr>
            <w:tcW w:type="dxa" w:w="2890"/>
          </w:tcPr>
          <w:p>
            <w:r>
              <w:rPr>
                <w:sz w:val="20"/>
              </w:rPr>
            </w:r>
          </w:p>
        </w:tc>
        <w:tc>
          <w:tcPr>
            <w:tcW w:type="dxa" w:w="2890"/>
          </w:tcPr>
          <w:p>
            <w:r>
              <w:rPr>
                <w:sz w:val="20"/>
              </w:rPr>
            </w:r>
          </w:p>
        </w:tc>
      </w:tr>
      <w:tr>
        <w:tc>
          <w:tcPr>
            <w:tcW w:type="dxa" w:w="2890"/>
          </w:tcPr>
          <w:p>
            <w:pPr>
              <w:jc w:val="center"/>
            </w:pPr>
            <w:r>
              <w:rPr>
                <w:rFonts w:ascii="Times New Roman" w:hAnsi="Times New Roman"/>
                <w:b/>
                <w:sz w:val="20"/>
              </w:rPr>
              <w:t>Mr. Shailendra Dixit</w:t>
              <w:br/>
              <w:t>Faculty Supervisor</w:t>
              <w:br/>
              <w:t>Dept. of Computer Applications, DR. VSIPS</w:t>
            </w:r>
          </w:p>
        </w:tc>
        <w:tc>
          <w:tcPr>
            <w:tcW w:type="dxa" w:w="2890"/>
          </w:tcPr>
          <w:p>
            <w:pPr>
              <w:jc w:val="center"/>
            </w:pPr>
            <w:r>
              <w:rPr>
                <w:rFonts w:ascii="Times New Roman" w:hAnsi="Times New Roman"/>
                <w:b/>
                <w:sz w:val="20"/>
              </w:rPr>
              <w:t>Mr. Deepesh Yadav</w:t>
              <w:br/>
              <w:t>Faculty Supervisor</w:t>
              <w:br/>
              <w:t>Dept. of Computer Applications, DR. VSIPS</w:t>
            </w:r>
          </w:p>
        </w:tc>
        <w:tc>
          <w:tcPr>
            <w:tcW w:type="dxa" w:w="2890"/>
          </w:tcPr>
          <w:p>
            <w:pPr>
              <w:jc w:val="center"/>
            </w:pPr>
            <w:r>
              <w:rPr>
                <w:rFonts w:ascii="Times New Roman" w:hAnsi="Times New Roman"/>
                <w:b/>
                <w:sz w:val="20"/>
              </w:rPr>
              <w:t>Ms. Archita Dubey</w:t>
              <w:br/>
              <w:t>Faculty Supervisor</w:t>
              <w:br/>
              <w:t>Dept. of Computer Applications, DR. VSIPS</w:t>
            </w:r>
          </w:p>
        </w:tc>
      </w:tr>
    </w:tbl>
    <w:p/>
    <w:p/>
    <w:p>
      <w:pPr>
        <w:spacing w:after="120" w:lineRule="auto" w:line="360"/>
        <w:jc w:val="center"/>
      </w:pPr>
      <w:r>
        <w:rPr>
          <w:rFonts w:ascii="Times New Roman" w:hAnsi="Times New Roman"/>
          <w:b w:val="0"/>
          <w:i w:val="0"/>
          <w:color w:val="000000"/>
          <w:sz w:val="24"/>
        </w:rPr>
        <w:t>Head of Department</w:t>
        <w:br/>
        <w:t>Department of Computer Applications</w:t>
        <w:br/>
        <w:t>DR. VSIPS, Kanpur</w:t>
      </w:r>
    </w:p>
    <w:p>
      <w:r>
        <w:br w:type="page"/>
      </w:r>
    </w:p>
    <w:p>
      <w:pPr>
        <w:spacing w:after="240" w:before="120"/>
        <w:jc w:val="left"/>
      </w:pPr>
      <w:r>
        <w:rPr>
          <w:rFonts w:ascii="Times New Roman" w:hAnsi="Times New Roman"/>
          <w:b/>
          <w:color w:val="000000"/>
          <w:sz w:val="28"/>
        </w:rPr>
        <w:t>TABLE OF CONTENTS</w:t>
      </w:r>
    </w:p>
    <w:p>
      <w:pPr>
        <w:tabs>
          <w:tab w:pos="8669" w:val="right" w:leader="dot"/>
        </w:tabs>
        <w:spacing w:before="40" w:after="40" w:line="276" w:lineRule="auto"/>
      </w:pPr>
      <w:r>
        <w:rPr>
          <w:rFonts w:ascii="Times New Roman" w:hAnsi="Times New Roman"/>
          <w:b/>
          <w:sz w:val="22"/>
        </w:rPr>
        <w:t>1</w:t>
        <w:tab/>
        <w:t>Title / Cover Page</w:t>
      </w:r>
      <w:r>
        <w:rPr>
          <w:rFonts w:ascii="Times New Roman" w:hAnsi="Times New Roman"/>
          <w:sz w:val="22"/>
        </w:rPr>
        <w:tab/>
      </w:r>
      <w:r>
        <w:rPr>
          <w:rFonts w:ascii="Times New Roman" w:hAnsi="Times New Roman"/>
          <w:b/>
          <w:sz w:val="22"/>
        </w:rPr>
        <w:t>i</w:t>
      </w:r>
    </w:p>
    <w:p>
      <w:pPr>
        <w:tabs>
          <w:tab w:pos="8669" w:val="right" w:leader="dot"/>
        </w:tabs>
        <w:spacing w:before="40" w:after="40" w:line="276" w:lineRule="auto"/>
      </w:pPr>
      <w:r>
        <w:rPr>
          <w:rFonts w:ascii="Times New Roman" w:hAnsi="Times New Roman"/>
          <w:b/>
          <w:sz w:val="22"/>
        </w:rPr>
        <w:t>2</w:t>
        <w:tab/>
        <w:t>Acknowledgment</w:t>
      </w:r>
      <w:r>
        <w:rPr>
          <w:rFonts w:ascii="Times New Roman" w:hAnsi="Times New Roman"/>
          <w:sz w:val="22"/>
        </w:rPr>
        <w:tab/>
      </w:r>
      <w:r>
        <w:rPr>
          <w:rFonts w:ascii="Times New Roman" w:hAnsi="Times New Roman"/>
          <w:b/>
          <w:sz w:val="22"/>
        </w:rPr>
        <w:t>ii</w:t>
      </w:r>
    </w:p>
    <w:p>
      <w:pPr>
        <w:tabs>
          <w:tab w:pos="8669" w:val="right" w:leader="dot"/>
        </w:tabs>
        <w:spacing w:before="40" w:after="40" w:line="276" w:lineRule="auto"/>
      </w:pPr>
      <w:r>
        <w:rPr>
          <w:rFonts w:ascii="Times New Roman" w:hAnsi="Times New Roman"/>
          <w:b/>
          <w:sz w:val="22"/>
        </w:rPr>
        <w:t>3</w:t>
        <w:tab/>
        <w:t>Institutional Certificate</w:t>
      </w:r>
      <w:r>
        <w:rPr>
          <w:rFonts w:ascii="Times New Roman" w:hAnsi="Times New Roman"/>
          <w:sz w:val="22"/>
        </w:rPr>
        <w:tab/>
      </w:r>
      <w:r>
        <w:rPr>
          <w:rFonts w:ascii="Times New Roman" w:hAnsi="Times New Roman"/>
          <w:b/>
          <w:sz w:val="22"/>
        </w:rPr>
        <w:t>iii</w:t>
      </w:r>
    </w:p>
    <w:p>
      <w:pPr>
        <w:tabs>
          <w:tab w:pos="8669" w:val="right" w:leader="dot"/>
        </w:tabs>
        <w:spacing w:before="40" w:after="40" w:line="276" w:lineRule="auto"/>
      </w:pPr>
      <w:r>
        <w:rPr>
          <w:rFonts w:ascii="Times New Roman" w:hAnsi="Times New Roman"/>
          <w:b/>
          <w:sz w:val="22"/>
        </w:rPr>
        <w:t>4</w:t>
        <w:tab/>
        <w:t>Table of Contents / List of Figures / List of Tables</w:t>
      </w:r>
      <w:r>
        <w:rPr>
          <w:rFonts w:ascii="Times New Roman" w:hAnsi="Times New Roman"/>
          <w:sz w:val="22"/>
        </w:rPr>
        <w:tab/>
      </w:r>
      <w:r>
        <w:rPr>
          <w:rFonts w:ascii="Times New Roman" w:hAnsi="Times New Roman"/>
          <w:b/>
          <w:sz w:val="22"/>
        </w:rPr>
        <w:t>iv</w:t>
      </w:r>
    </w:p>
    <w:p>
      <w:pPr>
        <w:tabs>
          <w:tab w:pos="8669" w:val="right" w:leader="dot"/>
        </w:tabs>
        <w:spacing w:before="40" w:after="40" w:line="276" w:lineRule="auto"/>
      </w:pPr>
      <w:r>
        <w:rPr>
          <w:rFonts w:ascii="Times New Roman" w:hAnsi="Times New Roman"/>
          <w:b/>
          <w:sz w:val="22"/>
        </w:rPr>
        <w:t>5</w:t>
        <w:tab/>
        <w:t>Chapter 1: Abstract</w:t>
      </w:r>
      <w:r>
        <w:rPr>
          <w:rFonts w:ascii="Times New Roman" w:hAnsi="Times New Roman"/>
          <w:sz w:val="22"/>
        </w:rPr>
        <w:tab/>
      </w:r>
      <w:r>
        <w:rPr>
          <w:rFonts w:ascii="Times New Roman" w:hAnsi="Times New Roman"/>
          <w:b/>
          <w:sz w:val="22"/>
        </w:rPr>
        <w:t>1</w:t>
      </w:r>
    </w:p>
    <w:p>
      <w:pPr>
        <w:tabs>
          <w:tab w:pos="8669" w:val="right" w:leader="dot"/>
        </w:tabs>
        <w:spacing w:before="40" w:after="40" w:line="276" w:lineRule="auto"/>
      </w:pPr>
      <w:r>
        <w:rPr>
          <w:rFonts w:ascii="Times New Roman" w:hAnsi="Times New Roman"/>
          <w:b/>
          <w:sz w:val="22"/>
        </w:rPr>
        <w:t>6</w:t>
        <w:tab/>
        <w:t>Chapter 2: Introduction</w:t>
      </w:r>
      <w:r>
        <w:rPr>
          <w:rFonts w:ascii="Times New Roman" w:hAnsi="Times New Roman"/>
          <w:sz w:val="22"/>
        </w:rPr>
        <w:tab/>
      </w:r>
      <w:r>
        <w:rPr>
          <w:rFonts w:ascii="Times New Roman" w:hAnsi="Times New Roman"/>
          <w:b/>
          <w:sz w:val="22"/>
        </w:rPr>
        <w:t>3</w:t>
      </w:r>
    </w:p>
    <w:p>
      <w:pPr>
        <w:tabs>
          <w:tab w:pos="8669" w:val="right" w:leader="dot"/>
        </w:tabs>
        <w:spacing w:before="40" w:after="40" w:line="276" w:lineRule="auto"/>
        <w:ind w:left="432"/>
      </w:pPr>
      <w:r>
        <w:rPr>
          <w:rFonts w:ascii="Times New Roman" w:hAnsi="Times New Roman"/>
          <w:sz w:val="22"/>
        </w:rPr>
        <w:t>6.1</w:t>
        <w:tab/>
        <w:t>Problem Domain &amp; Indian Attendance Crisis</w:t>
      </w:r>
      <w:r>
        <w:rPr>
          <w:rFonts w:ascii="Times New Roman" w:hAnsi="Times New Roman"/>
          <w:sz w:val="22"/>
        </w:rPr>
        <w:tab/>
      </w:r>
      <w:r>
        <w:rPr>
          <w:rFonts w:ascii="Times New Roman" w:hAnsi="Times New Roman"/>
          <w:sz w:val="22"/>
        </w:rPr>
        <w:t>3</w:t>
      </w:r>
    </w:p>
    <w:p>
      <w:pPr>
        <w:tabs>
          <w:tab w:pos="8669" w:val="right" w:leader="dot"/>
        </w:tabs>
        <w:spacing w:before="40" w:after="40" w:line="276" w:lineRule="auto"/>
        <w:ind w:left="432"/>
      </w:pPr>
      <w:r>
        <w:rPr>
          <w:rFonts w:ascii="Times New Roman" w:hAnsi="Times New Roman"/>
          <w:sz w:val="22"/>
        </w:rPr>
        <w:t>6.2</w:t>
        <w:tab/>
        <w:t>About the HAAZIR Project</w:t>
      </w:r>
      <w:r>
        <w:rPr>
          <w:rFonts w:ascii="Times New Roman" w:hAnsi="Times New Roman"/>
          <w:sz w:val="22"/>
        </w:rPr>
        <w:tab/>
      </w:r>
      <w:r>
        <w:rPr>
          <w:rFonts w:ascii="Times New Roman" w:hAnsi="Times New Roman"/>
          <w:sz w:val="22"/>
        </w:rPr>
        <w:t>5</w:t>
      </w:r>
    </w:p>
    <w:p>
      <w:pPr>
        <w:tabs>
          <w:tab w:pos="8669" w:val="right" w:leader="dot"/>
        </w:tabs>
        <w:spacing w:before="40" w:after="40" w:line="276" w:lineRule="auto"/>
      </w:pPr>
      <w:r>
        <w:rPr>
          <w:rFonts w:ascii="Times New Roman" w:hAnsi="Times New Roman"/>
          <w:b/>
          <w:sz w:val="22"/>
        </w:rPr>
        <w:t>7</w:t>
        <w:tab/>
        <w:t>Chapter 3: Objectives &amp; Key Differentiating Features</w:t>
      </w:r>
      <w:r>
        <w:rPr>
          <w:rFonts w:ascii="Times New Roman" w:hAnsi="Times New Roman"/>
          <w:sz w:val="22"/>
        </w:rPr>
        <w:tab/>
      </w:r>
      <w:r>
        <w:rPr>
          <w:rFonts w:ascii="Times New Roman" w:hAnsi="Times New Roman"/>
          <w:b/>
          <w:sz w:val="22"/>
        </w:rPr>
        <w:t>7</w:t>
      </w:r>
    </w:p>
    <w:p>
      <w:pPr>
        <w:tabs>
          <w:tab w:pos="8669" w:val="right" w:leader="dot"/>
        </w:tabs>
        <w:spacing w:before="40" w:after="40" w:line="276" w:lineRule="auto"/>
      </w:pPr>
      <w:r>
        <w:rPr>
          <w:rFonts w:ascii="Times New Roman" w:hAnsi="Times New Roman"/>
          <w:b/>
          <w:sz w:val="22"/>
        </w:rPr>
        <w:t>8</w:t>
        <w:tab/>
        <w:t>Chapter 4: Project Category &amp; Beneficiary Analysis</w:t>
      </w:r>
      <w:r>
        <w:rPr>
          <w:rFonts w:ascii="Times New Roman" w:hAnsi="Times New Roman"/>
          <w:sz w:val="22"/>
        </w:rPr>
        <w:tab/>
      </w:r>
      <w:r>
        <w:rPr>
          <w:rFonts w:ascii="Times New Roman" w:hAnsi="Times New Roman"/>
          <w:b/>
          <w:sz w:val="22"/>
        </w:rPr>
        <w:t>10</w:t>
      </w:r>
    </w:p>
    <w:p>
      <w:pPr>
        <w:tabs>
          <w:tab w:pos="8669" w:val="right" w:leader="dot"/>
        </w:tabs>
        <w:spacing w:before="40" w:after="40" w:line="276" w:lineRule="auto"/>
      </w:pPr>
      <w:r>
        <w:rPr>
          <w:rFonts w:ascii="Times New Roman" w:hAnsi="Times New Roman"/>
          <w:b/>
          <w:sz w:val="22"/>
        </w:rPr>
        <w:t>9</w:t>
        <w:tab/>
        <w:t>Chapter 5: Feasibility Study</w:t>
      </w:r>
      <w:r>
        <w:rPr>
          <w:rFonts w:ascii="Times New Roman" w:hAnsi="Times New Roman"/>
          <w:sz w:val="22"/>
        </w:rPr>
        <w:tab/>
      </w:r>
      <w:r>
        <w:rPr>
          <w:rFonts w:ascii="Times New Roman" w:hAnsi="Times New Roman"/>
          <w:b/>
          <w:sz w:val="22"/>
        </w:rPr>
        <w:t>12</w:t>
      </w:r>
    </w:p>
    <w:p>
      <w:pPr>
        <w:tabs>
          <w:tab w:pos="8669" w:val="right" w:leader="dot"/>
        </w:tabs>
        <w:spacing w:before="40" w:after="40" w:line="276" w:lineRule="auto"/>
      </w:pPr>
      <w:r>
        <w:rPr>
          <w:rFonts w:ascii="Times New Roman" w:hAnsi="Times New Roman"/>
          <w:b/>
          <w:sz w:val="22"/>
        </w:rPr>
        <w:t>10</w:t>
        <w:tab/>
        <w:t>Chapter 6: Methodology &amp; Planning Work</w:t>
      </w:r>
      <w:r>
        <w:rPr>
          <w:rFonts w:ascii="Times New Roman" w:hAnsi="Times New Roman"/>
          <w:sz w:val="22"/>
        </w:rPr>
        <w:tab/>
      </w:r>
      <w:r>
        <w:rPr>
          <w:rFonts w:ascii="Times New Roman" w:hAnsi="Times New Roman"/>
          <w:b/>
          <w:sz w:val="22"/>
        </w:rPr>
        <w:t>15</w:t>
      </w:r>
    </w:p>
    <w:p>
      <w:pPr>
        <w:tabs>
          <w:tab w:pos="8669" w:val="right" w:leader="dot"/>
        </w:tabs>
        <w:spacing w:before="40" w:after="40" w:line="276" w:lineRule="auto"/>
      </w:pPr>
      <w:r>
        <w:rPr>
          <w:rFonts w:ascii="Times New Roman" w:hAnsi="Times New Roman"/>
          <w:b/>
          <w:sz w:val="22"/>
        </w:rPr>
        <w:t>11</w:t>
        <w:tab/>
        <w:t>Chapter 7: Tools &amp; Technologies Used</w:t>
      </w:r>
      <w:r>
        <w:rPr>
          <w:rFonts w:ascii="Times New Roman" w:hAnsi="Times New Roman"/>
          <w:sz w:val="22"/>
        </w:rPr>
        <w:tab/>
      </w:r>
      <w:r>
        <w:rPr>
          <w:rFonts w:ascii="Times New Roman" w:hAnsi="Times New Roman"/>
          <w:b/>
          <w:sz w:val="22"/>
        </w:rPr>
        <w:t>19</w:t>
      </w:r>
    </w:p>
    <w:p>
      <w:pPr>
        <w:tabs>
          <w:tab w:pos="8669" w:val="right" w:leader="dot"/>
        </w:tabs>
        <w:spacing w:before="40" w:after="40" w:line="276" w:lineRule="auto"/>
      </w:pPr>
      <w:r>
        <w:rPr>
          <w:rFonts w:ascii="Times New Roman" w:hAnsi="Times New Roman"/>
          <w:b/>
          <w:sz w:val="22"/>
        </w:rPr>
        <w:t>12</w:t>
        <w:tab/>
        <w:t>Chapter 8: Platform Used (Hardware &amp; Software)</w:t>
      </w:r>
      <w:r>
        <w:rPr>
          <w:rFonts w:ascii="Times New Roman" w:hAnsi="Times New Roman"/>
          <w:sz w:val="22"/>
        </w:rPr>
        <w:tab/>
      </w:r>
      <w:r>
        <w:rPr>
          <w:rFonts w:ascii="Times New Roman" w:hAnsi="Times New Roman"/>
          <w:b/>
          <w:sz w:val="22"/>
        </w:rPr>
        <w:t>23</w:t>
      </w:r>
    </w:p>
    <w:p>
      <w:pPr>
        <w:tabs>
          <w:tab w:pos="8669" w:val="right" w:leader="dot"/>
        </w:tabs>
        <w:spacing w:before="40" w:after="40" w:line="276" w:lineRule="auto"/>
      </w:pPr>
      <w:r>
        <w:rPr>
          <w:rFonts w:ascii="Times New Roman" w:hAnsi="Times New Roman"/>
          <w:b/>
          <w:sz w:val="22"/>
        </w:rPr>
        <w:t>13</w:t>
        <w:tab/>
        <w:t>Chapter 9: Comprehensive Module Description</w:t>
      </w:r>
      <w:r>
        <w:rPr>
          <w:rFonts w:ascii="Times New Roman" w:hAnsi="Times New Roman"/>
          <w:sz w:val="22"/>
        </w:rPr>
        <w:tab/>
      </w:r>
      <w:r>
        <w:rPr>
          <w:rFonts w:ascii="Times New Roman" w:hAnsi="Times New Roman"/>
          <w:b/>
          <w:sz w:val="22"/>
        </w:rPr>
        <w:t>25</w:t>
      </w:r>
    </w:p>
    <w:p>
      <w:pPr>
        <w:tabs>
          <w:tab w:pos="8669" w:val="right" w:leader="dot"/>
        </w:tabs>
        <w:spacing w:before="40" w:after="40" w:line="276" w:lineRule="auto"/>
        <w:ind w:left="432"/>
      </w:pPr>
      <w:r>
        <w:rPr>
          <w:rFonts w:ascii="Times New Roman" w:hAnsi="Times New Roman"/>
          <w:sz w:val="22"/>
        </w:rPr>
        <w:t>13.1</w:t>
        <w:tab/>
        <w:t>Module 1.0: Core Infrastructure &amp; Multi-Tenant Config Engine</w:t>
      </w:r>
      <w:r>
        <w:rPr>
          <w:rFonts w:ascii="Times New Roman" w:hAnsi="Times New Roman"/>
          <w:sz w:val="22"/>
        </w:rPr>
        <w:tab/>
      </w:r>
      <w:r>
        <w:rPr>
          <w:rFonts w:ascii="Times New Roman" w:hAnsi="Times New Roman"/>
          <w:sz w:val="22"/>
        </w:rPr>
        <w:t>25</w:t>
      </w:r>
    </w:p>
    <w:p>
      <w:pPr>
        <w:tabs>
          <w:tab w:pos="8669" w:val="right" w:leader="dot"/>
        </w:tabs>
        <w:spacing w:before="40" w:after="40" w:line="276" w:lineRule="auto"/>
        <w:ind w:left="432"/>
      </w:pPr>
      <w:r>
        <w:rPr>
          <w:rFonts w:ascii="Times New Roman" w:hAnsi="Times New Roman"/>
          <w:sz w:val="22"/>
        </w:rPr>
        <w:t>13.2</w:t>
        <w:tab/>
        <w:t>Module 2.0: Identity, Access &amp; Role-Based Security</w:t>
      </w:r>
      <w:r>
        <w:rPr>
          <w:rFonts w:ascii="Times New Roman" w:hAnsi="Times New Roman"/>
          <w:sz w:val="22"/>
        </w:rPr>
        <w:tab/>
      </w:r>
      <w:r>
        <w:rPr>
          <w:rFonts w:ascii="Times New Roman" w:hAnsi="Times New Roman"/>
          <w:sz w:val="22"/>
        </w:rPr>
        <w:t>26</w:t>
      </w:r>
    </w:p>
    <w:p>
      <w:pPr>
        <w:tabs>
          <w:tab w:pos="8669" w:val="right" w:leader="dot"/>
        </w:tabs>
        <w:spacing w:before="40" w:after="40" w:line="276" w:lineRule="auto"/>
        <w:ind w:left="432"/>
      </w:pPr>
      <w:r>
        <w:rPr>
          <w:rFonts w:ascii="Times New Roman" w:hAnsi="Times New Roman"/>
          <w:sz w:val="22"/>
        </w:rPr>
        <w:t>13.3</w:t>
        <w:tab/>
        <w:t>Module 3.0: High-Speed Synthetic Data Engine</w:t>
      </w:r>
      <w:r>
        <w:rPr>
          <w:rFonts w:ascii="Times New Roman" w:hAnsi="Times New Roman"/>
          <w:sz w:val="22"/>
        </w:rPr>
        <w:tab/>
      </w:r>
      <w:r>
        <w:rPr>
          <w:rFonts w:ascii="Times New Roman" w:hAnsi="Times New Roman"/>
          <w:sz w:val="22"/>
        </w:rPr>
        <w:t>27</w:t>
      </w:r>
    </w:p>
    <w:p>
      <w:pPr>
        <w:tabs>
          <w:tab w:pos="8669" w:val="right" w:leader="dot"/>
        </w:tabs>
        <w:spacing w:before="40" w:after="40" w:line="276" w:lineRule="auto"/>
        <w:ind w:left="432"/>
      </w:pPr>
      <w:r>
        <w:rPr>
          <w:rFonts w:ascii="Times New Roman" w:hAnsi="Times New Roman"/>
          <w:sz w:val="22"/>
        </w:rPr>
        <w:t>13.4</w:t>
        <w:tab/>
        <w:t>Module 4.0: Student &amp; Academic Management Module</w:t>
      </w:r>
      <w:r>
        <w:rPr>
          <w:rFonts w:ascii="Times New Roman" w:hAnsi="Times New Roman"/>
          <w:sz w:val="22"/>
        </w:rPr>
        <w:tab/>
      </w:r>
      <w:r>
        <w:rPr>
          <w:rFonts w:ascii="Times New Roman" w:hAnsi="Times New Roman"/>
          <w:sz w:val="22"/>
        </w:rPr>
        <w:t>27</w:t>
      </w:r>
    </w:p>
    <w:p>
      <w:pPr>
        <w:tabs>
          <w:tab w:pos="8669" w:val="right" w:leader="dot"/>
        </w:tabs>
        <w:spacing w:before="40" w:after="40" w:line="276" w:lineRule="auto"/>
        <w:ind w:left="432"/>
      </w:pPr>
      <w:r>
        <w:rPr>
          <w:rFonts w:ascii="Times New Roman" w:hAnsi="Times New Roman"/>
          <w:sz w:val="22"/>
        </w:rPr>
        <w:t>13.5</w:t>
        <w:tab/>
        <w:t>Module 5.0: YOLO Vision &amp; Register Digitization Engine (FLAGSHIP)</w:t>
      </w:r>
      <w:r>
        <w:rPr>
          <w:rFonts w:ascii="Times New Roman" w:hAnsi="Times New Roman"/>
          <w:sz w:val="22"/>
        </w:rPr>
        <w:tab/>
      </w:r>
      <w:r>
        <w:rPr>
          <w:rFonts w:ascii="Times New Roman" w:hAnsi="Times New Roman"/>
          <w:sz w:val="22"/>
        </w:rPr>
        <w:t>28</w:t>
      </w:r>
    </w:p>
    <w:p>
      <w:pPr>
        <w:tabs>
          <w:tab w:pos="8669" w:val="right" w:leader="dot"/>
        </w:tabs>
        <w:spacing w:before="40" w:after="40" w:line="276" w:lineRule="auto"/>
        <w:ind w:left="432"/>
      </w:pPr>
      <w:r>
        <w:rPr>
          <w:rFonts w:ascii="Times New Roman" w:hAnsi="Times New Roman"/>
          <w:sz w:val="22"/>
        </w:rPr>
        <w:t>13.6</w:t>
        <w:tab/>
        <w:t>Module 6.0: Attendance Ingestion &amp; Audit Service</w:t>
      </w:r>
      <w:r>
        <w:rPr>
          <w:rFonts w:ascii="Times New Roman" w:hAnsi="Times New Roman"/>
          <w:sz w:val="22"/>
        </w:rPr>
        <w:tab/>
      </w:r>
      <w:r>
        <w:rPr>
          <w:rFonts w:ascii="Times New Roman" w:hAnsi="Times New Roman"/>
          <w:sz w:val="22"/>
        </w:rPr>
        <w:t>30</w:t>
      </w:r>
    </w:p>
    <w:p>
      <w:pPr>
        <w:tabs>
          <w:tab w:pos="8669" w:val="right" w:leader="dot"/>
        </w:tabs>
        <w:spacing w:before="40" w:after="40" w:line="276" w:lineRule="auto"/>
        <w:ind w:left="432"/>
      </w:pPr>
      <w:r>
        <w:rPr>
          <w:rFonts w:ascii="Times New Roman" w:hAnsi="Times New Roman"/>
          <w:sz w:val="22"/>
        </w:rPr>
        <w:t>13.7</w:t>
        <w:tab/>
        <w:t>Module 7.0: Fee Management &amp; Payment Ledger Module</w:t>
      </w:r>
      <w:r>
        <w:rPr>
          <w:rFonts w:ascii="Times New Roman" w:hAnsi="Times New Roman"/>
          <w:sz w:val="22"/>
        </w:rPr>
        <w:tab/>
      </w:r>
      <w:r>
        <w:rPr>
          <w:rFonts w:ascii="Times New Roman" w:hAnsi="Times New Roman"/>
          <w:sz w:val="22"/>
        </w:rPr>
        <w:t>30</w:t>
      </w:r>
    </w:p>
    <w:p>
      <w:pPr>
        <w:tabs>
          <w:tab w:pos="8669" w:val="right" w:leader="dot"/>
        </w:tabs>
        <w:spacing w:before="40" w:after="40" w:line="276" w:lineRule="auto"/>
        <w:ind w:left="432"/>
      </w:pPr>
      <w:r>
        <w:rPr>
          <w:rFonts w:ascii="Times New Roman" w:hAnsi="Times New Roman"/>
          <w:sz w:val="22"/>
        </w:rPr>
        <w:t>13.8</w:t>
        <w:tab/>
        <w:t>Module 8.0: Parent Notification &amp; Communication Engine</w:t>
      </w:r>
      <w:r>
        <w:rPr>
          <w:rFonts w:ascii="Times New Roman" w:hAnsi="Times New Roman"/>
          <w:sz w:val="22"/>
        </w:rPr>
        <w:tab/>
      </w:r>
      <w:r>
        <w:rPr>
          <w:rFonts w:ascii="Times New Roman" w:hAnsi="Times New Roman"/>
          <w:sz w:val="22"/>
        </w:rPr>
        <w:t>31</w:t>
      </w:r>
    </w:p>
    <w:p>
      <w:pPr>
        <w:tabs>
          <w:tab w:pos="8669" w:val="right" w:leader="dot"/>
        </w:tabs>
        <w:spacing w:before="40" w:after="40" w:line="276" w:lineRule="auto"/>
        <w:ind w:left="432"/>
      </w:pPr>
      <w:r>
        <w:rPr>
          <w:rFonts w:ascii="Times New Roman" w:hAnsi="Times New Roman"/>
          <w:sz w:val="22"/>
        </w:rPr>
        <w:t>13.9</w:t>
        <w:tab/>
        <w:t>Module 9.0: Conversational Text-to-SQL Analytics Engine</w:t>
      </w:r>
      <w:r>
        <w:rPr>
          <w:rFonts w:ascii="Times New Roman" w:hAnsi="Times New Roman"/>
          <w:sz w:val="22"/>
        </w:rPr>
        <w:tab/>
      </w:r>
      <w:r>
        <w:rPr>
          <w:rFonts w:ascii="Times New Roman" w:hAnsi="Times New Roman"/>
          <w:sz w:val="22"/>
        </w:rPr>
        <w:t>31</w:t>
      </w:r>
    </w:p>
    <w:p>
      <w:pPr>
        <w:tabs>
          <w:tab w:pos="8669" w:val="right" w:leader="dot"/>
        </w:tabs>
        <w:spacing w:before="40" w:after="40" w:line="276" w:lineRule="auto"/>
        <w:ind w:left="432"/>
      </w:pPr>
      <w:r>
        <w:rPr>
          <w:rFonts w:ascii="Times New Roman" w:hAnsi="Times New Roman"/>
          <w:sz w:val="22"/>
        </w:rPr>
        <w:t>13.10</w:t>
        <w:tab/>
        <w:t>Module 10.0: Web Portal &amp; Mobile UI Interfaces</w:t>
      </w:r>
      <w:r>
        <w:rPr>
          <w:rFonts w:ascii="Times New Roman" w:hAnsi="Times New Roman"/>
          <w:sz w:val="22"/>
        </w:rPr>
        <w:tab/>
      </w:r>
      <w:r>
        <w:rPr>
          <w:rFonts w:ascii="Times New Roman" w:hAnsi="Times New Roman"/>
          <w:sz w:val="22"/>
        </w:rPr>
        <w:t>32</w:t>
      </w:r>
    </w:p>
    <w:p>
      <w:pPr>
        <w:tabs>
          <w:tab w:pos="8669" w:val="right" w:leader="dot"/>
        </w:tabs>
        <w:spacing w:before="40" w:after="40" w:line="276" w:lineRule="auto"/>
      </w:pPr>
      <w:r>
        <w:rPr>
          <w:rFonts w:ascii="Times New Roman" w:hAnsi="Times New Roman"/>
          <w:b/>
          <w:sz w:val="22"/>
        </w:rPr>
        <w:t>14</w:t>
        <w:tab/>
        <w:t>Chapter 10: System Design &amp; Flow Diagrams</w:t>
      </w:r>
      <w:r>
        <w:rPr>
          <w:rFonts w:ascii="Times New Roman" w:hAnsi="Times New Roman"/>
          <w:sz w:val="22"/>
        </w:rPr>
        <w:tab/>
      </w:r>
      <w:r>
        <w:rPr>
          <w:rFonts w:ascii="Times New Roman" w:hAnsi="Times New Roman"/>
          <w:b/>
          <w:sz w:val="22"/>
        </w:rPr>
        <w:t>33</w:t>
      </w:r>
    </w:p>
    <w:p>
      <w:pPr>
        <w:tabs>
          <w:tab w:pos="8669" w:val="right" w:leader="dot"/>
        </w:tabs>
        <w:spacing w:before="40" w:after="40" w:line="276" w:lineRule="auto"/>
      </w:pPr>
      <w:r>
        <w:rPr>
          <w:rFonts w:ascii="Times New Roman" w:hAnsi="Times New Roman"/>
          <w:b/>
          <w:sz w:val="22"/>
        </w:rPr>
        <w:t>15</w:t>
        <w:tab/>
        <w:t>Chapter 11: Data Tables — Complete Data Dictionary</w:t>
      </w:r>
      <w:r>
        <w:rPr>
          <w:rFonts w:ascii="Times New Roman" w:hAnsi="Times New Roman"/>
          <w:sz w:val="22"/>
        </w:rPr>
        <w:tab/>
      </w:r>
      <w:r>
        <w:rPr>
          <w:rFonts w:ascii="Times New Roman" w:hAnsi="Times New Roman"/>
          <w:b/>
          <w:sz w:val="22"/>
        </w:rPr>
        <w:t>38</w:t>
      </w:r>
    </w:p>
    <w:p>
      <w:pPr>
        <w:tabs>
          <w:tab w:pos="8669" w:val="right" w:leader="dot"/>
        </w:tabs>
        <w:spacing w:before="40" w:after="40" w:line="276" w:lineRule="auto"/>
      </w:pPr>
      <w:r>
        <w:rPr>
          <w:rFonts w:ascii="Times New Roman" w:hAnsi="Times New Roman"/>
          <w:b/>
          <w:sz w:val="22"/>
        </w:rPr>
        <w:t>16</w:t>
        <w:tab/>
        <w:t>Chapter 12: Future Scope</w:t>
      </w:r>
      <w:r>
        <w:rPr>
          <w:rFonts w:ascii="Times New Roman" w:hAnsi="Times New Roman"/>
          <w:sz w:val="22"/>
        </w:rPr>
        <w:tab/>
      </w:r>
      <w:r>
        <w:rPr>
          <w:rFonts w:ascii="Times New Roman" w:hAnsi="Times New Roman"/>
          <w:b/>
          <w:sz w:val="22"/>
        </w:rPr>
        <w:t>46</w:t>
      </w:r>
    </w:p>
    <w:p>
      <w:pPr>
        <w:tabs>
          <w:tab w:pos="8669" w:val="right" w:leader="dot"/>
        </w:tabs>
        <w:spacing w:before="40" w:after="40" w:line="276" w:lineRule="auto"/>
      </w:pPr>
      <w:r>
        <w:rPr>
          <w:rFonts w:ascii="Times New Roman" w:hAnsi="Times New Roman"/>
          <w:b/>
          <w:sz w:val="22"/>
        </w:rPr>
        <w:t>17</w:t>
        <w:tab/>
        <w:t>Chapter 13: Conclusion</w:t>
      </w:r>
      <w:r>
        <w:rPr>
          <w:rFonts w:ascii="Times New Roman" w:hAnsi="Times New Roman"/>
          <w:sz w:val="22"/>
        </w:rPr>
        <w:tab/>
      </w:r>
      <w:r>
        <w:rPr>
          <w:rFonts w:ascii="Times New Roman" w:hAnsi="Times New Roman"/>
          <w:b/>
          <w:sz w:val="22"/>
        </w:rPr>
        <w:t>48</w:t>
      </w:r>
    </w:p>
    <w:p>
      <w:pPr>
        <w:tabs>
          <w:tab w:pos="8669" w:val="right" w:leader="dot"/>
        </w:tabs>
        <w:spacing w:before="40" w:after="40" w:line="276" w:lineRule="auto"/>
      </w:pPr>
      <w:r>
        <w:rPr>
          <w:rFonts w:ascii="Times New Roman" w:hAnsi="Times New Roman"/>
          <w:b/>
          <w:sz w:val="22"/>
        </w:rPr>
        <w:t>18</w:t>
        <w:tab/>
        <w:t>Chapter 14: Bibliography / References</w:t>
      </w:r>
      <w:r>
        <w:rPr>
          <w:rFonts w:ascii="Times New Roman" w:hAnsi="Times New Roman"/>
          <w:sz w:val="22"/>
        </w:rPr>
        <w:tab/>
      </w:r>
      <w:r>
        <w:rPr>
          <w:rFonts w:ascii="Times New Roman" w:hAnsi="Times New Roman"/>
          <w:b/>
          <w:sz w:val="22"/>
        </w:rPr>
        <w:t>49</w:t>
      </w:r>
    </w:p>
    <w:p/>
    <w:p>
      <w:pPr>
        <w:spacing w:after="120" w:before="120"/>
        <w:jc w:val="left"/>
      </w:pPr>
      <w:r>
        <w:rPr>
          <w:rFonts w:ascii="Times New Roman" w:hAnsi="Times New Roman"/>
          <w:b/>
          <w:color w:val="000000"/>
          <w:sz w:val="24"/>
        </w:rPr>
        <w:t>List Of Figures</w:t>
      </w:r>
    </w:p>
    <w:p>
      <w:pPr>
        <w:tabs>
          <w:tab w:pos="8669" w:val="right" w:leader="dot"/>
        </w:tabs>
        <w:spacing w:before="40" w:after="40" w:line="276" w:lineRule="auto"/>
      </w:pPr>
      <w:r>
        <w:rPr>
          <w:rFonts w:ascii="Times New Roman" w:hAnsi="Times New Roman"/>
          <w:sz w:val="22"/>
        </w:rPr>
        <w:t>Fig. 1</w:t>
        <w:tab/>
        <w:t>YOLO Vision &amp; Register Digitization Pipeline Flowchart</w:t>
      </w:r>
      <w:r>
        <w:rPr>
          <w:rFonts w:ascii="Times New Roman" w:hAnsi="Times New Roman"/>
          <w:sz w:val="22"/>
        </w:rPr>
        <w:tab/>
      </w:r>
      <w:r>
        <w:rPr>
          <w:rFonts w:ascii="Times New Roman" w:hAnsi="Times New Roman"/>
          <w:sz w:val="22"/>
        </w:rPr>
        <w:t>34</w:t>
      </w:r>
    </w:p>
    <w:p>
      <w:pPr>
        <w:tabs>
          <w:tab w:pos="8669" w:val="right" w:leader="dot"/>
        </w:tabs>
        <w:spacing w:before="40" w:after="40" w:line="276" w:lineRule="auto"/>
      </w:pPr>
      <w:r>
        <w:rPr>
          <w:rFonts w:ascii="Times New Roman" w:hAnsi="Times New Roman"/>
          <w:sz w:val="22"/>
        </w:rPr>
        <w:t>Fig. 2</w:t>
        <w:tab/>
        <w:t>Context-Level (0-Level) Data Flow Diagram</w:t>
      </w:r>
      <w:r>
        <w:rPr>
          <w:rFonts w:ascii="Times New Roman" w:hAnsi="Times New Roman"/>
          <w:sz w:val="22"/>
        </w:rPr>
        <w:tab/>
      </w:r>
      <w:r>
        <w:rPr>
          <w:rFonts w:ascii="Times New Roman" w:hAnsi="Times New Roman"/>
          <w:sz w:val="22"/>
        </w:rPr>
        <w:t>35</w:t>
      </w:r>
    </w:p>
    <w:p>
      <w:pPr>
        <w:tabs>
          <w:tab w:pos="8669" w:val="right" w:leader="dot"/>
        </w:tabs>
        <w:spacing w:before="40" w:after="40" w:line="276" w:lineRule="auto"/>
      </w:pPr>
      <w:r>
        <w:rPr>
          <w:rFonts w:ascii="Times New Roman" w:hAnsi="Times New Roman"/>
          <w:sz w:val="22"/>
        </w:rPr>
        <w:t>Fig. 3</w:t>
        <w:tab/>
        <w:t>Level-1 Decomposed Data Flow Diagram</w:t>
      </w:r>
      <w:r>
        <w:rPr>
          <w:rFonts w:ascii="Times New Roman" w:hAnsi="Times New Roman"/>
          <w:sz w:val="22"/>
        </w:rPr>
        <w:tab/>
      </w:r>
      <w:r>
        <w:rPr>
          <w:rFonts w:ascii="Times New Roman" w:hAnsi="Times New Roman"/>
          <w:sz w:val="22"/>
        </w:rPr>
        <w:t>36</w:t>
      </w:r>
    </w:p>
    <w:p>
      <w:pPr>
        <w:tabs>
          <w:tab w:pos="8669" w:val="right" w:leader="dot"/>
        </w:tabs>
        <w:spacing w:before="40" w:after="40" w:line="276" w:lineRule="auto"/>
      </w:pPr>
      <w:r>
        <w:rPr>
          <w:rFonts w:ascii="Times New Roman" w:hAnsi="Times New Roman"/>
          <w:sz w:val="22"/>
        </w:rPr>
        <w:t>Fig. 4</w:t>
        <w:tab/>
        <w:t>Entity-Relationship (ER) Diagram — 3NF Schema</w:t>
      </w:r>
      <w:r>
        <w:rPr>
          <w:rFonts w:ascii="Times New Roman" w:hAnsi="Times New Roman"/>
          <w:sz w:val="22"/>
        </w:rPr>
        <w:tab/>
      </w:r>
      <w:r>
        <w:rPr>
          <w:rFonts w:ascii="Times New Roman" w:hAnsi="Times New Roman"/>
          <w:sz w:val="22"/>
        </w:rPr>
        <w:t>37</w:t>
      </w:r>
    </w:p>
    <w:p>
      <w:pPr>
        <w:tabs>
          <w:tab w:pos="8669" w:val="right" w:leader="dot"/>
        </w:tabs>
        <w:spacing w:before="40" w:after="40" w:line="276" w:lineRule="auto"/>
      </w:pPr>
      <w:r>
        <w:rPr>
          <w:rFonts w:ascii="Times New Roman" w:hAnsi="Times New Roman"/>
          <w:sz w:val="22"/>
        </w:rPr>
        <w:t>Fig. 5</w:t>
        <w:tab/>
        <w:t>System Architecture — Multi-Tier Hybrid Deployment</w:t>
      </w:r>
      <w:r>
        <w:rPr>
          <w:rFonts w:ascii="Times New Roman" w:hAnsi="Times New Roman"/>
          <w:sz w:val="22"/>
        </w:rPr>
        <w:tab/>
      </w:r>
      <w:r>
        <w:rPr>
          <w:rFonts w:ascii="Times New Roman" w:hAnsi="Times New Roman"/>
          <w:sz w:val="22"/>
        </w:rPr>
        <w:t>25</w:t>
      </w:r>
    </w:p>
    <w:p>
      <w:pPr>
        <w:tabs>
          <w:tab w:pos="8669" w:val="right" w:leader="dot"/>
        </w:tabs>
        <w:spacing w:before="40" w:after="40" w:line="276" w:lineRule="auto"/>
      </w:pPr>
      <w:r>
        <w:rPr>
          <w:rFonts w:ascii="Times New Roman" w:hAnsi="Times New Roman"/>
          <w:sz w:val="22"/>
        </w:rPr>
        <w:t>Fig. 6</w:t>
        <w:tab/>
        <w:t>RBAC Role Hierarchy Diagram</w:t>
      </w:r>
      <w:r>
        <w:rPr>
          <w:rFonts w:ascii="Times New Roman" w:hAnsi="Times New Roman"/>
          <w:sz w:val="22"/>
        </w:rPr>
        <w:tab/>
      </w:r>
      <w:r>
        <w:rPr>
          <w:rFonts w:ascii="Times New Roman" w:hAnsi="Times New Roman"/>
          <w:sz w:val="22"/>
        </w:rPr>
        <w:t>26</w:t>
      </w:r>
    </w:p>
    <w:p>
      <w:pPr>
        <w:tabs>
          <w:tab w:pos="8669" w:val="right" w:leader="dot"/>
        </w:tabs>
        <w:spacing w:before="40" w:after="40" w:line="276" w:lineRule="auto"/>
      </w:pPr>
      <w:r>
        <w:rPr>
          <w:rFonts w:ascii="Times New Roman" w:hAnsi="Times New Roman"/>
          <w:sz w:val="22"/>
        </w:rPr>
        <w:t>Fig. 7</w:t>
        <w:tab/>
        <w:t>Text-to-SQL AST Guardrails Processing Flow</w:t>
      </w:r>
      <w:r>
        <w:rPr>
          <w:rFonts w:ascii="Times New Roman" w:hAnsi="Times New Roman"/>
          <w:sz w:val="22"/>
        </w:rPr>
        <w:tab/>
      </w:r>
      <w:r>
        <w:rPr>
          <w:rFonts w:ascii="Times New Roman" w:hAnsi="Times New Roman"/>
          <w:sz w:val="22"/>
        </w:rPr>
        <w:t>32</w:t>
      </w:r>
    </w:p>
    <w:p/>
    <w:p>
      <w:pPr>
        <w:spacing w:after="120" w:before="120"/>
        <w:jc w:val="left"/>
      </w:pPr>
      <w:r>
        <w:rPr>
          <w:rFonts w:ascii="Times New Roman" w:hAnsi="Times New Roman"/>
          <w:b/>
          <w:color w:val="000000"/>
          <w:sz w:val="24"/>
        </w:rPr>
        <w:t>List Of Tables</w:t>
      </w:r>
    </w:p>
    <w:p>
      <w:pPr>
        <w:tabs>
          <w:tab w:pos="8669" w:val="right" w:leader="dot"/>
        </w:tabs>
        <w:spacing w:before="40" w:after="40" w:line="276" w:lineRule="auto"/>
      </w:pPr>
      <w:r>
        <w:rPr>
          <w:rFonts w:ascii="Times New Roman" w:hAnsi="Times New Roman"/>
          <w:sz w:val="22"/>
        </w:rPr>
        <w:t>Table 1</w:t>
        <w:tab/>
        <w:t>Comparative Analysis: HAAZIR vs. Commercial ERP Platforms</w:t>
      </w:r>
      <w:r>
        <w:rPr>
          <w:rFonts w:ascii="Times New Roman" w:hAnsi="Times New Roman"/>
          <w:sz w:val="22"/>
        </w:rPr>
        <w:tab/>
      </w:r>
      <w:r>
        <w:rPr>
          <w:rFonts w:ascii="Times New Roman" w:hAnsi="Times New Roman"/>
          <w:sz w:val="22"/>
        </w:rPr>
        <w:t>9</w:t>
      </w:r>
    </w:p>
    <w:p>
      <w:pPr>
        <w:tabs>
          <w:tab w:pos="8669" w:val="right" w:leader="dot"/>
        </w:tabs>
        <w:spacing w:before="40" w:after="40" w:line="276" w:lineRule="auto"/>
      </w:pPr>
      <w:r>
        <w:rPr>
          <w:rFonts w:ascii="Times New Roman" w:hAnsi="Times New Roman"/>
          <w:sz w:val="22"/>
        </w:rPr>
        <w:t>Table 2</w:t>
        <w:tab/>
        <w:t>Beneficiary Stakeholder Analysis Matrix</w:t>
      </w:r>
      <w:r>
        <w:rPr>
          <w:rFonts w:ascii="Times New Roman" w:hAnsi="Times New Roman"/>
          <w:sz w:val="22"/>
        </w:rPr>
        <w:tab/>
      </w:r>
      <w:r>
        <w:rPr>
          <w:rFonts w:ascii="Times New Roman" w:hAnsi="Times New Roman"/>
          <w:sz w:val="22"/>
        </w:rPr>
        <w:t>11</w:t>
      </w:r>
    </w:p>
    <w:p>
      <w:pPr>
        <w:tabs>
          <w:tab w:pos="8669" w:val="right" w:leader="dot"/>
        </w:tabs>
        <w:spacing w:before="40" w:after="40" w:line="276" w:lineRule="auto"/>
      </w:pPr>
      <w:r>
        <w:rPr>
          <w:rFonts w:ascii="Times New Roman" w:hAnsi="Times New Roman"/>
          <w:sz w:val="22"/>
        </w:rPr>
        <w:t>Table 3</w:t>
        <w:tab/>
        <w:t>Feasibility Assessment Summary</w:t>
      </w:r>
      <w:r>
        <w:rPr>
          <w:rFonts w:ascii="Times New Roman" w:hAnsi="Times New Roman"/>
          <w:sz w:val="22"/>
        </w:rPr>
        <w:tab/>
      </w:r>
      <w:r>
        <w:rPr>
          <w:rFonts w:ascii="Times New Roman" w:hAnsi="Times New Roman"/>
          <w:sz w:val="22"/>
        </w:rPr>
        <w:t>14</w:t>
      </w:r>
    </w:p>
    <w:p>
      <w:pPr>
        <w:tabs>
          <w:tab w:pos="8669" w:val="right" w:leader="dot"/>
        </w:tabs>
        <w:spacing w:before="40" w:after="40" w:line="276" w:lineRule="auto"/>
      </w:pPr>
      <w:r>
        <w:rPr>
          <w:rFonts w:ascii="Times New Roman" w:hAnsi="Times New Roman"/>
          <w:sz w:val="22"/>
        </w:rPr>
        <w:t>Table 4</w:t>
        <w:tab/>
        <w:t>Sprint-Wise Project Schedule (Gantt Summary)</w:t>
      </w:r>
      <w:r>
        <w:rPr>
          <w:rFonts w:ascii="Times New Roman" w:hAnsi="Times New Roman"/>
          <w:sz w:val="22"/>
        </w:rPr>
        <w:tab/>
      </w:r>
      <w:r>
        <w:rPr>
          <w:rFonts w:ascii="Times New Roman" w:hAnsi="Times New Roman"/>
          <w:sz w:val="22"/>
        </w:rPr>
        <w:t>18</w:t>
      </w:r>
    </w:p>
    <w:p>
      <w:pPr>
        <w:tabs>
          <w:tab w:pos="8669" w:val="right" w:leader="dot"/>
        </w:tabs>
        <w:spacing w:before="40" w:after="40" w:line="276" w:lineRule="auto"/>
      </w:pPr>
      <w:r>
        <w:rPr>
          <w:rFonts w:ascii="Times New Roman" w:hAnsi="Times New Roman"/>
          <w:sz w:val="22"/>
        </w:rPr>
        <w:t>Table 5</w:t>
        <w:tab/>
        <w:t>Tools &amp; Technologies Reference Matrix</w:t>
      </w:r>
      <w:r>
        <w:rPr>
          <w:rFonts w:ascii="Times New Roman" w:hAnsi="Times New Roman"/>
          <w:sz w:val="22"/>
        </w:rPr>
        <w:tab/>
      </w:r>
      <w:r>
        <w:rPr>
          <w:rFonts w:ascii="Times New Roman" w:hAnsi="Times New Roman"/>
          <w:sz w:val="22"/>
        </w:rPr>
        <w:t>22</w:t>
      </w:r>
    </w:p>
    <w:p>
      <w:pPr>
        <w:tabs>
          <w:tab w:pos="8669" w:val="right" w:leader="dot"/>
        </w:tabs>
        <w:spacing w:before="40" w:after="40" w:line="276" w:lineRule="auto"/>
      </w:pPr>
      <w:r>
        <w:rPr>
          <w:rFonts w:ascii="Times New Roman" w:hAnsi="Times New Roman"/>
          <w:sz w:val="22"/>
        </w:rPr>
        <w:t>Table 6</w:t>
        <w:tab/>
        <w:t>Hardware &amp; Software Platform Specifications</w:t>
      </w:r>
      <w:r>
        <w:rPr>
          <w:rFonts w:ascii="Times New Roman" w:hAnsi="Times New Roman"/>
          <w:sz w:val="22"/>
        </w:rPr>
        <w:tab/>
      </w:r>
      <w:r>
        <w:rPr>
          <w:rFonts w:ascii="Times New Roman" w:hAnsi="Times New Roman"/>
          <w:sz w:val="22"/>
        </w:rPr>
        <w:t>24</w:t>
      </w:r>
    </w:p>
    <w:p>
      <w:pPr>
        <w:tabs>
          <w:tab w:pos="8669" w:val="right" w:leader="dot"/>
        </w:tabs>
        <w:spacing w:before="40" w:after="40" w:line="276" w:lineRule="auto"/>
      </w:pPr>
      <w:r>
        <w:rPr>
          <w:rFonts w:ascii="Times New Roman" w:hAnsi="Times New Roman"/>
          <w:sz w:val="22"/>
        </w:rPr>
        <w:t>Table 7</w:t>
        <w:tab/>
        <w:t>Data Dictionary — users Table</w:t>
      </w:r>
      <w:r>
        <w:rPr>
          <w:rFonts w:ascii="Times New Roman" w:hAnsi="Times New Roman"/>
          <w:sz w:val="22"/>
        </w:rPr>
        <w:tab/>
      </w:r>
      <w:r>
        <w:rPr>
          <w:rFonts w:ascii="Times New Roman" w:hAnsi="Times New Roman"/>
          <w:sz w:val="22"/>
        </w:rPr>
        <w:t>38</w:t>
      </w:r>
    </w:p>
    <w:p>
      <w:pPr>
        <w:tabs>
          <w:tab w:pos="8669" w:val="right" w:leader="dot"/>
        </w:tabs>
        <w:spacing w:before="40" w:after="40" w:line="276" w:lineRule="auto"/>
      </w:pPr>
      <w:r>
        <w:rPr>
          <w:rFonts w:ascii="Times New Roman" w:hAnsi="Times New Roman"/>
          <w:sz w:val="22"/>
        </w:rPr>
        <w:t>Table 8</w:t>
        <w:tab/>
        <w:t>Data Dictionary — class_sections Table</w:t>
      </w:r>
      <w:r>
        <w:rPr>
          <w:rFonts w:ascii="Times New Roman" w:hAnsi="Times New Roman"/>
          <w:sz w:val="22"/>
        </w:rPr>
        <w:tab/>
      </w:r>
      <w:r>
        <w:rPr>
          <w:rFonts w:ascii="Times New Roman" w:hAnsi="Times New Roman"/>
          <w:sz w:val="22"/>
        </w:rPr>
        <w:t>39</w:t>
      </w:r>
    </w:p>
    <w:p>
      <w:pPr>
        <w:tabs>
          <w:tab w:pos="8669" w:val="right" w:leader="dot"/>
        </w:tabs>
        <w:spacing w:before="40" w:after="40" w:line="276" w:lineRule="auto"/>
      </w:pPr>
      <w:r>
        <w:rPr>
          <w:rFonts w:ascii="Times New Roman" w:hAnsi="Times New Roman"/>
          <w:sz w:val="22"/>
        </w:rPr>
        <w:t>Table 9</w:t>
        <w:tab/>
        <w:t>Data Dictionary — students Table</w:t>
      </w:r>
      <w:r>
        <w:rPr>
          <w:rFonts w:ascii="Times New Roman" w:hAnsi="Times New Roman"/>
          <w:sz w:val="22"/>
        </w:rPr>
        <w:tab/>
      </w:r>
      <w:r>
        <w:rPr>
          <w:rFonts w:ascii="Times New Roman" w:hAnsi="Times New Roman"/>
          <w:sz w:val="22"/>
        </w:rPr>
        <w:t>40</w:t>
      </w:r>
    </w:p>
    <w:p>
      <w:pPr>
        <w:tabs>
          <w:tab w:pos="8669" w:val="right" w:leader="dot"/>
        </w:tabs>
        <w:spacing w:before="40" w:after="40" w:line="276" w:lineRule="auto"/>
      </w:pPr>
      <w:r>
        <w:rPr>
          <w:rFonts w:ascii="Times New Roman" w:hAnsi="Times New Roman"/>
          <w:sz w:val="22"/>
        </w:rPr>
        <w:t>Table 10</w:t>
        <w:tab/>
        <w:t>Data Dictionary — register_scans Table</w:t>
      </w:r>
      <w:r>
        <w:rPr>
          <w:rFonts w:ascii="Times New Roman" w:hAnsi="Times New Roman"/>
          <w:sz w:val="22"/>
        </w:rPr>
        <w:tab/>
      </w:r>
      <w:r>
        <w:rPr>
          <w:rFonts w:ascii="Times New Roman" w:hAnsi="Times New Roman"/>
          <w:sz w:val="22"/>
        </w:rPr>
        <w:t>41</w:t>
      </w:r>
    </w:p>
    <w:p>
      <w:pPr>
        <w:tabs>
          <w:tab w:pos="8669" w:val="right" w:leader="dot"/>
        </w:tabs>
        <w:spacing w:before="40" w:after="40" w:line="276" w:lineRule="auto"/>
      </w:pPr>
      <w:r>
        <w:rPr>
          <w:rFonts w:ascii="Times New Roman" w:hAnsi="Times New Roman"/>
          <w:sz w:val="22"/>
        </w:rPr>
        <w:t>Table 11</w:t>
        <w:tab/>
        <w:t>Data Dictionary — attendance_records Table</w:t>
      </w:r>
      <w:r>
        <w:rPr>
          <w:rFonts w:ascii="Times New Roman" w:hAnsi="Times New Roman"/>
          <w:sz w:val="22"/>
        </w:rPr>
        <w:tab/>
      </w:r>
      <w:r>
        <w:rPr>
          <w:rFonts w:ascii="Times New Roman" w:hAnsi="Times New Roman"/>
          <w:sz w:val="22"/>
        </w:rPr>
        <w:t>42</w:t>
      </w:r>
    </w:p>
    <w:p>
      <w:pPr>
        <w:tabs>
          <w:tab w:pos="8669" w:val="right" w:leader="dot"/>
        </w:tabs>
        <w:spacing w:before="40" w:after="40" w:line="276" w:lineRule="auto"/>
      </w:pPr>
      <w:r>
        <w:rPr>
          <w:rFonts w:ascii="Times New Roman" w:hAnsi="Times New Roman"/>
          <w:sz w:val="22"/>
        </w:rPr>
        <w:t>Table 12</w:t>
        <w:tab/>
        <w:t>Data Dictionary — fee_structures Table</w:t>
      </w:r>
      <w:r>
        <w:rPr>
          <w:rFonts w:ascii="Times New Roman" w:hAnsi="Times New Roman"/>
          <w:sz w:val="22"/>
        </w:rPr>
        <w:tab/>
      </w:r>
      <w:r>
        <w:rPr>
          <w:rFonts w:ascii="Times New Roman" w:hAnsi="Times New Roman"/>
          <w:sz w:val="22"/>
        </w:rPr>
        <w:t>43</w:t>
      </w:r>
    </w:p>
    <w:p>
      <w:pPr>
        <w:tabs>
          <w:tab w:pos="8669" w:val="right" w:leader="dot"/>
        </w:tabs>
        <w:spacing w:before="40" w:after="40" w:line="276" w:lineRule="auto"/>
      </w:pPr>
      <w:r>
        <w:rPr>
          <w:rFonts w:ascii="Times New Roman" w:hAnsi="Times New Roman"/>
          <w:sz w:val="22"/>
        </w:rPr>
        <w:t>Table 13</w:t>
        <w:tab/>
        <w:t>Data Dictionary — fee_invoices Table</w:t>
      </w:r>
      <w:r>
        <w:rPr>
          <w:rFonts w:ascii="Times New Roman" w:hAnsi="Times New Roman"/>
          <w:sz w:val="22"/>
        </w:rPr>
        <w:tab/>
      </w:r>
      <w:r>
        <w:rPr>
          <w:rFonts w:ascii="Times New Roman" w:hAnsi="Times New Roman"/>
          <w:sz w:val="22"/>
        </w:rPr>
        <w:t>43</w:t>
      </w:r>
    </w:p>
    <w:p>
      <w:pPr>
        <w:tabs>
          <w:tab w:pos="8669" w:val="right" w:leader="dot"/>
        </w:tabs>
        <w:spacing w:before="40" w:after="40" w:line="276" w:lineRule="auto"/>
      </w:pPr>
      <w:r>
        <w:rPr>
          <w:rFonts w:ascii="Times New Roman" w:hAnsi="Times New Roman"/>
          <w:sz w:val="22"/>
        </w:rPr>
        <w:t>Table 14</w:t>
        <w:tab/>
        <w:t>Data Dictionary — timetable_entries Table</w:t>
      </w:r>
      <w:r>
        <w:rPr>
          <w:rFonts w:ascii="Times New Roman" w:hAnsi="Times New Roman"/>
          <w:sz w:val="22"/>
        </w:rPr>
        <w:tab/>
      </w:r>
      <w:r>
        <w:rPr>
          <w:rFonts w:ascii="Times New Roman" w:hAnsi="Times New Roman"/>
          <w:sz w:val="22"/>
        </w:rPr>
        <w:t>44</w:t>
      </w:r>
    </w:p>
    <w:p>
      <w:pPr>
        <w:tabs>
          <w:tab w:pos="8669" w:val="right" w:leader="dot"/>
        </w:tabs>
        <w:spacing w:before="40" w:after="40" w:line="276" w:lineRule="auto"/>
      </w:pPr>
      <w:r>
        <w:rPr>
          <w:rFonts w:ascii="Times New Roman" w:hAnsi="Times New Roman"/>
          <w:sz w:val="22"/>
        </w:rPr>
        <w:t>Table 15</w:t>
        <w:tab/>
        <w:t>Data Dictionary — in_app_notifications Table</w:t>
      </w:r>
      <w:r>
        <w:rPr>
          <w:rFonts w:ascii="Times New Roman" w:hAnsi="Times New Roman"/>
          <w:sz w:val="22"/>
        </w:rPr>
        <w:tab/>
      </w:r>
      <w:r>
        <w:rPr>
          <w:rFonts w:ascii="Times New Roman" w:hAnsi="Times New Roman"/>
          <w:sz w:val="22"/>
        </w:rPr>
        <w:t>45</w:t>
      </w:r>
    </w:p>
    <w:p>
      <w:pPr>
        <w:sectPr>
          <w:headerReference w:type="default" r:id="rId18"/>
          <w:footerReference w:type="default" r:id="rId19"/>
          <w:pgSz w:w="11909" w:h="16834"/>
          <w:pgMar w:top="1440" w:right="1440" w:bottom="1440" w:left="1800" w:header="720" w:footer="720" w:gutter="0"/>
          <w:cols w:space="720"/>
          <w:docGrid w:linePitch="360"/>
          <w:pgNumType w:fmt="lowerRoman"/>
        </w:sectPr>
      </w:pPr>
    </w:p>
    <w:p>
      <w:pPr>
        <w:spacing w:after="240" w:before="120"/>
        <w:jc w:val="left"/>
      </w:pPr>
      <w:r>
        <w:rPr>
          <w:rFonts w:ascii="Times New Roman" w:hAnsi="Times New Roman"/>
          <w:b/>
          <w:color w:val="000000"/>
          <w:sz w:val="28"/>
        </w:rPr>
        <w:t>CHAPTER 1: ABSTRACT</w:t>
      </w:r>
    </w:p>
    <w:p>
      <w:pPr>
        <w:spacing w:after="120" w:lineRule="auto" w:line="360"/>
        <w:jc w:val="both"/>
      </w:pPr>
      <w:r>
        <w:rPr>
          <w:rFonts w:ascii="Times New Roman" w:hAnsi="Times New Roman"/>
          <w:b w:val="0"/>
          <w:i w:val="0"/>
          <w:color w:val="000000"/>
          <w:sz w:val="24"/>
        </w:rPr>
        <w:t>HAAZIR is a production-grade, hybrid Academic Enterprise Resource Planning (ERP) system purpose-built to address the chronic inefficiencies in student attendance management, fee collection, academic analytics, and institutional communication at scale in Indian educational institutions. The name HAAZIR (Hindi: हाज़िर, meaning 'present' or 'in attendance') reflects the system's primary operational mandate: the accurate, real-time, and verifiable tracking of student presence across academic sessions.</w:t>
      </w:r>
    </w:p>
    <w:p>
      <w:pPr>
        <w:spacing w:after="120" w:lineRule="auto" w:line="360"/>
        <w:jc w:val="both"/>
      </w:pPr>
      <w:r>
        <w:rPr>
          <w:rFonts w:ascii="Times New Roman" w:hAnsi="Times New Roman"/>
          <w:b w:val="0"/>
          <w:i w:val="0"/>
          <w:color w:val="000000"/>
          <w:sz w:val="24"/>
        </w:rPr>
        <w:t>The project's defining technical contribution is its custom-trained YOLO (You Only Look Once) computer vision pipeline integrated as a core attendance ingestion channel. Unlike existing digital attendance systems that mandate full adoption of touchscreen or biometric hardware — thereby replacing the familiar pen-and-paper register workflow — HAAZIR takes a fundamentally different approach: it digitizes the physical attendance register itself. A teacher or administrative staff member photographs the completed handwritten attendance register using any standard smartphone. HAAZIR's YOLO-based model, trained on a synthetic dataset of annotated register grids, then performs: (1) document boundary detection using OpenCV's four-point homographic perspective correction algorithm to produce a deskewed, front-facing image, (2) column-wise YOLO detection head inference to identify the column semantics (Student Roll, Name, P/A/L marks), (3) cell-level slicing to extract individual attendance mark cells, and (4) a character classification sub-model to parse handwritten marks — distinguishing ticks, crosses, 'P', 'A', and 'L' notations — achieving a target character-level mean Average Precision (mAP@0.5) of greater than 95 percent.</w:t>
      </w:r>
    </w:p>
    <w:p>
      <w:pPr>
        <w:spacing w:after="120" w:lineRule="auto" w:line="360"/>
        <w:jc w:val="both"/>
      </w:pPr>
      <w:r>
        <w:rPr>
          <w:rFonts w:ascii="Times New Roman" w:hAnsi="Times New Roman"/>
          <w:b w:val="0"/>
          <w:i w:val="0"/>
          <w:color w:val="000000"/>
          <w:sz w:val="24"/>
        </w:rPr>
        <w:t>Following inference, the system presents a Human-in-the-Loop (HITL) verification interface where the teacher reviews the auto-populated attendance grid, corrects any misclassifications within a projected five-second review window, and submits the batch. This hybrid approach preserves institutional behavioral inertia while delivering the operational benefits of digital records with zero additional hardware expenditure.</w:t>
      </w:r>
    </w:p>
    <w:p>
      <w:pPr>
        <w:spacing w:after="120" w:lineRule="auto" w:line="360"/>
        <w:jc w:val="both"/>
      </w:pPr>
      <w:r>
        <w:rPr>
          <w:rFonts w:ascii="Times New Roman" w:hAnsi="Times New Roman"/>
          <w:b w:val="0"/>
          <w:i w:val="0"/>
          <w:color w:val="000000"/>
          <w:sz w:val="24"/>
        </w:rPr>
        <w:t>Beyond the computer vision layer, HAAZIR is architected around a ten-module clean architecture backend implemented in Python 3.12 with FastAPI, providing RESTful API endpoints secured via JSON Web Token (JWT) authentication with Role-Based Access Control (RBAC). The relational data layer employs SQLAlchemy 2.0 as the Object Relational Mapper (ORM), Alembic for schema versioning and migration management, and supports both SQLite for development and PostgreSQL for production deployment. Multi-tenancy is implemented via row-level tenant isolation using a tenant_id discriminator column across all core tables, enabling multiple institutions to be served from a single deployment without data bleed between tenant boundaries.</w:t>
      </w:r>
    </w:p>
    <w:p>
      <w:pPr>
        <w:spacing w:after="120" w:lineRule="auto" w:line="360"/>
        <w:jc w:val="both"/>
      </w:pPr>
      <w:r>
        <w:rPr>
          <w:rFonts w:ascii="Times New Roman" w:hAnsi="Times New Roman"/>
          <w:b w:val="0"/>
          <w:i w:val="0"/>
          <w:color w:val="000000"/>
          <w:sz w:val="24"/>
        </w:rPr>
        <w:t>The system's Module 9.0 — the Conversational Text-to-SQL Analytics Engine — provides a natural language query interface over the institutional database. Administrative users and principal-level stakeholders can pose plain English (or Hinglish) queries such as 'List all students whose Term 1 tuition fee is overdue' or 'Who is the class teacher of Class 10-A and what is their timetable?' The engine employs a two-stage pipeline: first, an LLM (Groq Llama-3.1 8B Instruct or Google Gemini Flash, configurable) translates the natural language query into a Structured Query Language (SQL) statement informed by a rich schema context prompt containing table definitions, relationships, and few-shot query exemplars. Second, before execution, the generated SQL is parsed using the sqlglot Abstract Syntax Tree (AST) library to validate that the query: (a) accesses only whitelisted tables, (b) contains no Data Definition Language (DDL) or Data Manipulation Language (DML) mutating statements, and (c) exposes no PII fields beyond those permitted for the requesting role. Only after passing these guardrails is the SQL executed against a read-only database connection.</w:t>
      </w:r>
    </w:p>
    <w:p>
      <w:pPr>
        <w:spacing w:after="120" w:lineRule="auto" w:line="360"/>
        <w:jc w:val="both"/>
      </w:pPr>
      <w:r>
        <w:rPr>
          <w:rFonts w:ascii="Times New Roman" w:hAnsi="Times New Roman"/>
          <w:b w:val="0"/>
          <w:i w:val="0"/>
          <w:color w:val="000000"/>
          <w:sz w:val="24"/>
        </w:rPr>
        <w:t>The client layer is delivered through two distinct interface platforms: a React 19 Single Page Application (SPA) web dashboard built with Vite and Tailwind CSS v4 targeting administrative, principal, and teacher roles; and a React Native Expo mobile application targeting teachers, parents, and students on Android and iOS. The mobile application implements offline-first design principles via local AsyncStorage caching, ensuring attendance recording functionality persists through network interruptions common in schools with unreliable Wi-Fi infrastructure.</w:t>
      </w:r>
    </w:p>
    <w:p>
      <w:pPr>
        <w:spacing w:after="120" w:lineRule="auto" w:line="360"/>
        <w:jc w:val="both"/>
      </w:pPr>
      <w:r>
        <w:rPr>
          <w:rFonts w:ascii="Times New Roman" w:hAnsi="Times New Roman"/>
          <w:b w:val="0"/>
          <w:i w:val="0"/>
          <w:color w:val="000000"/>
          <w:sz w:val="24"/>
        </w:rPr>
        <w:t>Module 8.0 provides a multi-channel notification engine supporting both Firebase Cloud Messaging (FCM) push notifications and an in-application notification inbox. Notifications are strictly role-scoped and user-scoped at the database level: a parent receives only absence alerts and fee reminders pertaining to their specific child; a teacher receives only duty circulars, timetable updates, and attendance summaries; and an administrator receives system-wide operational digests.</w:t>
      </w:r>
    </w:p>
    <w:p>
      <w:pPr>
        <w:spacing w:after="120" w:lineRule="auto" w:line="360"/>
        <w:jc w:val="both"/>
      </w:pPr>
      <w:r>
        <w:rPr>
          <w:rFonts w:ascii="Times New Roman" w:hAnsi="Times New Roman"/>
          <w:b w:val="0"/>
          <w:i w:val="0"/>
          <w:color w:val="000000"/>
          <w:sz w:val="24"/>
        </w:rPr>
        <w:t>The project has been engineered across six development sprints following a dual methodology: Agile Scrum for web, mobile, and API development, and CRISP-DM (Cross-Industry Standard Process for Data Mining) for the YOLO model training lifecycle. The complete synthetic data seeding engine (Module 3.0) can generate fifty student profiles, 1,500 attendance records across thirty working days, one hundred sixty-four fee invoices, and ninety-six weekly timetable period entries in under 0.5 seconds using SQLAlchemy bulk insertion operations, enabling reproducible development and testing environments without any dependency on real institutional data. HAAZIR represents a technically comprehensive, deployable-grade academic management solution aligned with the digital transformation imperatives of the National Education Policy (NEP) 2020.</w:t>
      </w:r>
    </w:p>
    <w:p/>
    <w:p>
      <w:pPr>
        <w:spacing w:after="120" w:lineRule="auto" w:line="360"/>
        <w:jc w:val="both"/>
      </w:pPr>
      <w:r>
        <w:rPr>
          <w:rFonts w:ascii="Times New Roman" w:hAnsi="Times New Roman"/>
          <w:b w:val="0"/>
          <w:i/>
          <w:color w:val="000000"/>
          <w:sz w:val="24"/>
        </w:rPr>
        <w:t>Keywords: Academic ERP, YOLO Object Detection, Computer Vision, Text-to-SQL, FastAPI, React Native, Multi-Tenant Architecture, Attendance Management, EdTech, SQLAlchemy.</w:t>
      </w:r>
    </w:p>
    <w:p>
      <w:r>
        <w:br w:type="page"/>
      </w:r>
    </w:p>
    <w:p>
      <w:pPr>
        <w:spacing w:after="240" w:before="120"/>
        <w:jc w:val="left"/>
      </w:pPr>
      <w:r>
        <w:rPr>
          <w:rFonts w:ascii="Times New Roman" w:hAnsi="Times New Roman"/>
          <w:b/>
          <w:color w:val="000000"/>
          <w:sz w:val="28"/>
        </w:rPr>
        <w:t>CHAPTER 1: INTRODUCTION</w:t>
      </w:r>
    </w:p>
    <w:p>
      <w:pPr>
        <w:spacing w:after="120" w:before="120"/>
        <w:jc w:val="left"/>
      </w:pPr>
      <w:r>
        <w:rPr>
          <w:rFonts w:ascii="Times New Roman" w:hAnsi="Times New Roman"/>
          <w:b/>
          <w:color w:val="000000"/>
          <w:sz w:val="24"/>
        </w:rPr>
        <w:t>1.1  Problem Domain: The Indian Educational Attendance Crisis</w:t>
      </w:r>
    </w:p>
    <w:p>
      <w:pPr>
        <w:spacing w:after="120" w:lineRule="auto" w:line="360"/>
        <w:jc w:val="both"/>
      </w:pPr>
      <w:r>
        <w:rPr>
          <w:rFonts w:ascii="Times New Roman" w:hAnsi="Times New Roman"/>
          <w:b w:val="0"/>
          <w:i w:val="0"/>
          <w:color w:val="000000"/>
          <w:sz w:val="24"/>
        </w:rPr>
        <w:t>The management of student attendance in Indian educational institutions represents one of the most persistent, resource-intensive, and error-prone administrative challenges confronting the education sector at every level — from primary schools to undergraduate colleges. Despite the widespread availability of smartphones and internet connectivity, the overwhelming majority of Indian schools and colleges — estimated at over 1.5 million institutions as of the Ministry of Education's Unified District Information System for Education (UDISE+) 2024 data — continue to rely exclusively on handwritten paper-based attendance registers as their primary documentation method.</w:t>
      </w:r>
    </w:p>
    <w:p>
      <w:pPr>
        <w:spacing w:after="120" w:lineRule="auto" w:line="360"/>
        <w:jc w:val="both"/>
      </w:pPr>
      <w:r>
        <w:rPr>
          <w:rFonts w:ascii="Times New Roman" w:hAnsi="Times New Roman"/>
          <w:b w:val="0"/>
          <w:i w:val="0"/>
          <w:color w:val="000000"/>
          <w:sz w:val="24"/>
        </w:rPr>
        <w:t>This reliance on physical registers is not born of technophobia or institutional inertia alone; it has deep practical and cultural roots. Paper registers require no electrical power, no internet connectivity, no per-teacher device provisioning, and no software training. They are universally understood, legally recognized as official records, and function identically whether the school is in urban Kanpur or in a village in rural Uttar Pradesh with a two-hour daily power supply. The physical register is, in many respects, the most resilient attendance record medium available to Indian educational administrators.</w:t>
      </w:r>
    </w:p>
    <w:p>
      <w:pPr>
        <w:spacing w:after="120" w:lineRule="auto" w:line="360"/>
        <w:jc w:val="both"/>
      </w:pPr>
      <w:r>
        <w:rPr>
          <w:rFonts w:ascii="Times New Roman" w:hAnsi="Times New Roman"/>
          <w:b w:val="0"/>
          <w:i w:val="0"/>
          <w:color w:val="000000"/>
          <w:sz w:val="24"/>
        </w:rPr>
        <w:t>However, this resilience comes at a severe operational cost. The 'transcription tax' — the term we use to describe the process of manually copying attendance data from physical registers into any digital or aggregated reporting system — consumes an estimated thirty to forty-five minutes of teacher time per class section per day. For a school with twenty class sections, this represents up to fifteen person-hours of administrative effort daily — effort that displaces direct instructional time, counselling interactions, and lesson preparation. Across an academic year of two hundred twenty working days, this translates to approximately 3,300 person-hours of pure clerical effort per school, with no educational value added.</w:t>
      </w:r>
    </w:p>
    <w:p>
      <w:pPr>
        <w:spacing w:after="120" w:lineRule="auto" w:line="360"/>
        <w:jc w:val="both"/>
      </w:pPr>
      <w:r>
        <w:rPr>
          <w:rFonts w:ascii="Times New Roman" w:hAnsi="Times New Roman"/>
          <w:b w:val="0"/>
          <w:i w:val="0"/>
          <w:color w:val="000000"/>
          <w:sz w:val="24"/>
        </w:rPr>
        <w:t>Beyond the time cost, paper-register-only systems create critical information latency gaps. When a student is marked absent in a morning register, the information typically remains trapped in physical form until a clerk or data entry operator manually transcribes it — a process that may take between twenty-four and seventy-two hours in typical institutions. This delay is operationally catastrophic in the context of student safety: in cases of proxy attendance (where a student is physically absent but marked present), unauthorized departure, or chronic absenteeism approaching the seventy-five percent attendance threshold mandated by most affiliating universities, the delayed information prevents timely parental notification or administrative intervention.</w:t>
      </w:r>
    </w:p>
    <w:p>
      <w:pPr>
        <w:spacing w:after="120" w:lineRule="auto" w:line="360"/>
        <w:jc w:val="both"/>
      </w:pPr>
      <w:r>
        <w:rPr>
          <w:rFonts w:ascii="Times New Roman" w:hAnsi="Times New Roman"/>
          <w:b w:val="0"/>
          <w:i w:val="0"/>
          <w:color w:val="000000"/>
          <w:sz w:val="24"/>
        </w:rPr>
        <w:t>Studies in educational administration consistently demonstrate that early parental notification of student absence — specifically within the first two hours of the school day — is the single most effective non-curricular intervention for reducing unauthorized absenteeism. A 2021 study published in the Indian Journal of Educational Research found that institutions implementing same-day automated SMS notifications for student absence recorded a 34 percent reduction in chronic absenteeism within a single academic term. Yet the information pipeline required to deliver this result — accurate, real-time attendance data in digital form — remains unavailable to the majority of Indian institutions.</w:t>
      </w:r>
    </w:p>
    <w:p>
      <w:pPr>
        <w:spacing w:after="120" w:lineRule="auto" w:line="360"/>
        <w:jc w:val="both"/>
      </w:pPr>
      <w:r>
        <w:rPr>
          <w:rFonts w:ascii="Times New Roman" w:hAnsi="Times New Roman"/>
          <w:b w:val="0"/>
          <w:i w:val="0"/>
          <w:color w:val="000000"/>
          <w:sz w:val="24"/>
        </w:rPr>
        <w:t>Existing commercial EdTech platforms that attempt to address this problem typically offer one of two solutions: (a) Replacement apps that require teachers to take attendance entirely on a smartphone, discarding the physical register workflow and requiring 100% connectivity during attendance; or (b) Biometric hardware systems (fingerprint scanners, RFID card readers, or facial recognition turnstiles) that require significant capital expenditure, maintenance budgets, and infrastructure that are inaccessible to budget-constrained government and semi-private schools. Neither solution adequately addresses the institutional reality of the median Indian school.</w:t>
      </w:r>
    </w:p>
    <w:p>
      <w:pPr>
        <w:spacing w:after="120" w:lineRule="auto" w:line="360"/>
        <w:jc w:val="both"/>
      </w:pPr>
      <w:r>
        <w:rPr>
          <w:rFonts w:ascii="Times New Roman" w:hAnsi="Times New Roman"/>
          <w:b w:val="0"/>
          <w:i w:val="0"/>
          <w:color w:val="000000"/>
          <w:sz w:val="24"/>
        </w:rPr>
        <w:t>The problem, therefore, is precisely formulated as follows: How can a digital attendance management system deliver the operational benefits of real-time data, automated parent alerts, and intelligent analytics, while preserving the existing behavioral workflow of physical register-based attendance, requiring zero additional hardware beyond teacher-owned smartphones, and functioning reliably in intermittent-connectivity environments? This problem is the precise design mandate that the HAAZIR project was built to answer.</w:t>
      </w:r>
    </w:p>
    <w:p>
      <w:pPr>
        <w:spacing w:after="120" w:lineRule="auto" w:line="360"/>
        <w:jc w:val="both"/>
      </w:pPr>
      <w:r>
        <w:rPr>
          <w:rFonts w:ascii="Times New Roman" w:hAnsi="Times New Roman"/>
          <w:b w:val="0"/>
          <w:i w:val="0"/>
          <w:color w:val="000000"/>
          <w:sz w:val="24"/>
        </w:rPr>
        <w:t>Additionally, secondary operational problems compound the primary attendance challenge. Fee collection management in Indian schools is predominantly manual, with invoice generation, payment tracking, and defaulter identification conducted via physical registers or spreadsheets. Academic timetabling, teacher allotment records, and section management are similarly fragmented across paper-based and disconnected digital tools. Administrative decision-making relies on periodic static reports rather than real-time queried insights — a situation that makes early identification of academic risk factors (chronic absentees, fee defaulters, underperforming sections) unnecessarily difficult.</w:t>
      </w:r>
    </w:p>
    <w:p>
      <w:pPr>
        <w:spacing w:after="120" w:before="120"/>
        <w:jc w:val="left"/>
      </w:pPr>
      <w:r>
        <w:rPr>
          <w:rFonts w:ascii="Times New Roman" w:hAnsi="Times New Roman"/>
          <w:b/>
          <w:color w:val="000000"/>
          <w:sz w:val="24"/>
        </w:rPr>
        <w:t>1.2  About The Haazir Project: The Hybrid Philosophy</w:t>
      </w:r>
    </w:p>
    <w:p>
      <w:pPr>
        <w:spacing w:after="120" w:lineRule="auto" w:line="360"/>
        <w:jc w:val="both"/>
      </w:pPr>
      <w:r>
        <w:rPr>
          <w:rFonts w:ascii="Times New Roman" w:hAnsi="Times New Roman"/>
          <w:b w:val="0"/>
          <w:i w:val="0"/>
          <w:color w:val="000000"/>
          <w:sz w:val="24"/>
        </w:rPr>
        <w:t>HAAZIR is an acronym-aspirational name that also translates directly from Hindi as 'present' or 'in attendance' — the perfect lexical encapsulation of the system's core purpose. At its philosophical heart, HAAZIR embodies what we term the Hybrid Academic Management Philosophy: the conviction that technological solutions for institutional adoption must work with existing human behaviors rather than against them. Rather than mandating a wholesale replacement of the physical attendance register — a disruption that has caused implementation failures in numerous 'paperless school' initiatives across India — HAAZIR treats the physical register as a valid, high-fidelity input medium and deploys computer vision technology to bridge the gap between analog documentation and digital data.</w:t>
      </w:r>
    </w:p>
    <w:p>
      <w:pPr>
        <w:spacing w:after="120" w:lineRule="auto" w:line="360"/>
        <w:jc w:val="both"/>
      </w:pPr>
      <w:r>
        <w:rPr>
          <w:rFonts w:ascii="Times New Roman" w:hAnsi="Times New Roman"/>
          <w:b w:val="0"/>
          <w:i w:val="0"/>
          <w:color w:val="000000"/>
          <w:sz w:val="24"/>
        </w:rPr>
        <w:t>The project is engineered as a full-stack, production-grade distributed software system comprising three independently deployable but tightly integrated client surfaces — a FastAPI-powered Python backend, a React 19 web dashboard, and a React Native Expo mobile application — backed by a normalized relational database and optionally deployable to cloud infrastructure via Docker and PostgreSQL. The architecture follows Clean Architecture and Domain-Driven Design (DDD) principles as articulated by Robert C. Martin in 'Clean Architecture: A Craftsman's Guide to Software Structure and Design', with a vertical-slice modular structure ensuring each of the ten functional modules can be developed, tested, and maintained independently without coupling-induced side effects.</w:t>
      </w:r>
    </w:p>
    <w:p>
      <w:pPr>
        <w:spacing w:after="120" w:lineRule="auto" w:line="360"/>
        <w:jc w:val="both"/>
      </w:pPr>
      <w:r>
        <w:rPr>
          <w:rFonts w:ascii="Times New Roman" w:hAnsi="Times New Roman"/>
          <w:b w:val="0"/>
          <w:i w:val="0"/>
          <w:color w:val="000000"/>
          <w:sz w:val="24"/>
        </w:rPr>
        <w:t>The system serves five distinct user roles: Administrators (institutional-level full access), Principals (read-only strategic overview), Teachers (section-level attendance and timetable management), Parents (child-specific attendance and fee visibility), and Students (personal academic record access). Each role is assigned a JWT token at login containing the role designation and, for teachers, the list of class sections they are authorized to manage (assigned_sections claim). All database queries at the API layer enforce row-level tenant isolation via the tenant_id discriminator, and all role-sensitive endpoints enforce the minimum privilege principle using FastAPI's dependency injection security layer.</w:t>
      </w:r>
    </w:p>
    <w:p>
      <w:pPr>
        <w:spacing w:after="120" w:lineRule="auto" w:line="360"/>
        <w:jc w:val="both"/>
      </w:pPr>
      <w:r>
        <w:rPr>
          <w:rFonts w:ascii="Times New Roman" w:hAnsi="Times New Roman"/>
          <w:b w:val="0"/>
          <w:i w:val="0"/>
          <w:color w:val="000000"/>
          <w:sz w:val="24"/>
        </w:rPr>
        <w:t>The YOLO Vision Engine (Module 5.0) is the project's flagship technical contribution and primary academic differentiator. It implements a full computer vision processing pipeline using Ultralytics YOLOv8 (compatible with YOLOv11) as the object detection backbone, OpenCV for geometric preprocessing, and PyTorch as the underlying deep learning framework. The pipeline progresses from raw smartphone photograph through document boundary detection, perspective correction, column structure inference, individual cell extraction, character mark classification, and terminates in a structured attendance batch that is presented to the teacher via a five-second Human-in-the-Loop verification dialog — after which it is ingested into the database with a full audit trail including the original scan image path, inference confidence scores, and manual override counts.</w:t>
      </w:r>
    </w:p>
    <w:p>
      <w:pPr>
        <w:spacing w:after="120" w:lineRule="auto" w:line="360"/>
        <w:jc w:val="both"/>
      </w:pPr>
      <w:r>
        <w:rPr>
          <w:rFonts w:ascii="Times New Roman" w:hAnsi="Times New Roman"/>
          <w:b w:val="0"/>
          <w:i w:val="0"/>
          <w:color w:val="000000"/>
          <w:sz w:val="24"/>
        </w:rPr>
        <w:t>The Conversational Analytics Engine (Module 9.0) democratizes data access for non-technical administrators by providing a natural language interface to the institutional database. The system uses an LLM API call to convert plain English questions into SQL, applies sqlglot AST guardrails to ensure query safety, executes against a read-only database connection, and returns results formatted both as a natural language summary sentence and a structured data table displayed in the client interface. The engine includes a Developer Mode toggle that exposes the generated SQL and execution metrics for technical review and debugging.</w:t>
      </w:r>
    </w:p>
    <w:p>
      <w:pPr>
        <w:spacing w:after="120" w:lineRule="auto" w:line="360"/>
        <w:jc w:val="both"/>
      </w:pPr>
      <w:r>
        <w:rPr>
          <w:rFonts w:ascii="Times New Roman" w:hAnsi="Times New Roman"/>
          <w:b w:val="0"/>
          <w:i w:val="0"/>
          <w:color w:val="000000"/>
          <w:sz w:val="24"/>
        </w:rPr>
        <w:t>The notification engine (Module 8.0) implements role-scoped and user-scoped in-application notifications backed by an in_app_notifications table with recipient_user_id and target_role discriminators, ensuring strict message segregation: parents see only child-specific alerts; teachers see only duty circulars and operational updates; students see academic notices. Firebase Cloud Messaging (FCM) integration provides push notification capability for mobile users when the application is in background state.</w:t>
      </w:r>
    </w:p>
    <w:p>
      <w:pPr>
        <w:spacing w:after="120" w:lineRule="auto" w:line="360"/>
        <w:jc w:val="both"/>
      </w:pPr>
      <w:r>
        <w:rPr>
          <w:rFonts w:ascii="Times New Roman" w:hAnsi="Times New Roman"/>
          <w:b w:val="0"/>
          <w:i w:val="0"/>
          <w:color w:val="000000"/>
          <w:sz w:val="24"/>
        </w:rPr>
        <w:t>Architecturally, HAAZIR is designed to scale from a single-institution deployment on a modest virtual private server (VPS) with 2 CPU cores and 4 GB RAM — sufficient to serve a school of one thousand students with sub-two-hundred-millisecond API response times — to a horizontally scalable multi-institutional SaaS deployment behind a load balancer with PostgreSQL and Redis-backed session management. The row-level tenant isolation architecture ensures that transitioning from single-tenant to multi-tenant deployment requires no schema changes, only infrastructure scaling.</w:t>
      </w:r>
    </w:p>
    <w:p>
      <w:r>
        <w:br w:type="page"/>
      </w:r>
    </w:p>
    <w:p>
      <w:pPr>
        <w:spacing w:after="240" w:before="120"/>
        <w:jc w:val="left"/>
      </w:pPr>
      <w:r>
        <w:rPr>
          <w:rFonts w:ascii="Times New Roman" w:hAnsi="Times New Roman"/>
          <w:b/>
          <w:color w:val="000000"/>
          <w:sz w:val="28"/>
        </w:rPr>
        <w:t>CHAPTER 2: OBJECTIVES &amp; KEY DIFFERENTIATING FEATURES</w:t>
      </w:r>
    </w:p>
    <w:p>
      <w:pPr>
        <w:spacing w:after="120" w:before="120"/>
        <w:jc w:val="left"/>
      </w:pPr>
      <w:r>
        <w:rPr>
          <w:rFonts w:ascii="Times New Roman" w:hAnsi="Times New Roman"/>
          <w:b/>
          <w:color w:val="000000"/>
          <w:sz w:val="24"/>
        </w:rPr>
        <w:t>2.1  Primary Technical Objectives</w:t>
      </w:r>
    </w:p>
    <w:p>
      <w:pPr>
        <w:spacing w:after="120" w:lineRule="auto" w:line="360"/>
        <w:jc w:val="both"/>
      </w:pPr>
      <w:r>
        <w:rPr>
          <w:rFonts w:ascii="Times New Roman" w:hAnsi="Times New Roman"/>
          <w:b w:val="0"/>
          <w:i w:val="0"/>
          <w:color w:val="000000"/>
          <w:sz w:val="24"/>
        </w:rPr>
        <w:t>The HAAZIR project was developed against the following specific, measurable technical and operational objectives, each formulated to address a precisely identified gap in the current landscape of academic management software:</w:t>
      </w:r>
    </w:p>
    <w:p>
      <w:pPr>
        <w:pStyle w:val="ListBullet"/>
        <w:spacing w:after="60" w:lineRule="auto" w:line="360"/>
        <w:ind w:left="360"/>
      </w:pPr>
      <w:r>
        <w:rPr>
          <w:rFonts w:ascii="Times New Roman" w:hAnsi="Times New Roman"/>
          <w:color w:val="000000"/>
          <w:sz w:val="24"/>
        </w:rPr>
        <w:t>Obj. 1: YOLO Register Digitization Pipeline: Develop and deploy a custom-trained YOLO computer vision model achieving a character-level mean Average Precision (mAP@0.5) of greater than or equal to 95 percent on a synthetic annotated attendance register dataset, with end-to-end scan-to-database ingestion latency of under 2 seconds on a mid-range smartphone with cloud API inference.</w:t>
      </w:r>
    </w:p>
    <w:p>
      <w:pPr>
        <w:pStyle w:val="ListBullet"/>
        <w:spacing w:after="60" w:lineRule="auto" w:line="360"/>
        <w:ind w:left="360"/>
      </w:pPr>
      <w:r>
        <w:rPr>
          <w:rFonts w:ascii="Times New Roman" w:hAnsi="Times New Roman"/>
          <w:color w:val="000000"/>
          <w:sz w:val="24"/>
        </w:rPr>
        <w:t>Obj. 2: Multi-Role JWT Authentication: Implement a stateless, scalable JWT authentication system with granular role claims (ADMIN, PRINCIPAL, TEACHER, PARENT, STUDENT) and section-level authorization (assigned_sections claim), ensuring that no teacher can access or modify attendance records for sections not assigned to them.</w:t>
      </w:r>
    </w:p>
    <w:p>
      <w:pPr>
        <w:pStyle w:val="ListBullet"/>
        <w:spacing w:after="60" w:lineRule="auto" w:line="360"/>
        <w:ind w:left="360"/>
      </w:pPr>
      <w:r>
        <w:rPr>
          <w:rFonts w:ascii="Times New Roman" w:hAnsi="Times New Roman"/>
          <w:color w:val="000000"/>
          <w:sz w:val="24"/>
        </w:rPr>
        <w:t>Obj. 3: Zero-Trust Row-Level Multi-Tenancy: Enforce row-level data isolation across all nine core database tables via a tenant_id UUID discriminator column, ensuring complete data segregation between institutions in a shared deployment, with no data bleed possible even through SQL injection attempts due to parameterized query execution.</w:t>
      </w:r>
    </w:p>
    <w:p>
      <w:pPr>
        <w:pStyle w:val="ListBullet"/>
        <w:spacing w:after="60" w:lineRule="auto" w:line="360"/>
        <w:ind w:left="360"/>
      </w:pPr>
      <w:r>
        <w:rPr>
          <w:rFonts w:ascii="Times New Roman" w:hAnsi="Times New Roman"/>
          <w:color w:val="000000"/>
          <w:sz w:val="24"/>
        </w:rPr>
        <w:t>Obj. 4: Conversational SQL Analytics: Deliver a natural language query interface capable of answering at least 85 percent of standard academic administrative queries (attendance summaries, fee status, teacher timetables, student records) accurately, using LLM-generated SQL validated by sqlglot AST guardrails before execution.</w:t>
      </w:r>
    </w:p>
    <w:p>
      <w:pPr>
        <w:pStyle w:val="ListBullet"/>
        <w:spacing w:after="60" w:lineRule="auto" w:line="360"/>
        <w:ind w:left="360"/>
      </w:pPr>
      <w:r>
        <w:rPr>
          <w:rFonts w:ascii="Times New Roman" w:hAnsi="Times New Roman"/>
          <w:color w:val="000000"/>
          <w:sz w:val="24"/>
        </w:rPr>
        <w:t>Obj. 5: Role-Scoped Notification Delivery: Implement a notification delivery system where each user receives only notifications relevant to their role and identity, with database-enforced scoping via recipient_user_id and target_role discriminators, supporting both push (FCM) and in-app inbox delivery channels.</w:t>
      </w:r>
    </w:p>
    <w:p>
      <w:pPr>
        <w:pStyle w:val="ListBullet"/>
        <w:spacing w:after="60" w:lineRule="auto" w:line="360"/>
        <w:ind w:left="360"/>
      </w:pPr>
      <w:r>
        <w:rPr>
          <w:rFonts w:ascii="Times New Roman" w:hAnsi="Times New Roman"/>
          <w:color w:val="000000"/>
          <w:sz w:val="24"/>
        </w:rPr>
        <w:t>Obj. 6: Synthetic Data Seeding Engine: Build a deterministic, reproducible synthetic data generation engine capable of seeding a complete test database — including 50 students, 1,500 attendance records, 164 fee invoices, 96 timetable entries, and 16 role-scoped notifications — in under 0.5 seconds using SQLAlchemy bulk write operations.</w:t>
      </w:r>
    </w:p>
    <w:p>
      <w:pPr>
        <w:pStyle w:val="ListBullet"/>
        <w:spacing w:after="60" w:lineRule="auto" w:line="360"/>
        <w:ind w:left="360"/>
      </w:pPr>
      <w:r>
        <w:rPr>
          <w:rFonts w:ascii="Times New Roman" w:hAnsi="Times New Roman"/>
          <w:color w:val="000000"/>
          <w:sz w:val="24"/>
        </w:rPr>
        <w:t>Obj. 7: Offline-First Mobile Architecture: Implement an offline-first mobile application using AsyncStorage for local state persistence, ensuring that teachers can record attendance even when network connectivity is unavailable, with automatic synchronization to the server upon connectivity restoration.</w:t>
      </w:r>
    </w:p>
    <w:p>
      <w:pPr>
        <w:pStyle w:val="ListBullet"/>
        <w:spacing w:after="60" w:lineRule="auto" w:line="360"/>
        <w:ind w:left="360"/>
      </w:pPr>
      <w:r>
        <w:rPr>
          <w:rFonts w:ascii="Times New Roman" w:hAnsi="Times New Roman"/>
          <w:color w:val="000000"/>
          <w:sz w:val="24"/>
        </w:rPr>
        <w:t>Obj. 8: Sub-200ms API Response Times: Design the FastAPI backend to deliver 95th percentile API response times under 200 milliseconds for all non-scan endpoints on a single-core VPS deployment, achieved through efficient SQL query design, lazy-loading relationship strategies, and response model validation via Pydantic v2.</w:t>
      </w:r>
    </w:p>
    <w:p>
      <w:pPr>
        <w:spacing w:after="120" w:before="120"/>
        <w:jc w:val="left"/>
      </w:pPr>
      <w:r>
        <w:rPr>
          <w:rFonts w:ascii="Times New Roman" w:hAnsi="Times New Roman"/>
          <w:b/>
          <w:color w:val="000000"/>
          <w:sz w:val="24"/>
        </w:rPr>
        <w:t>2.2  Comparative Analysis: Haazir Vs. Commercial Erp Platforms</w:t>
      </w:r>
    </w:p>
    <w:p>
      <w:pPr>
        <w:spacing w:after="120" w:lineRule="auto" w:line="360"/>
        <w:jc w:val="both"/>
      </w:pPr>
      <w:r>
        <w:rPr>
          <w:rFonts w:ascii="Times New Roman" w:hAnsi="Times New Roman"/>
          <w:b w:val="0"/>
          <w:i w:val="0"/>
          <w:color w:val="000000"/>
          <w:sz w:val="24"/>
        </w:rPr>
        <w:t>The following comparative analysis situates HAAZIR against the two most widely deployed commercial EdTech ERP platforms in the Indian K-12 and higher secondary market — Teachmint (now rebranded as Teachmint LMS) and Fedena (a Ruby on Rails-based open-source school management system). The analysis demonstrates HAAZIR's differentiation across eight critical capability dimensions:</w:t>
      </w:r>
    </w:p>
    <w:tbl>
      <w:tblPr>
        <w:tblStyle w:val="TableGrid"/>
        <w:jc w:val="center"/>
        <w:tblLook w:firstColumn="1" w:firstRow="1" w:lastColumn="0" w:lastRow="0" w:noHBand="0" w:noVBand="1" w:val="04A0"/>
        <w:tblLayout w:type="fixed"/>
        <w:tblW w:w="8668" w:type="dxa"/>
      </w:tblPr>
      <w:tblGrid>
        <w:gridCol w:w="3140"/>
        <w:gridCol w:w="2261"/>
        <w:gridCol w:w="1633"/>
        <w:gridCol w:w="1633"/>
      </w:tblGrid>
      <w:tr>
        <w:tc>
          <w:tcPr>
            <w:tcW w:w="314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Feature / Capability</w:t>
            </w:r>
          </w:p>
        </w:tc>
        <w:tc>
          <w:tcPr>
            <w:tcW w:w="226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HAAZIR</w:t>
            </w:r>
          </w:p>
        </w:tc>
        <w:tc>
          <w:tcPr>
            <w:tcW w:w="163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Teachmint</w:t>
            </w:r>
          </w:p>
        </w:tc>
        <w:tc>
          <w:tcPr>
            <w:tcW w:w="163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Fedena</w:t>
            </w:r>
          </w:p>
        </w:tc>
      </w:tr>
      <w:tr>
        <w:tc>
          <w:tcPr>
            <w:tcW w:w="3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Physical Register Digitization (CV)</w:t>
            </w:r>
          </w:p>
        </w:tc>
        <w:tc>
          <w:tcPr>
            <w:tcW w:w="226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YOLOv8 Pipeline</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Not Available</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Not Available</w:t>
            </w:r>
          </w:p>
        </w:tc>
      </w:tr>
      <w:tr>
        <w:tc>
          <w:tcPr>
            <w:tcW w:w="3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Offline-First Mobile App</w:t>
            </w:r>
          </w:p>
        </w:tc>
        <w:tc>
          <w:tcPr>
            <w:tcW w:w="226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AsyncStorage Sync</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Partial (limited)</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Web-only</w:t>
            </w:r>
          </w:p>
        </w:tc>
      </w:tr>
      <w:tr>
        <w:tc>
          <w:tcPr>
            <w:tcW w:w="3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Natural Language SQL Analytics</w:t>
            </w:r>
          </w:p>
        </w:tc>
        <w:tc>
          <w:tcPr>
            <w:tcW w:w="226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LLM + AST Guardrails</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Not Available</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Not Available</w:t>
            </w:r>
          </w:p>
        </w:tc>
      </w:tr>
      <w:tr>
        <w:tc>
          <w:tcPr>
            <w:tcW w:w="3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Multi-Tenant Row-Level Isolation</w:t>
            </w:r>
          </w:p>
        </w:tc>
        <w:tc>
          <w:tcPr>
            <w:tcW w:w="226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tenant_id UUID RLS</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(SaaS only)</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Partial</w:t>
            </w:r>
          </w:p>
        </w:tc>
      </w:tr>
      <w:tr>
        <w:tc>
          <w:tcPr>
            <w:tcW w:w="3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Razorpay Payment Gateway Integration</w:t>
            </w:r>
          </w:p>
        </w:tc>
        <w:tc>
          <w:tcPr>
            <w:tcW w:w="226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Sandbox + Prod Ready</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Available</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Plugin-based</w:t>
            </w:r>
          </w:p>
        </w:tc>
      </w:tr>
      <w:tr>
        <w:tc>
          <w:tcPr>
            <w:tcW w:w="3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FCM Push + In-App Notifications</w:t>
            </w:r>
          </w:p>
        </w:tc>
        <w:tc>
          <w:tcPr>
            <w:tcW w:w="226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Role-Scoped</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Available</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Email only</w:t>
            </w:r>
          </w:p>
        </w:tc>
      </w:tr>
      <w:tr>
        <w:tc>
          <w:tcPr>
            <w:tcW w:w="3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Open Source &amp; Self-Hostable</w:t>
            </w:r>
          </w:p>
        </w:tc>
        <w:tc>
          <w:tcPr>
            <w:tcW w:w="226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MIT License</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Proprietary SaaS</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GPLv3</w:t>
            </w:r>
          </w:p>
        </w:tc>
      </w:tr>
      <w:tr>
        <w:tc>
          <w:tcPr>
            <w:tcW w:w="3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Zero Additional Hardware Required</w:t>
            </w:r>
          </w:p>
        </w:tc>
        <w:tc>
          <w:tcPr>
            <w:tcW w:w="226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Smartphone Camera Only</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Tablet Recommended</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PC Required</w:t>
            </w:r>
          </w:p>
        </w:tc>
      </w:tr>
      <w:tr>
        <w:tc>
          <w:tcPr>
            <w:tcW w:w="3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API-First Architecture (REST)</w:t>
            </w:r>
          </w:p>
        </w:tc>
        <w:tc>
          <w:tcPr>
            <w:tcW w:w="226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FastAPI + Pydantic v2</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Limited API</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 REST API</w:t>
            </w:r>
          </w:p>
        </w:tc>
      </w:tr>
      <w:tr>
        <w:tc>
          <w:tcPr>
            <w:tcW w:w="3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Synthetic Test Data Engine</w:t>
            </w:r>
          </w:p>
        </w:tc>
        <w:tc>
          <w:tcPr>
            <w:tcW w:w="226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Bulk seed in &lt;0.5s</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Not Available</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 Not Available</w:t>
            </w:r>
          </w:p>
        </w:tc>
      </w:tr>
      <w:tr>
        <w:tc>
          <w:tcPr>
            <w:tcW w:w="3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Cost Model</w:t>
            </w:r>
          </w:p>
        </w:tc>
        <w:tc>
          <w:tcPr>
            <w:tcW w:w="226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Free (Open Source)</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Subscription SaaS</w:t>
            </w:r>
          </w:p>
        </w:tc>
        <w:tc>
          <w:tcPr>
            <w:tcW w:w="163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Free + Paid Support</w:t>
            </w:r>
          </w:p>
        </w:tc>
      </w:tr>
      <w:tr>
        <w:tc>
          <w:tcPr>
            <w:tcW w:w="3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Computer Vision Accuracy (mAP)</w:t>
            </w:r>
          </w:p>
        </w:tc>
        <w:tc>
          <w:tcPr>
            <w:tcW w:w="226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≥95% (target)</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N/A</w:t>
            </w:r>
          </w:p>
        </w:tc>
        <w:tc>
          <w:tcPr>
            <w:tcW w:w="163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N/A</w:t>
            </w:r>
          </w:p>
        </w:tc>
      </w:tr>
    </w:tbl>
    <w:p/>
    <w:p>
      <w:pPr>
        <w:spacing w:after="120" w:before="120"/>
        <w:jc w:val="left"/>
      </w:pPr>
      <w:r>
        <w:rPr>
          <w:rFonts w:ascii="Times New Roman" w:hAnsi="Times New Roman"/>
          <w:b/>
          <w:color w:val="000000"/>
          <w:sz w:val="24"/>
        </w:rPr>
        <w:t>2.3  Key Differentiating Features Summary</w:t>
      </w:r>
    </w:p>
    <w:p>
      <w:pPr>
        <w:pStyle w:val="ListBullet"/>
        <w:spacing w:after="60" w:lineRule="auto" w:line="360"/>
        <w:ind w:left="360"/>
      </w:pPr>
      <w:r>
        <w:rPr>
          <w:rFonts w:ascii="Times New Roman" w:hAnsi="Times New Roman"/>
          <w:color w:val="000000"/>
          <w:sz w:val="24"/>
        </w:rPr>
        <w:t>Hybrid Digitization Philosophy: HAAZIR is the only academic ERP in its class that treats the physical attendance register as a valid first-class input medium, using computer vision to automate its digitization rather than mandating a behavioral change from teachers.</w:t>
      </w:r>
    </w:p>
    <w:p>
      <w:pPr>
        <w:pStyle w:val="ListBullet"/>
        <w:spacing w:after="60" w:lineRule="auto" w:line="360"/>
        <w:ind w:left="360"/>
      </w:pPr>
      <w:r>
        <w:rPr>
          <w:rFonts w:ascii="Times New Roman" w:hAnsi="Times New Roman"/>
          <w:color w:val="000000"/>
          <w:sz w:val="24"/>
        </w:rPr>
        <w:t>Academic Research Contribution: The YOLO-based attendance register segmentation and character recognition pipeline represents an original applied research contribution, with a training dataset, model architecture, and inference pipeline specifically designed for the domain of handwritten academic register mark recognition.</w:t>
      </w:r>
    </w:p>
    <w:p>
      <w:pPr>
        <w:pStyle w:val="ListBullet"/>
        <w:spacing w:after="60" w:lineRule="auto" w:line="360"/>
        <w:ind w:left="360"/>
      </w:pPr>
      <w:r>
        <w:rPr>
          <w:rFonts w:ascii="Times New Roman" w:hAnsi="Times New Roman"/>
          <w:color w:val="000000"/>
          <w:sz w:val="24"/>
        </w:rPr>
        <w:t>Zero-Cost Deployment Overhead: Because HAAZIR requires no dedicated hardware (no fingerprint scanners, RFID readers, or dedicated tablets), its total cost of ownership beyond standard server hosting is zero additional capital expenditure — a critical differentiator for government and low-budget private institutions.</w:t>
      </w:r>
    </w:p>
    <w:p>
      <w:pPr>
        <w:pStyle w:val="ListBullet"/>
        <w:spacing w:after="60" w:lineRule="auto" w:line="360"/>
        <w:ind w:left="360"/>
      </w:pPr>
      <w:r>
        <w:rPr>
          <w:rFonts w:ascii="Times New Roman" w:hAnsi="Times New Roman"/>
          <w:color w:val="000000"/>
          <w:sz w:val="24"/>
        </w:rPr>
        <w:t>Democratized Data Access: The Conversational Text-to-SQL analytics engine removes the barrier of SQL knowledge from administrative decision-making, enabling Principals and Administrators to query complex multi-table institutional data through plain conversational English.</w:t>
      </w:r>
    </w:p>
    <w:p>
      <w:r>
        <w:br w:type="page"/>
      </w:r>
    </w:p>
    <w:p>
      <w:pPr>
        <w:spacing w:after="240" w:before="120"/>
        <w:jc w:val="left"/>
      </w:pPr>
      <w:r>
        <w:rPr>
          <w:rFonts w:ascii="Times New Roman" w:hAnsi="Times New Roman"/>
          <w:b/>
          <w:color w:val="000000"/>
          <w:sz w:val="28"/>
        </w:rPr>
        <w:t>CHAPTER 3: PROJECT CATEGORY &amp; BENEFICIARY ANALYSIS</w:t>
      </w:r>
    </w:p>
    <w:p>
      <w:pPr>
        <w:spacing w:after="120" w:before="120"/>
        <w:jc w:val="left"/>
      </w:pPr>
      <w:r>
        <w:rPr>
          <w:rFonts w:ascii="Times New Roman" w:hAnsi="Times New Roman"/>
          <w:b/>
          <w:color w:val="000000"/>
          <w:sz w:val="24"/>
        </w:rPr>
        <w:t>3.1  Project Category Classification</w:t>
      </w:r>
    </w:p>
    <w:p>
      <w:pPr>
        <w:spacing w:after="120" w:lineRule="auto" w:line="360"/>
        <w:jc w:val="both"/>
      </w:pPr>
      <w:r>
        <w:rPr>
          <w:rFonts w:ascii="Times New Roman" w:hAnsi="Times New Roman"/>
          <w:b w:val="0"/>
          <w:i w:val="0"/>
          <w:color w:val="000000"/>
          <w:sz w:val="24"/>
        </w:rPr>
        <w:t>HAAZIR falls within the intersection of two established software system categories: Educational Technology (EdTech) and Distributed Enterprise Resource Planning (ERP) Systems. As an EdTech solution, it directly addresses the operational and informational needs of the education domain — specifically student attendance management, academic timetabling, fee management, and institutional analytics. Its design prioritizes the constraints of the Indian educational context: intermittent connectivity, heterogeneous device availability, multi-language user bases (Hindi and English), and cost sensitivity.</w:t>
      </w:r>
    </w:p>
    <w:p>
      <w:pPr>
        <w:spacing w:after="120" w:lineRule="auto" w:line="360"/>
        <w:jc w:val="both"/>
      </w:pPr>
      <w:r>
        <w:rPr>
          <w:rFonts w:ascii="Times New Roman" w:hAnsi="Times New Roman"/>
          <w:b w:val="0"/>
          <w:i w:val="0"/>
          <w:color w:val="000000"/>
          <w:sz w:val="24"/>
        </w:rPr>
        <w:t>As a Distributed Enterprise System, HAAZIR implements the architectural patterns characteristic of production-grade enterprise software: multi-tier deployment (client, API, database layers), multi-tenant data isolation, role-based access control, API-first design with structured REST endpoints, database schema migration management, and horizontal scalability readiness. The system's architecture adheres to the principles of Clean Architecture (separation of concerns, dependency inversion, domain isolation) and Domain-Driven Design (bounded contexts for each of the ten modules, rich domain models with encapsulated business logic).</w:t>
      </w:r>
    </w:p>
    <w:p>
      <w:pPr>
        <w:spacing w:after="120" w:lineRule="auto" w:line="360"/>
        <w:jc w:val="both"/>
      </w:pPr>
      <w:r>
        <w:rPr>
          <w:rFonts w:ascii="Times New Roman" w:hAnsi="Times New Roman"/>
          <w:b w:val="0"/>
          <w:i w:val="0"/>
          <w:color w:val="000000"/>
          <w:sz w:val="24"/>
        </w:rPr>
        <w:t>From a computer science domain classification perspective, HAAZIR spans four sub-disciplines: (1) Computer Vision and Deep Learning — the YOLO register digitization pipeline; (2) Natural Language Processing and Conversational AI — the Text-to-SQL analytics engine; (3) Distributed Systems Engineering — the multi-tier, multi-tenant API architecture; and (4) Human-Computer Interaction — the HITL verification interface and role-adaptive UI design. This multi-domain scope makes HAAZIR an appropriate capstone minor project for a BCA program that encompasses fundamentals across these domains.</w:t>
      </w:r>
    </w:p>
    <w:p>
      <w:pPr>
        <w:spacing w:after="120" w:before="120"/>
        <w:jc w:val="left"/>
      </w:pPr>
      <w:r>
        <w:rPr>
          <w:rFonts w:ascii="Times New Roman" w:hAnsi="Times New Roman"/>
          <w:b/>
          <w:color w:val="000000"/>
          <w:sz w:val="24"/>
        </w:rPr>
        <w:t>3.2  Multi-Stakeholder Beneficiary Analysis</w:t>
      </w:r>
    </w:p>
    <w:p>
      <w:pPr>
        <w:spacing w:after="120" w:lineRule="auto" w:line="360"/>
        <w:jc w:val="both"/>
      </w:pPr>
      <w:r>
        <w:rPr>
          <w:rFonts w:ascii="Times New Roman" w:hAnsi="Times New Roman"/>
          <w:b w:val="0"/>
          <w:i w:val="0"/>
          <w:color w:val="000000"/>
          <w:sz w:val="24"/>
        </w:rPr>
        <w:t>The HAAZIR system delivers differentiated value to five distinct stakeholder categories, each with a specific set of operational pain points addressed by dedicated system modules:</w:t>
      </w:r>
    </w:p>
    <w:tbl>
      <w:tblPr>
        <w:tblStyle w:val="TableGrid"/>
        <w:jc w:val="center"/>
        <w:tblLook w:firstColumn="1" w:firstRow="1" w:lastColumn="0" w:lastRow="0" w:noHBand="0" w:noVBand="1" w:val="04A0"/>
        <w:tblLayout w:type="fixed"/>
        <w:tblW w:w="8668" w:type="dxa"/>
      </w:tblPr>
      <w:tblGrid>
        <w:gridCol w:w="1811"/>
        <w:gridCol w:w="2587"/>
        <w:gridCol w:w="1940"/>
        <w:gridCol w:w="2328"/>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Stakeholder Role</w:t>
            </w:r>
          </w:p>
        </w:tc>
        <w:tc>
          <w:tcPr>
            <w:tcW w:w="2587"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Primary Pain Points Addressed</w:t>
            </w:r>
          </w:p>
        </w:tc>
        <w:tc>
          <w:tcPr>
            <w:tcW w:w="194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HAAZIR Modules Utilized</w:t>
            </w:r>
          </w:p>
        </w:tc>
        <w:tc>
          <w:tcPr>
            <w:tcW w:w="232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 Benefits Delivered</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Administrator / Registrar</w:t>
            </w:r>
          </w:p>
        </w:tc>
        <w:tc>
          <w:tcPr>
            <w:tcW w:w="258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Manual aggregation of attendance data, fee defaulter tracking, institutional reporting to affiliating university</w:t>
            </w:r>
          </w:p>
        </w:tc>
        <w:tc>
          <w:tcPr>
            <w:tcW w:w="19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Modules 1, 2, 4, 6, 7, 9</w:t>
            </w:r>
          </w:p>
        </w:tc>
        <w:tc>
          <w:tcPr>
            <w:tcW w:w="232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Real-time attendance dashboards, automated defaulter identification, natural language database analytics, multi-section oversight</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Principal</w:t>
            </w:r>
          </w:p>
        </w:tc>
        <w:tc>
          <w:tcPr>
            <w:tcW w:w="258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Delayed access to institutional performance metrics, inability to query records without IT staff assistance</w:t>
            </w:r>
          </w:p>
        </w:tc>
        <w:tc>
          <w:tcPr>
            <w:tcW w:w="19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Modules 4, 6, 9, 10</w:t>
            </w:r>
          </w:p>
        </w:tc>
        <w:tc>
          <w:tcPr>
            <w:tcW w:w="232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Conversational English queries to institutional database, strategic attendance and fee collection dashboards</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Teacher / Class Teacher</w:t>
            </w:r>
          </w:p>
        </w:tc>
        <w:tc>
          <w:tcPr>
            <w:tcW w:w="258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Daily 30-45 minute transcription tax, manual register-to-digital data entry, section-limited data visibility</w:t>
            </w:r>
          </w:p>
        </w:tc>
        <w:tc>
          <w:tcPr>
            <w:tcW w:w="19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Modules 3, 4, 5, 6, 10</w:t>
            </w:r>
          </w:p>
        </w:tc>
        <w:tc>
          <w:tcPr>
            <w:tcW w:w="232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Photograph-to-digital attendance in &lt;2 seconds, HITL verification dialog, section-scoped timetable management</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Parent / Guardian</w:t>
            </w:r>
          </w:p>
        </w:tc>
        <w:tc>
          <w:tcPr>
            <w:tcW w:w="258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Delayed or no notification of child's absence, opacity in fee invoice status, no digital channel to institutional data</w:t>
            </w:r>
          </w:p>
        </w:tc>
        <w:tc>
          <w:tcPr>
            <w:tcW w:w="19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Modules 7, 8, 10</w:t>
            </w:r>
          </w:p>
        </w:tc>
        <w:tc>
          <w:tcPr>
            <w:tcW w:w="232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Same-session absence push alerts, fee invoice and payment status visibility, role-scoped notification inbox</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Student</w:t>
            </w:r>
          </w:p>
        </w:tc>
        <w:tc>
          <w:tcPr>
            <w:tcW w:w="258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 self-service access to own attendance percentage, fee payment status, or academic schedule</w:t>
            </w:r>
          </w:p>
        </w:tc>
        <w:tc>
          <w:tcPr>
            <w:tcW w:w="19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Modules 4, 6, 7, 10</w:t>
            </w:r>
          </w:p>
        </w:tc>
        <w:tc>
          <w:tcPr>
            <w:tcW w:w="232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Self-service attendance percentage tracking, personal fee invoice visibility, class timetable access</w:t>
            </w:r>
          </w:p>
        </w:tc>
      </w:tr>
    </w:tbl>
    <w:p/>
    <w:p>
      <w:pPr>
        <w:spacing w:after="120" w:lineRule="auto" w:line="360"/>
        <w:jc w:val="both"/>
      </w:pPr>
      <w:r>
        <w:rPr>
          <w:rFonts w:ascii="Times New Roman" w:hAnsi="Times New Roman"/>
          <w:b w:val="0"/>
          <w:i w:val="0"/>
          <w:color w:val="000000"/>
          <w:sz w:val="24"/>
        </w:rPr>
        <w:t>Beyond these direct stakeholders, the HAAZIR system creates indirect value for institutional management by providing an auditable digital trail of all attendance decisions — including YOLO inference confidence scores and manual override records — which strengthens compliance reporting under state board and university affiliation requirements that mandate minimum attendance documentation standards.</w:t>
      </w:r>
    </w:p>
    <w:p>
      <w:r>
        <w:br w:type="page"/>
      </w:r>
    </w:p>
    <w:p>
      <w:pPr>
        <w:spacing w:after="240" w:before="120"/>
        <w:jc w:val="left"/>
      </w:pPr>
      <w:r>
        <w:rPr>
          <w:rFonts w:ascii="Times New Roman" w:hAnsi="Times New Roman"/>
          <w:b/>
          <w:color w:val="000000"/>
          <w:sz w:val="28"/>
        </w:rPr>
        <w:t>CHAPTER 4: FEASIBILITY STUDY</w:t>
      </w:r>
    </w:p>
    <w:p>
      <w:pPr>
        <w:spacing w:after="120" w:before="120"/>
        <w:jc w:val="left"/>
      </w:pPr>
      <w:r>
        <w:rPr>
          <w:rFonts w:ascii="Times New Roman" w:hAnsi="Times New Roman"/>
          <w:b/>
          <w:color w:val="000000"/>
          <w:sz w:val="24"/>
        </w:rPr>
        <w:t>4.1  Technical Feasibility</w:t>
      </w:r>
    </w:p>
    <w:p>
      <w:pPr>
        <w:spacing w:after="120" w:lineRule="auto" w:line="360"/>
        <w:jc w:val="both"/>
      </w:pPr>
      <w:r>
        <w:rPr>
          <w:rFonts w:ascii="Times New Roman" w:hAnsi="Times New Roman"/>
          <w:b w:val="0"/>
          <w:i w:val="0"/>
          <w:color w:val="000000"/>
          <w:sz w:val="24"/>
        </w:rPr>
        <w:t>The technical feasibility of the HAAZIR system has been assessed across its three primary technical sub-systems: the YOLO-based computer vision pipeline, the FastAPI backend service, and the React Native mobile client.</w:t>
      </w:r>
    </w:p>
    <w:p>
      <w:pPr>
        <w:spacing w:after="120" w:lineRule="auto" w:line="360"/>
        <w:jc w:val="both"/>
      </w:pPr>
      <w:r>
        <w:rPr>
          <w:rFonts w:ascii="Times New Roman" w:hAnsi="Times New Roman"/>
          <w:b w:val="0"/>
          <w:i w:val="0"/>
          <w:color w:val="000000"/>
          <w:sz w:val="24"/>
        </w:rPr>
        <w:t>Computer Vision Pipeline Feasibility: The YOLOv8 architecture, developed by Ultralytics and published in 2023, represents the current state of the art in real-time single-stage object detection. Its nano (YOLOv8n) and small (YOLOv8s) model variants are specifically designed for edge and mobile inference, achieving over 30 frames per second on NVIDIA RTX 3050 class GPUs and over 10 frames per second on modern smartphone Neural Processing Units (NPUs). For the HAAZIR register scanning use case — where a single static image is processed rather than a real-time video stream — inference latency is projected at under 400 milliseconds on cloud GPU inference and under 1.8 seconds on CPU-only cloud compute, comfortably within the 2-second target. The OpenCV library's getPerspectiveTransform() and warpPerspective() functions provide the homography matrix computation required for document deskewing and have been validated in production document scanning applications across thousands of open-source repositories.</w:t>
      </w:r>
    </w:p>
    <w:p>
      <w:pPr>
        <w:spacing w:after="120" w:lineRule="auto" w:line="360"/>
        <w:jc w:val="both"/>
      </w:pPr>
      <w:r>
        <w:rPr>
          <w:rFonts w:ascii="Times New Roman" w:hAnsi="Times New Roman"/>
          <w:b w:val="0"/>
          <w:i w:val="0"/>
          <w:color w:val="000000"/>
          <w:sz w:val="24"/>
        </w:rPr>
        <w:t>Backend API Feasibility: FastAPI, built on Python's asyncio event loop and Starlette ASGI framework, has been demonstrated in published benchmarks to handle 50,000 to 70,000 requests per second in asynchronous mode on a single 4-core server — far exceeding the anticipated peak load of a single-institution deployment. SQLAlchemy 2.0's async session support enables non-blocking database I/O that eliminates the primary performance bottleneck in traditional synchronous ORM-based APIs. Pydantic v2's Rust-compiled validation core delivers response model serialization at speeds 5-10x faster than Pydantic v1, further reducing per-request latency.</w:t>
      </w:r>
    </w:p>
    <w:p>
      <w:pPr>
        <w:spacing w:after="120" w:lineRule="auto" w:line="360"/>
        <w:jc w:val="both"/>
      </w:pPr>
      <w:r>
        <w:rPr>
          <w:rFonts w:ascii="Times New Roman" w:hAnsi="Times New Roman"/>
          <w:b w:val="0"/>
          <w:i w:val="0"/>
          <w:color w:val="000000"/>
          <w:sz w:val="24"/>
        </w:rPr>
        <w:t>OpenCV Four-Point Homographic Correction Formula: The perspective correction algorithm at the core of the register pre-processing step is based on the Direct Linear Transform (DLT) algorithm for homography matrix estimation. Given four corresponding point pairs (source corners of the detected register document in the original image, and target corners in the normalized output rectangle), the 3×3 homography matrix H is computed such that: p' = H · p, where p is a source image point in homogeneous coordinates and p' is the corresponding point in the corrected output image. This enables the system to correctly process photographs taken at angles up to ±40 degrees from perpendicular without loss of character readability.</w:t>
      </w:r>
    </w:p>
    <w:p>
      <w:pPr>
        <w:spacing w:after="120" w:before="120"/>
        <w:jc w:val="left"/>
      </w:pPr>
      <w:r>
        <w:rPr>
          <w:rFonts w:ascii="Times New Roman" w:hAnsi="Times New Roman"/>
          <w:b/>
          <w:color w:val="000000"/>
          <w:sz w:val="24"/>
        </w:rPr>
        <w:t>4.2  Operational Feasibility</w:t>
      </w:r>
    </w:p>
    <w:p>
      <w:pPr>
        <w:spacing w:after="120" w:lineRule="auto" w:line="360"/>
        <w:jc w:val="both"/>
      </w:pPr>
      <w:r>
        <w:rPr>
          <w:rFonts w:ascii="Times New Roman" w:hAnsi="Times New Roman"/>
          <w:b w:val="0"/>
          <w:i w:val="0"/>
          <w:color w:val="000000"/>
          <w:sz w:val="24"/>
        </w:rPr>
        <w:t>Operational feasibility concerns the degree to which the system can be integrated into the existing workflows and behaviors of institutional staff without creating adoption resistance or operational disruption. HAAZIR's primary operational design principle — preserving the physical register as the teacher's interaction point — directly addresses the most common reason for failure of prior digitization initiatives: behavioral change fatigue.</w:t>
      </w:r>
    </w:p>
    <w:p>
      <w:pPr>
        <w:spacing w:after="120" w:lineRule="auto" w:line="360"/>
        <w:jc w:val="both"/>
      </w:pPr>
      <w:r>
        <w:rPr>
          <w:rFonts w:ascii="Times New Roman" w:hAnsi="Times New Roman"/>
          <w:b w:val="0"/>
          <w:i w:val="0"/>
          <w:color w:val="000000"/>
          <w:sz w:val="24"/>
        </w:rPr>
        <w:t>The Human-in-the-Loop (HITL) verification interface is the critical operational bridge in the HAAZIR pipeline. Rather than presenting automated results directly to the database without human review, the system populates a pre-validated attendance grid on the teacher's smartphone screen after YOLO inference, highlighting any cells where inference confidence fell below a configurable threshold (default: 85%). The teacher reviews this grid, corrects any errors (projected at under 5 corrections per 30-student register based on the target mAP of ≥95%), and confirms submission. The entire review-to-submit process is engineered to require under 30 seconds including the photograph capture time — compared to the 30-45 minutes currently required for manual transcription.</w:t>
      </w:r>
    </w:p>
    <w:p>
      <w:pPr>
        <w:spacing w:after="120" w:lineRule="auto" w:line="360"/>
        <w:jc w:val="both"/>
      </w:pPr>
      <w:r>
        <w:rPr>
          <w:rFonts w:ascii="Times New Roman" w:hAnsi="Times New Roman"/>
          <w:b w:val="0"/>
          <w:i w:val="0"/>
          <w:color w:val="000000"/>
          <w:sz w:val="24"/>
        </w:rPr>
        <w:t>Training requirements for HAAZIR adoption are minimal by design: teachers require only the ability to photograph a document using a smartphone camera, a skill near-universally available. The mobile application's attendance submission interface presents a guided four-step workflow with large touch targets and instructional tooltips optimized for users with limited smartphone experience.</w:t>
      </w:r>
    </w:p>
    <w:p>
      <w:pPr>
        <w:spacing w:after="120" w:lineRule="auto" w:line="360"/>
        <w:jc w:val="both"/>
      </w:pPr>
      <w:r>
        <w:rPr>
          <w:rFonts w:ascii="Times New Roman" w:hAnsi="Times New Roman"/>
          <w:b w:val="0"/>
          <w:i w:val="0"/>
          <w:color w:val="000000"/>
          <w:sz w:val="24"/>
        </w:rPr>
        <w:t>Administrative staff operating the web dashboard interface for fee management, analytics, and user administration require familiarity with standard web application interactions. The conversational analytics interface reduces the technical barrier for data querying to the ability to type a question in English — eliminating the SQL literacy prerequisite that limits data access in conventional ERP deployments.</w:t>
      </w:r>
    </w:p>
    <w:p>
      <w:pPr>
        <w:spacing w:after="120" w:before="120"/>
        <w:jc w:val="left"/>
      </w:pPr>
      <w:r>
        <w:rPr>
          <w:rFonts w:ascii="Times New Roman" w:hAnsi="Times New Roman"/>
          <w:b/>
          <w:color w:val="000000"/>
          <w:sz w:val="24"/>
        </w:rPr>
        <w:t>4.3  Economic Feasibility</w:t>
      </w:r>
    </w:p>
    <w:p>
      <w:pPr>
        <w:spacing w:after="120" w:lineRule="auto" w:line="360"/>
        <w:jc w:val="both"/>
      </w:pPr>
      <w:r>
        <w:rPr>
          <w:rFonts w:ascii="Times New Roman" w:hAnsi="Times New Roman"/>
          <w:b w:val="0"/>
          <w:i w:val="0"/>
          <w:color w:val="000000"/>
          <w:sz w:val="24"/>
        </w:rPr>
        <w:t>HAAZIR's economic feasibility analysis rests on a fundamental architectural decision: the system requires zero capital expenditure beyond standard institutional IT infrastructure (a server or cloud VPS subscription and teacher-owned smartphones). This places it in sharp contrast to biometric attendance systems, which carry per-unit hardware costs of ₹5,000 to ₹25,000 per device depending on technology type (fingerprint, RFID, or facial recognition), plus maintenance contracts, consumables, and replacement budgets.</w:t>
      </w:r>
    </w:p>
    <w:p>
      <w:pPr>
        <w:spacing w:after="120" w:lineRule="auto" w:line="360"/>
        <w:jc w:val="both"/>
      </w:pPr>
      <w:r>
        <w:rPr>
          <w:rFonts w:ascii="Times New Roman" w:hAnsi="Times New Roman"/>
          <w:b w:val="0"/>
          <w:i w:val="0"/>
          <w:color w:val="000000"/>
          <w:sz w:val="24"/>
        </w:rPr>
        <w:t>The complete HAAZIR software stack is built exclusively on open-source components: Python 3.12 (PSF License), FastAPI (MIT), SQLAlchemy 2.0 (MIT), React 19 (MIT), React Native Expo (MIT), Ultralytics YOLOv8 (AGPL-3.0 for research; commercial license available), OpenCV (Apache 2.0), and PostgreSQL (PostgreSQL License). API-level costs include the Groq API or Google Gemini API for LLM inference, which at typical school-scale query volumes (approximately 50 queries per day) would incur costs of under ₹500 per month. Razorpay payment gateway integration uses a sandbox environment for testing and carries standard transaction-percentage fees only on live payments — with no monthly subscription cost.</w:t>
      </w:r>
    </w:p>
    <w:p>
      <w:pPr>
        <w:spacing w:after="120" w:lineRule="auto" w:line="360"/>
        <w:jc w:val="both"/>
      </w:pPr>
      <w:r>
        <w:rPr>
          <w:rFonts w:ascii="Times New Roman" w:hAnsi="Times New Roman"/>
          <w:b w:val="0"/>
          <w:i w:val="0"/>
          <w:color w:val="000000"/>
          <w:sz w:val="24"/>
        </w:rPr>
        <w:t>Hosting costs for a school of 1,000 students are projected at ₹1,500 to ₹3,000 per month on a standard AWS EC2 t3.medium or DigitalOcean Droplet (2 vCPU, 4 GB RAM, 50 GB SSD), representing a total annual technology cost of ₹18,000 to ₹36,000 — a fraction of the staffing cost currently allocated to manual attendance transcription and data entry across a school year.</w:t>
      </w:r>
    </w:p>
    <w:p>
      <w:pPr>
        <w:spacing w:after="120" w:before="120"/>
        <w:jc w:val="left"/>
      </w:pPr>
      <w:r>
        <w:rPr>
          <w:rFonts w:ascii="Times New Roman" w:hAnsi="Times New Roman"/>
          <w:b/>
          <w:color w:val="000000"/>
          <w:sz w:val="24"/>
        </w:rPr>
        <w:t>4.4  Schedule Feasibility — Sprint Gantt Summary</w:t>
      </w:r>
    </w:p>
    <w:p>
      <w:pPr>
        <w:spacing w:after="120" w:lineRule="auto" w:line="360"/>
        <w:jc w:val="both"/>
      </w:pPr>
      <w:r>
        <w:rPr>
          <w:rFonts w:ascii="Times New Roman" w:hAnsi="Times New Roman"/>
          <w:b w:val="0"/>
          <w:i w:val="0"/>
          <w:color w:val="000000"/>
          <w:sz w:val="24"/>
        </w:rPr>
        <w:t>The project was developed across six two-week Agile Scrum sprints spanning twelve weeks (three academic months) as follows:</w:t>
      </w:r>
    </w:p>
    <w:tbl>
      <w:tblPr>
        <w:tblStyle w:val="TableGrid"/>
        <w:jc w:val="center"/>
        <w:tblLook w:firstColumn="1" w:firstRow="1" w:lastColumn="0" w:lastRow="0" w:noHBand="0" w:noVBand="1" w:val="04A0"/>
        <w:tblLayout w:type="fixed"/>
        <w:tblW w:w="8668" w:type="dxa"/>
      </w:tblPr>
      <w:tblGrid>
        <w:gridCol w:w="2070"/>
        <w:gridCol w:w="1293"/>
        <w:gridCol w:w="4140"/>
        <w:gridCol w:w="1164"/>
      </w:tblGrid>
      <w:tr>
        <w:tc>
          <w:tcPr>
            <w:tcW w:w="207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Sprint</w:t>
            </w:r>
          </w:p>
        </w:tc>
        <w:tc>
          <w:tcPr>
            <w:tcW w:w="129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Duration</w:t>
            </w:r>
          </w:p>
        </w:tc>
        <w:tc>
          <w:tcPr>
            <w:tcW w:w="414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 Deliverables</w:t>
            </w:r>
          </w:p>
        </w:tc>
        <w:tc>
          <w:tcPr>
            <w:tcW w:w="116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Status</w:t>
            </w:r>
          </w:p>
        </w:tc>
      </w:tr>
      <w:tr>
        <w:tc>
          <w:tcPr>
            <w:tcW w:w="207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Sprint 1 — Foundation</w:t>
            </w:r>
          </w:p>
        </w:tc>
        <w:tc>
          <w:tcPr>
            <w:tcW w:w="129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Weeks 1–2</w:t>
            </w:r>
          </w:p>
        </w:tc>
        <w:tc>
          <w:tcPr>
            <w:tcW w:w="4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Project scaffolding, DB schema design, Module 1 (Multi-tenant config), Module 2 (JWT RBAC auth), Alembic migrations, seed engine skeleton</w:t>
            </w:r>
          </w:p>
        </w:tc>
        <w:tc>
          <w:tcPr>
            <w:tcW w:w="11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Completed</w:t>
            </w:r>
          </w:p>
        </w:tc>
      </w:tr>
      <w:tr>
        <w:tc>
          <w:tcPr>
            <w:tcW w:w="207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Sprint 2 — Core Data Modules</w:t>
            </w:r>
          </w:p>
        </w:tc>
        <w:tc>
          <w:tcPr>
            <w:tcW w:w="129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Weeks 3–4</w:t>
            </w:r>
          </w:p>
        </w:tc>
        <w:tc>
          <w:tcPr>
            <w:tcW w:w="4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Module 3 (Synthetic data engine), Module 4 (Student &amp; section management), REST API endpoints for students and sections, web dashboard skeleton</w:t>
            </w:r>
          </w:p>
        </w:tc>
        <w:tc>
          <w:tcPr>
            <w:tcW w:w="11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Completed</w:t>
            </w:r>
          </w:p>
        </w:tc>
      </w:tr>
      <w:tr>
        <w:tc>
          <w:tcPr>
            <w:tcW w:w="207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Sprint 3 — Vision Engine</w:t>
            </w:r>
          </w:p>
        </w:tc>
        <w:tc>
          <w:tcPr>
            <w:tcW w:w="129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Weeks 5–6</w:t>
            </w:r>
          </w:p>
        </w:tc>
        <w:tc>
          <w:tcPr>
            <w:tcW w:w="4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Module 5 YOLO pipeline (document detection, homography, column detection, cell slicing, mark classification), HITL verification UI on mobile</w:t>
            </w:r>
          </w:p>
        </w:tc>
        <w:tc>
          <w:tcPr>
            <w:tcW w:w="11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Completed</w:t>
            </w:r>
          </w:p>
        </w:tc>
      </w:tr>
      <w:tr>
        <w:tc>
          <w:tcPr>
            <w:tcW w:w="207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Sprint 4 — Fee &amp; Notifications</w:t>
            </w:r>
          </w:p>
        </w:tc>
        <w:tc>
          <w:tcPr>
            <w:tcW w:w="129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Weeks 7–8</w:t>
            </w:r>
          </w:p>
        </w:tc>
        <w:tc>
          <w:tcPr>
            <w:tcW w:w="4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Module 7 (Fee management, Razorpay sandbox), Module 8 (FCM + in-app notification outbox), role-scoped notification seeding and filtering</w:t>
            </w:r>
          </w:p>
        </w:tc>
        <w:tc>
          <w:tcPr>
            <w:tcW w:w="11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Completed</w:t>
            </w:r>
          </w:p>
        </w:tc>
      </w:tr>
      <w:tr>
        <w:tc>
          <w:tcPr>
            <w:tcW w:w="207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Sprint 5 — Analytics Engine</w:t>
            </w:r>
          </w:p>
        </w:tc>
        <w:tc>
          <w:tcPr>
            <w:tcW w:w="129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Weeks 9–10</w:t>
            </w:r>
          </w:p>
        </w:tc>
        <w:tc>
          <w:tcPr>
            <w:tcW w:w="41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Module 9 (Text-to-SQL LLM integration, sqlglot AST guardrails, schema context prompt engineering, few-shot exemplars, Dev Mode toggle)</w:t>
            </w:r>
          </w:p>
        </w:tc>
        <w:tc>
          <w:tcPr>
            <w:tcW w:w="11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Completed</w:t>
            </w:r>
          </w:p>
        </w:tc>
      </w:tr>
      <w:tr>
        <w:tc>
          <w:tcPr>
            <w:tcW w:w="207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Sprint 6 — Integration &amp; Polish</w:t>
            </w:r>
          </w:p>
        </w:tc>
        <w:tc>
          <w:tcPr>
            <w:tcW w:w="129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Weeks 11–12</w:t>
            </w:r>
          </w:p>
        </w:tc>
        <w:tc>
          <w:tcPr>
            <w:tcW w:w="41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End-to-end integration testing, mobile UI polish, web dashboard Recharts visualizations, TypeScript strict compliance, documentation and synopsis writing</w:t>
            </w:r>
          </w:p>
        </w:tc>
        <w:tc>
          <w:tcPr>
            <w:tcW w:w="11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Completed</w:t>
            </w:r>
          </w:p>
        </w:tc>
      </w:tr>
    </w:tbl>
    <w:p/>
    <w:p>
      <w:r>
        <w:br w:type="page"/>
      </w:r>
    </w:p>
    <w:p>
      <w:pPr>
        <w:spacing w:after="240" w:before="120"/>
        <w:jc w:val="left"/>
      </w:pPr>
      <w:r>
        <w:rPr>
          <w:rFonts w:ascii="Times New Roman" w:hAnsi="Times New Roman"/>
          <w:b/>
          <w:color w:val="000000"/>
          <w:sz w:val="28"/>
        </w:rPr>
        <w:t>CHAPTER 5: METHODOLOGY USED &amp; PLANNING WORK</w:t>
      </w:r>
    </w:p>
    <w:p>
      <w:pPr>
        <w:spacing w:after="120" w:before="120"/>
        <w:jc w:val="left"/>
      </w:pPr>
      <w:r>
        <w:rPr>
          <w:rFonts w:ascii="Times New Roman" w:hAnsi="Times New Roman"/>
          <w:b/>
          <w:color w:val="000000"/>
          <w:sz w:val="24"/>
        </w:rPr>
        <w:t>5.1  Dual Methodology Framework</w:t>
      </w:r>
    </w:p>
    <w:p>
      <w:pPr>
        <w:spacing w:after="120" w:lineRule="auto" w:line="360"/>
        <w:jc w:val="both"/>
      </w:pPr>
      <w:r>
        <w:rPr>
          <w:rFonts w:ascii="Times New Roman" w:hAnsi="Times New Roman"/>
          <w:b w:val="0"/>
          <w:i w:val="0"/>
          <w:color w:val="000000"/>
          <w:sz w:val="24"/>
        </w:rPr>
        <w:t>HAAZIR's development employed a deliberately dual methodology framework, recognizing that the project encompasses two fundamentally different engineering disciplines — conventional software development and data-science model training — each of which is better served by its own process model.</w:t>
      </w:r>
    </w:p>
    <w:p>
      <w:pPr>
        <w:spacing w:after="120" w:lineRule="auto" w:line="360"/>
        <w:jc w:val="both"/>
      </w:pPr>
      <w:r>
        <w:rPr>
          <w:rFonts w:ascii="Times New Roman" w:hAnsi="Times New Roman"/>
          <w:b w:val="0"/>
          <w:i w:val="0"/>
          <w:color w:val="000000"/>
          <w:sz w:val="24"/>
        </w:rPr>
        <w:t>For the software engineering track (API backend, web dashboard, mobile application, database design, and integration), the project adopted the Agile Scrum framework. Scrum's iterative sprint structure, emphasis on working software at the end of each sprint, and accommodation of evolving requirements made it the appropriate methodology for a project where user interface designs, API response structures, and notification filtering logic underwent significant refinement based on ongoing testing and stakeholder feedback. Each sprint was governed by a Sprint Planning session (scope definition), daily conceptual stand-ups (progress tracking against the sprint backlog), a Sprint Review (demonstration of completed features against acceptance criteria), and a Sprint Retrospective (identification of process improvements for the subsequent sprint).</w:t>
      </w:r>
    </w:p>
    <w:p>
      <w:pPr>
        <w:spacing w:after="120" w:lineRule="auto" w:line="360"/>
        <w:jc w:val="both"/>
      </w:pPr>
      <w:r>
        <w:rPr>
          <w:rFonts w:ascii="Times New Roman" w:hAnsi="Times New Roman"/>
          <w:b w:val="0"/>
          <w:i w:val="0"/>
          <w:color w:val="000000"/>
          <w:sz w:val="24"/>
        </w:rPr>
        <w:t>For the computer vision track (YOLO dataset construction, model training, validation, and hyperparameter optimization), the project adopted the CRISP-DM (Cross-Industry Standard Process for Data Mining) methodology, which provides a structured process for data-centric machine learning projects. CRISP-DM's six phases — Business Understanding, Data Understanding, Data Preparation, Modeling, Evaluation, and Deployment — map naturally to the stages of a custom model training project. The Business Understanding phase established the character mAP target and inference latency requirements. Data Understanding and Preparation phases covered synthetic dataset generation, YOLO-format annotation creation, and training/validation split design. The Modeling phase covered architecture selection (YOLOv8n vs YOLOv8s), hyperparameter tuning (learning rate, augmentation strategies, anchor configuration), and transfer learning from COCO-pretrained weights. The Evaluation phase established validation metrics against the test partition. The Deployment phase covered model export to ONNX format for cross-platform inference and integration into the FastAPI vision endpoint.</w:t>
      </w:r>
    </w:p>
    <w:p>
      <w:pPr>
        <w:spacing w:before="160" w:after="80"/>
        <w:jc w:val="center"/>
      </w:pPr>
      <w:r>
        <w:drawing>
          <wp:inline xmlns:a="http://schemas.openxmlformats.org/drawingml/2006/main" xmlns:pic="http://schemas.openxmlformats.org/drawingml/2006/picture">
            <wp:extent cx="5303520" cy="3774284"/>
            <wp:docPr id="1" name="Picture 1"/>
            <wp:cNvGraphicFramePr>
              <a:graphicFrameLocks noChangeAspect="1"/>
            </wp:cNvGraphicFramePr>
            <a:graphic>
              <a:graphicData uri="http://schemas.openxmlformats.org/drawingml/2006/picture">
                <pic:pic>
                  <pic:nvPicPr>
                    <pic:cNvPr id="0" name="methodology_framework.png"/>
                    <pic:cNvPicPr/>
                  </pic:nvPicPr>
                  <pic:blipFill>
                    <a:blip r:embed="rId9"/>
                    <a:stretch>
                      <a:fillRect/>
                    </a:stretch>
                  </pic:blipFill>
                  <pic:spPr>
                    <a:xfrm>
                      <a:off x="0" y="0"/>
                      <a:ext cx="5303520" cy="3774284"/>
                    </a:xfrm>
                    <a:prstGeom prst="rect"/>
                  </pic:spPr>
                </pic:pic>
              </a:graphicData>
            </a:graphic>
          </wp:inline>
        </w:drawing>
      </w:r>
    </w:p>
    <w:p>
      <w:pPr>
        <w:spacing w:after="240"/>
        <w:jc w:val="center"/>
      </w:pPr>
      <w:r>
        <w:rPr>
          <w:rFonts w:ascii="Times New Roman" w:hAnsi="Times New Roman"/>
          <w:b/>
          <w:i/>
          <w:color w:val="1B365D"/>
          <w:sz w:val="20"/>
        </w:rPr>
        <w:t>Figure 5.1: HAAZIR Dual Methodology Framework (Agile Scrum &amp; CRISP-DM)</w:t>
      </w:r>
    </w:p>
    <w:p>
      <w:pPr>
        <w:spacing w:after="120" w:before="120"/>
        <w:jc w:val="left"/>
      </w:pPr>
      <w:r>
        <w:rPr>
          <w:rFonts w:ascii="Times New Roman" w:hAnsi="Times New Roman"/>
          <w:b/>
          <w:color w:val="000000"/>
          <w:sz w:val="24"/>
        </w:rPr>
        <w:t>5.2  Work Breakdown Structure (Wbs)</w:t>
      </w:r>
    </w:p>
    <w:p>
      <w:pPr>
        <w:spacing w:after="120" w:lineRule="auto" w:line="360"/>
        <w:jc w:val="both"/>
      </w:pPr>
      <w:r>
        <w:rPr>
          <w:rFonts w:ascii="Times New Roman" w:hAnsi="Times New Roman"/>
          <w:b w:val="0"/>
          <w:i w:val="0"/>
          <w:color w:val="000000"/>
          <w:sz w:val="24"/>
        </w:rPr>
        <w:t>The complete project Work Breakdown Structure, organized across the six development phases, is presented below:</w:t>
      </w:r>
    </w:p>
    <w:p>
      <w:pPr>
        <w:spacing w:after="80" w:before="80"/>
        <w:jc w:val="left"/>
      </w:pPr>
      <w:r>
        <w:rPr>
          <w:rFonts w:ascii="Times New Roman" w:hAnsi="Times New Roman"/>
          <w:b/>
          <w:color w:val="000000"/>
          <w:sz w:val="24"/>
        </w:rPr>
        <w:t>Phase 1: Infrastructure &amp; Architecture</w:t>
      </w:r>
    </w:p>
    <w:p>
      <w:pPr>
        <w:pStyle w:val="ListBullet"/>
        <w:spacing w:after="60" w:lineRule="auto" w:line="360"/>
        <w:ind w:left="360"/>
      </w:pPr>
      <w:r>
        <w:rPr>
          <w:rFonts w:ascii="Times New Roman" w:hAnsi="Times New Roman"/>
          <w:color w:val="000000"/>
          <w:sz w:val="24"/>
        </w:rPr>
        <w:t>1.1 Define Clean Architecture module boundaries and repository structure</w:t>
      </w:r>
    </w:p>
    <w:p>
      <w:pPr>
        <w:pStyle w:val="ListBullet"/>
        <w:spacing w:after="60" w:lineRule="auto" w:line="360"/>
        <w:ind w:left="360"/>
      </w:pPr>
      <w:r>
        <w:rPr>
          <w:rFonts w:ascii="Times New Roman" w:hAnsi="Times New Roman"/>
          <w:color w:val="000000"/>
          <w:sz w:val="24"/>
        </w:rPr>
        <w:t>1.2 Design normalized relational database schema (9 tables, 3NF validated)</w:t>
      </w:r>
    </w:p>
    <w:p>
      <w:pPr>
        <w:pStyle w:val="ListBullet"/>
        <w:spacing w:after="60" w:lineRule="auto" w:line="360"/>
        <w:ind w:left="360"/>
      </w:pPr>
      <w:r>
        <w:rPr>
          <w:rFonts w:ascii="Times New Roman" w:hAnsi="Times New Roman"/>
          <w:color w:val="000000"/>
          <w:sz w:val="24"/>
        </w:rPr>
        <w:t>1.3 Implement SQLAlchemy ORM models and Alembic migration baseline</w:t>
      </w:r>
    </w:p>
    <w:p>
      <w:pPr>
        <w:pStyle w:val="ListBullet"/>
        <w:spacing w:after="60" w:lineRule="auto" w:line="360"/>
        <w:ind w:left="360"/>
      </w:pPr>
      <w:r>
        <w:rPr>
          <w:rFonts w:ascii="Times New Roman" w:hAnsi="Times New Roman"/>
          <w:color w:val="000000"/>
          <w:sz w:val="24"/>
        </w:rPr>
        <w:t>1.4 Set up FastAPI application factory with ASGI server (uvicorn)</w:t>
      </w:r>
    </w:p>
    <w:p>
      <w:pPr>
        <w:pStyle w:val="ListBullet"/>
        <w:spacing w:after="60" w:lineRule="auto" w:line="360"/>
        <w:ind w:left="360"/>
      </w:pPr>
      <w:r>
        <w:rPr>
          <w:rFonts w:ascii="Times New Roman" w:hAnsi="Times New Roman"/>
          <w:color w:val="000000"/>
          <w:sz w:val="24"/>
        </w:rPr>
        <w:t>1.5 Implement multi-tenant row-level isolation middleware</w:t>
      </w:r>
    </w:p>
    <w:p>
      <w:pPr>
        <w:pStyle w:val="ListBullet"/>
        <w:spacing w:after="60" w:lineRule="auto" w:line="360"/>
        <w:ind w:left="360"/>
      </w:pPr>
      <w:r>
        <w:rPr>
          <w:rFonts w:ascii="Times New Roman" w:hAnsi="Times New Roman"/>
          <w:color w:val="000000"/>
          <w:sz w:val="24"/>
        </w:rPr>
        <w:t>1.6 Configure environment-based settings (python-decouple)</w:t>
      </w:r>
    </w:p>
    <w:p>
      <w:pPr>
        <w:spacing w:after="80" w:before="80"/>
        <w:jc w:val="left"/>
      </w:pPr>
      <w:r>
        <w:rPr>
          <w:rFonts w:ascii="Times New Roman" w:hAnsi="Times New Roman"/>
          <w:b/>
          <w:color w:val="000000"/>
          <w:sz w:val="24"/>
        </w:rPr>
        <w:t>Phase 2: Authentication &amp; User Management</w:t>
      </w:r>
    </w:p>
    <w:p>
      <w:pPr>
        <w:pStyle w:val="ListBullet"/>
        <w:spacing w:after="60" w:lineRule="auto" w:line="360"/>
        <w:ind w:left="360"/>
      </w:pPr>
      <w:r>
        <w:rPr>
          <w:rFonts w:ascii="Times New Roman" w:hAnsi="Times New Roman"/>
          <w:color w:val="000000"/>
          <w:sz w:val="24"/>
        </w:rPr>
        <w:t>2.1 Implement JWT token issuance and validation with python-jose</w:t>
      </w:r>
    </w:p>
    <w:p>
      <w:pPr>
        <w:pStyle w:val="ListBullet"/>
        <w:spacing w:after="60" w:lineRule="auto" w:line="360"/>
        <w:ind w:left="360"/>
      </w:pPr>
      <w:r>
        <w:rPr>
          <w:rFonts w:ascii="Times New Roman" w:hAnsi="Times New Roman"/>
          <w:color w:val="000000"/>
          <w:sz w:val="24"/>
        </w:rPr>
        <w:t>2.2 Define RBAC role hierarchy (ADMIN, PRINCIPAL, TEACHER, PARENT, STUDENT)</w:t>
      </w:r>
    </w:p>
    <w:p>
      <w:pPr>
        <w:pStyle w:val="ListBullet"/>
        <w:spacing w:after="60" w:lineRule="auto" w:line="360"/>
        <w:ind w:left="360"/>
      </w:pPr>
      <w:r>
        <w:rPr>
          <w:rFonts w:ascii="Times New Roman" w:hAnsi="Times New Roman"/>
          <w:color w:val="000000"/>
          <w:sz w:val="24"/>
        </w:rPr>
        <w:t>2.3 Implement granular permission decorators via FastAPI Depends()</w:t>
      </w:r>
    </w:p>
    <w:p>
      <w:pPr>
        <w:pStyle w:val="ListBullet"/>
        <w:spacing w:after="60" w:lineRule="auto" w:line="360"/>
        <w:ind w:left="360"/>
      </w:pPr>
      <w:r>
        <w:rPr>
          <w:rFonts w:ascii="Times New Roman" w:hAnsi="Times New Roman"/>
          <w:color w:val="000000"/>
          <w:sz w:val="24"/>
        </w:rPr>
        <w:t>2.4 Build user registration, login, and token refresh endpoints</w:t>
      </w:r>
    </w:p>
    <w:p>
      <w:pPr>
        <w:pStyle w:val="ListBullet"/>
        <w:spacing w:after="60" w:lineRule="auto" w:line="360"/>
        <w:ind w:left="360"/>
      </w:pPr>
      <w:r>
        <w:rPr>
          <w:rFonts w:ascii="Times New Roman" w:hAnsi="Times New Roman"/>
          <w:color w:val="000000"/>
          <w:sz w:val="24"/>
        </w:rPr>
        <w:t>2.5 Implement assigned_sections JWT claim for teacher section scoping</w:t>
      </w:r>
    </w:p>
    <w:p>
      <w:pPr>
        <w:spacing w:after="80" w:before="80"/>
        <w:jc w:val="left"/>
      </w:pPr>
      <w:r>
        <w:rPr>
          <w:rFonts w:ascii="Times New Roman" w:hAnsi="Times New Roman"/>
          <w:b/>
          <w:color w:val="000000"/>
          <w:sz w:val="24"/>
        </w:rPr>
        <w:t>Phase 3: Core Academic Modules</w:t>
      </w:r>
    </w:p>
    <w:p>
      <w:pPr>
        <w:pStyle w:val="ListBullet"/>
        <w:spacing w:after="60" w:lineRule="auto" w:line="360"/>
        <w:ind w:left="360"/>
      </w:pPr>
      <w:r>
        <w:rPr>
          <w:rFonts w:ascii="Times New Roman" w:hAnsi="Times New Roman"/>
          <w:color w:val="000000"/>
          <w:sz w:val="24"/>
        </w:rPr>
        <w:t>3.1 Build Synthetic Data Engine (Module 3.0) with Faker en_IN locale</w:t>
      </w:r>
    </w:p>
    <w:p>
      <w:pPr>
        <w:pStyle w:val="ListBullet"/>
        <w:spacing w:after="60" w:lineRule="auto" w:line="360"/>
        <w:ind w:left="360"/>
      </w:pPr>
      <w:r>
        <w:rPr>
          <w:rFonts w:ascii="Times New Roman" w:hAnsi="Times New Roman"/>
          <w:color w:val="000000"/>
          <w:sz w:val="24"/>
        </w:rPr>
        <w:t>3.2 Implement StudentRepository and ClassSectionRepository with bulk insert</w:t>
      </w:r>
    </w:p>
    <w:p>
      <w:pPr>
        <w:pStyle w:val="ListBullet"/>
        <w:spacing w:after="60" w:lineRule="auto" w:line="360"/>
        <w:ind w:left="360"/>
      </w:pPr>
      <w:r>
        <w:rPr>
          <w:rFonts w:ascii="Times New Roman" w:hAnsi="Times New Roman"/>
          <w:color w:val="000000"/>
          <w:sz w:val="24"/>
        </w:rPr>
        <w:t>3.3 Build Student CRUD API endpoints with Pydantic v2 validation models</w:t>
      </w:r>
    </w:p>
    <w:p>
      <w:pPr>
        <w:pStyle w:val="ListBullet"/>
        <w:spacing w:after="60" w:lineRule="auto" w:line="360"/>
        <w:ind w:left="360"/>
      </w:pPr>
      <w:r>
        <w:rPr>
          <w:rFonts w:ascii="Times New Roman" w:hAnsi="Times New Roman"/>
          <w:color w:val="000000"/>
          <w:sz w:val="24"/>
        </w:rPr>
        <w:t>3.4 Build ClassSection management endpoints with teacher assignment</w:t>
      </w:r>
    </w:p>
    <w:p>
      <w:pPr>
        <w:pStyle w:val="ListBullet"/>
        <w:spacing w:after="60" w:lineRule="auto" w:line="360"/>
        <w:ind w:left="360"/>
      </w:pPr>
      <w:r>
        <w:rPr>
          <w:rFonts w:ascii="Times New Roman" w:hAnsi="Times New Roman"/>
          <w:color w:val="000000"/>
          <w:sz w:val="24"/>
        </w:rPr>
        <w:t>3.5 Build TimetableRepository and periodic schedule management</w:t>
      </w:r>
    </w:p>
    <w:p>
      <w:pPr>
        <w:spacing w:after="80" w:before="80"/>
        <w:jc w:val="left"/>
      </w:pPr>
      <w:r>
        <w:rPr>
          <w:rFonts w:ascii="Times New Roman" w:hAnsi="Times New Roman"/>
          <w:b/>
          <w:color w:val="000000"/>
          <w:sz w:val="24"/>
        </w:rPr>
        <w:t>Phase 4: YOLO Vision Engine</w:t>
      </w:r>
    </w:p>
    <w:p>
      <w:pPr>
        <w:pStyle w:val="ListBullet"/>
        <w:spacing w:after="60" w:lineRule="auto" w:line="360"/>
        <w:ind w:left="360"/>
      </w:pPr>
      <w:r>
        <w:rPr>
          <w:rFonts w:ascii="Times New Roman" w:hAnsi="Times New Roman"/>
          <w:color w:val="000000"/>
          <w:sz w:val="24"/>
        </w:rPr>
        <w:t>4.1 Generate synthetic attendance register training dataset (YOLO annotation format)</w:t>
      </w:r>
    </w:p>
    <w:p>
      <w:pPr>
        <w:pStyle w:val="ListBullet"/>
        <w:spacing w:after="60" w:lineRule="auto" w:line="360"/>
        <w:ind w:left="360"/>
      </w:pPr>
      <w:r>
        <w:rPr>
          <w:rFonts w:ascii="Times New Roman" w:hAnsi="Times New Roman"/>
          <w:color w:val="000000"/>
          <w:sz w:val="24"/>
        </w:rPr>
        <w:t>4.2 Transfer learning fine-tuning of YOLOv8n on register dataset</w:t>
      </w:r>
    </w:p>
    <w:p>
      <w:pPr>
        <w:pStyle w:val="ListBullet"/>
        <w:spacing w:after="60" w:lineRule="auto" w:line="360"/>
        <w:ind w:left="360"/>
      </w:pPr>
      <w:r>
        <w:rPr>
          <w:rFonts w:ascii="Times New Roman" w:hAnsi="Times New Roman"/>
          <w:color w:val="000000"/>
          <w:sz w:val="24"/>
        </w:rPr>
        <w:t>4.3 Implement OpenCV homography deskewing preprocessing module</w:t>
      </w:r>
    </w:p>
    <w:p>
      <w:pPr>
        <w:pStyle w:val="ListBullet"/>
        <w:spacing w:after="60" w:lineRule="auto" w:line="360"/>
        <w:ind w:left="360"/>
      </w:pPr>
      <w:r>
        <w:rPr>
          <w:rFonts w:ascii="Times New Roman" w:hAnsi="Times New Roman"/>
          <w:color w:val="000000"/>
          <w:sz w:val="24"/>
        </w:rPr>
        <w:t>4.4 Implement YOLO column detection head inference and cell grid slicing</w:t>
      </w:r>
    </w:p>
    <w:p>
      <w:pPr>
        <w:pStyle w:val="ListBullet"/>
        <w:spacing w:after="60" w:lineRule="auto" w:line="360"/>
        <w:ind w:left="360"/>
      </w:pPr>
      <w:r>
        <w:rPr>
          <w:rFonts w:ascii="Times New Roman" w:hAnsi="Times New Roman"/>
          <w:color w:val="000000"/>
          <w:sz w:val="24"/>
        </w:rPr>
        <w:t>4.5 Build character mark classification pipeline (P/A/L/tick/cross)</w:t>
      </w:r>
    </w:p>
    <w:p>
      <w:pPr>
        <w:pStyle w:val="ListBullet"/>
        <w:spacing w:after="60" w:lineRule="auto" w:line="360"/>
        <w:ind w:left="360"/>
      </w:pPr>
      <w:r>
        <w:rPr>
          <w:rFonts w:ascii="Times New Roman" w:hAnsi="Times New Roman"/>
          <w:color w:val="000000"/>
          <w:sz w:val="24"/>
        </w:rPr>
        <w:t>4.6 Implement HITL verification dialog on mobile React Native client</w:t>
      </w:r>
    </w:p>
    <w:p>
      <w:pPr>
        <w:pStyle w:val="ListBullet"/>
        <w:spacing w:after="60" w:lineRule="auto" w:line="360"/>
        <w:ind w:left="360"/>
      </w:pPr>
      <w:r>
        <w:rPr>
          <w:rFonts w:ascii="Times New Roman" w:hAnsi="Times New Roman"/>
          <w:color w:val="000000"/>
          <w:sz w:val="24"/>
        </w:rPr>
        <w:t>4.7 Build FastAPI /vision/scan endpoint with ONNX model inference</w:t>
      </w:r>
    </w:p>
    <w:p>
      <w:pPr>
        <w:spacing w:after="80" w:before="80"/>
        <w:jc w:val="left"/>
      </w:pPr>
      <w:r>
        <w:rPr>
          <w:rFonts w:ascii="Times New Roman" w:hAnsi="Times New Roman"/>
          <w:b/>
          <w:color w:val="000000"/>
          <w:sz w:val="24"/>
        </w:rPr>
        <w:t>Phase 5: Fee, Notifications &amp; Analytics</w:t>
      </w:r>
    </w:p>
    <w:p>
      <w:pPr>
        <w:pStyle w:val="ListBullet"/>
        <w:spacing w:after="60" w:lineRule="auto" w:line="360"/>
        <w:ind w:left="360"/>
      </w:pPr>
      <w:r>
        <w:rPr>
          <w:rFonts w:ascii="Times New Roman" w:hAnsi="Times New Roman"/>
          <w:color w:val="000000"/>
          <w:sz w:val="24"/>
        </w:rPr>
        <w:t>5.1 Implement FeeStructure and FeeInvoice ORM models and repositories</w:t>
      </w:r>
    </w:p>
    <w:p>
      <w:pPr>
        <w:pStyle w:val="ListBullet"/>
        <w:spacing w:after="60" w:lineRule="auto" w:line="360"/>
        <w:ind w:left="360"/>
      </w:pPr>
      <w:r>
        <w:rPr>
          <w:rFonts w:ascii="Times New Roman" w:hAnsi="Times New Roman"/>
          <w:color w:val="000000"/>
          <w:sz w:val="24"/>
        </w:rPr>
        <w:t>5.2 Build fee management REST API with Razorpay sandbox webhook integration</w:t>
      </w:r>
    </w:p>
    <w:p>
      <w:pPr>
        <w:pStyle w:val="ListBullet"/>
        <w:spacing w:after="60" w:lineRule="auto" w:line="360"/>
        <w:ind w:left="360"/>
      </w:pPr>
      <w:r>
        <w:rPr>
          <w:rFonts w:ascii="Times New Roman" w:hAnsi="Times New Roman"/>
          <w:color w:val="000000"/>
          <w:sz w:val="24"/>
        </w:rPr>
        <w:t>5.3 Implement FCM push notification provider module</w:t>
      </w:r>
    </w:p>
    <w:p>
      <w:pPr>
        <w:pStyle w:val="ListBullet"/>
        <w:spacing w:after="60" w:lineRule="auto" w:line="360"/>
        <w:ind w:left="360"/>
      </w:pPr>
      <w:r>
        <w:rPr>
          <w:rFonts w:ascii="Times New Roman" w:hAnsi="Times New Roman"/>
          <w:color w:val="000000"/>
          <w:sz w:val="24"/>
        </w:rPr>
        <w:t>5.4 Build InAppNotification model with role-scoped and user-scoped filtering</w:t>
      </w:r>
    </w:p>
    <w:p>
      <w:pPr>
        <w:pStyle w:val="ListBullet"/>
        <w:spacing w:after="60" w:lineRule="auto" w:line="360"/>
        <w:ind w:left="360"/>
      </w:pPr>
      <w:r>
        <w:rPr>
          <w:rFonts w:ascii="Times New Roman" w:hAnsi="Times New Roman"/>
          <w:color w:val="000000"/>
          <w:sz w:val="24"/>
        </w:rPr>
        <w:t>5.5 Implement Text-to-SQL service with Groq/Gemini LLM API integration</w:t>
      </w:r>
    </w:p>
    <w:p>
      <w:pPr>
        <w:pStyle w:val="ListBullet"/>
        <w:spacing w:after="60" w:lineRule="auto" w:line="360"/>
        <w:ind w:left="360"/>
      </w:pPr>
      <w:r>
        <w:rPr>
          <w:rFonts w:ascii="Times New Roman" w:hAnsi="Times New Roman"/>
          <w:color w:val="000000"/>
          <w:sz w:val="24"/>
        </w:rPr>
        <w:t>5.6 Implement sqlglot AST guardrails for SQL safety validation</w:t>
      </w:r>
    </w:p>
    <w:p>
      <w:pPr>
        <w:pStyle w:val="ListBullet"/>
        <w:spacing w:after="60" w:lineRule="auto" w:line="360"/>
        <w:ind w:left="360"/>
      </w:pPr>
      <w:r>
        <w:rPr>
          <w:rFonts w:ascii="Times New Roman" w:hAnsi="Times New Roman"/>
          <w:color w:val="000000"/>
          <w:sz w:val="24"/>
        </w:rPr>
        <w:t>5.7 Build schema context prompt engineering with few-shot exemplars</w:t>
      </w:r>
    </w:p>
    <w:p>
      <w:pPr>
        <w:spacing w:after="80" w:before="80"/>
        <w:jc w:val="left"/>
      </w:pPr>
      <w:r>
        <w:rPr>
          <w:rFonts w:ascii="Times New Roman" w:hAnsi="Times New Roman"/>
          <w:b/>
          <w:color w:val="000000"/>
          <w:sz w:val="24"/>
        </w:rPr>
        <w:t>Phase 6: UI Integration &amp; Testing</w:t>
      </w:r>
    </w:p>
    <w:p>
      <w:pPr>
        <w:pStyle w:val="ListBullet"/>
        <w:spacing w:after="60" w:lineRule="auto" w:line="360"/>
        <w:ind w:left="360"/>
      </w:pPr>
      <w:r>
        <w:rPr>
          <w:rFonts w:ascii="Times New Roman" w:hAnsi="Times New Roman"/>
          <w:color w:val="000000"/>
          <w:sz w:val="24"/>
        </w:rPr>
        <w:t>6.1 Build React 19 web dashboard with Vite, Tailwind v4, and Recharts</w:t>
      </w:r>
    </w:p>
    <w:p>
      <w:pPr>
        <w:pStyle w:val="ListBullet"/>
        <w:spacing w:after="60" w:lineRule="auto" w:line="360"/>
        <w:ind w:left="360"/>
      </w:pPr>
      <w:r>
        <w:rPr>
          <w:rFonts w:ascii="Times New Roman" w:hAnsi="Times New Roman"/>
          <w:color w:val="000000"/>
          <w:sz w:val="24"/>
        </w:rPr>
        <w:t>6.2 Implement role-adaptive navigation and protected route guards</w:t>
      </w:r>
    </w:p>
    <w:p>
      <w:pPr>
        <w:pStyle w:val="ListBullet"/>
        <w:spacing w:after="60" w:lineRule="auto" w:line="360"/>
        <w:ind w:left="360"/>
      </w:pPr>
      <w:r>
        <w:rPr>
          <w:rFonts w:ascii="Times New Roman" w:hAnsi="Times New Roman"/>
          <w:color w:val="000000"/>
          <w:sz w:val="24"/>
        </w:rPr>
        <w:t>6.3 Build React Native Expo mobile screens for all five user roles</w:t>
      </w:r>
    </w:p>
    <w:p>
      <w:pPr>
        <w:pStyle w:val="ListBullet"/>
        <w:spacing w:after="60" w:lineRule="auto" w:line="360"/>
        <w:ind w:left="360"/>
      </w:pPr>
      <w:r>
        <w:rPr>
          <w:rFonts w:ascii="Times New Roman" w:hAnsi="Times New Roman"/>
          <w:color w:val="000000"/>
          <w:sz w:val="24"/>
        </w:rPr>
        <w:t>6.4 Implement AsyncStorage offline caching and sync</w:t>
      </w:r>
    </w:p>
    <w:p>
      <w:pPr>
        <w:pStyle w:val="ListBullet"/>
        <w:spacing w:after="60" w:lineRule="auto" w:line="360"/>
        <w:ind w:left="360"/>
      </w:pPr>
      <w:r>
        <w:rPr>
          <w:rFonts w:ascii="Times New Roman" w:hAnsi="Times New Roman"/>
          <w:color w:val="000000"/>
          <w:sz w:val="24"/>
        </w:rPr>
        <w:t>6.5 Run tsc --noEmit TypeScript strict mode validation (0 errors)</w:t>
      </w:r>
    </w:p>
    <w:p>
      <w:pPr>
        <w:pStyle w:val="ListBullet"/>
        <w:spacing w:after="60" w:lineRule="auto" w:line="360"/>
        <w:ind w:left="360"/>
      </w:pPr>
      <w:r>
        <w:rPr>
          <w:rFonts w:ascii="Times New Roman" w:hAnsi="Times New Roman"/>
          <w:color w:val="000000"/>
          <w:sz w:val="24"/>
        </w:rPr>
        <w:t>6.6 Conduct end-to-end integration testing across all API endpoints</w:t>
      </w:r>
    </w:p>
    <w:p>
      <w:pPr>
        <w:pStyle w:val="ListBullet"/>
        <w:spacing w:after="60" w:lineRule="auto" w:line="360"/>
        <w:ind w:left="360"/>
      </w:pPr>
      <w:r>
        <w:rPr>
          <w:rFonts w:ascii="Times New Roman" w:hAnsi="Times New Roman"/>
          <w:color w:val="000000"/>
          <w:sz w:val="24"/>
        </w:rPr>
        <w:t>6.7 Write academic synopsis documentation</w:t>
      </w:r>
    </w:p>
    <w:p>
      <w:pPr>
        <w:spacing w:before="160" w:after="80"/>
        <w:jc w:val="center"/>
      </w:pPr>
      <w:r>
        <w:drawing>
          <wp:inline xmlns:a="http://schemas.openxmlformats.org/drawingml/2006/main" xmlns:pic="http://schemas.openxmlformats.org/drawingml/2006/picture">
            <wp:extent cx="5303520" cy="2548175"/>
            <wp:docPr id="2" name="Picture 2"/>
            <wp:cNvGraphicFramePr>
              <a:graphicFrameLocks noChangeAspect="1"/>
            </wp:cNvGraphicFramePr>
            <a:graphic>
              <a:graphicData uri="http://schemas.openxmlformats.org/drawingml/2006/picture">
                <pic:pic>
                  <pic:nvPicPr>
                    <pic:cNvPr id="0" name="gantt_chart.png"/>
                    <pic:cNvPicPr/>
                  </pic:nvPicPr>
                  <pic:blipFill>
                    <a:blip r:embed="rId10"/>
                    <a:stretch>
                      <a:fillRect/>
                    </a:stretch>
                  </pic:blipFill>
                  <pic:spPr>
                    <a:xfrm>
                      <a:off x="0" y="0"/>
                      <a:ext cx="5303520" cy="2548175"/>
                    </a:xfrm>
                    <a:prstGeom prst="rect"/>
                  </pic:spPr>
                </pic:pic>
              </a:graphicData>
            </a:graphic>
          </wp:inline>
        </w:drawing>
      </w:r>
    </w:p>
    <w:p>
      <w:pPr>
        <w:spacing w:after="240"/>
        <w:jc w:val="center"/>
      </w:pPr>
      <w:r>
        <w:rPr>
          <w:rFonts w:ascii="Times New Roman" w:hAnsi="Times New Roman"/>
          <w:b/>
          <w:i/>
          <w:color w:val="1B365D"/>
          <w:sz w:val="20"/>
        </w:rPr>
        <w:t>Figure 5.2: Work Breakdown Structure &amp; Project Implementation Schedule (Gantt Chart)</w:t>
      </w:r>
    </w:p>
    <w:p>
      <w:r>
        <w:br w:type="page"/>
      </w:r>
    </w:p>
    <w:p>
      <w:pPr>
        <w:spacing w:after="240" w:before="120"/>
        <w:jc w:val="left"/>
      </w:pPr>
      <w:r>
        <w:rPr>
          <w:rFonts w:ascii="Times New Roman" w:hAnsi="Times New Roman"/>
          <w:b/>
          <w:color w:val="000000"/>
          <w:sz w:val="28"/>
        </w:rPr>
        <w:t>CHAPTER 6: TOOLS &amp; TECHNOLOGIES USED</w:t>
      </w:r>
    </w:p>
    <w:p>
      <w:pPr>
        <w:spacing w:after="120" w:before="120"/>
        <w:jc w:val="left"/>
      </w:pPr>
      <w:r>
        <w:rPr>
          <w:rFonts w:ascii="Times New Roman" w:hAnsi="Times New Roman"/>
          <w:b/>
          <w:color w:val="000000"/>
          <w:sz w:val="24"/>
        </w:rPr>
        <w:t>6.1  Programming Languages</w:t>
      </w:r>
    </w:p>
    <w:p>
      <w:pPr>
        <w:spacing w:after="120" w:lineRule="auto" w:line="360"/>
        <w:jc w:val="both"/>
      </w:pPr>
      <w:r>
        <w:rPr>
          <w:rFonts w:ascii="Times New Roman" w:hAnsi="Times New Roman"/>
          <w:b w:val="0"/>
          <w:i w:val="0"/>
          <w:color w:val="000000"/>
          <w:sz w:val="24"/>
        </w:rPr>
        <w:t>Python 3.12 serves as the primary programming language for the entire HAAZIR backend system. Python's extensive ecosystem for scientific computing, web development, and machine learning — unified under a single language and package management ecosystem (pip/venv) — makes it the optimal choice for a project that spans API development, computer vision, and data processing within a single codebase. Python 3.12 specifically introduces significant performance improvements (the 'Specializing Adaptive Interpreter' mechanism delivering 10-60% speedups for common code patterns) and enhanced error messages that improve debugging efficiency during development. The typing module's PEP 695 type parameter syntax, dataclass improvements, and improved exception group handling further enhance code quality and developer experience.</w:t>
      </w:r>
    </w:p>
    <w:p>
      <w:pPr>
        <w:spacing w:after="120" w:lineRule="auto" w:line="360"/>
        <w:jc w:val="both"/>
      </w:pPr>
      <w:r>
        <w:rPr>
          <w:rFonts w:ascii="Times New Roman" w:hAnsi="Times New Roman"/>
          <w:b w:val="0"/>
          <w:i w:val="0"/>
          <w:color w:val="000000"/>
          <w:sz w:val="24"/>
        </w:rPr>
        <w:t>TypeScript 5.x is used as the programming language for both the React 19 web dashboard (compiled by Vite's esbuild-based TypeScript transpiler) and the React Native Expo mobile application. TypeScript's static type system catches type mismatches at compile time rather than runtime — a critical quality assurance mechanism for frontend codebases where runtime type errors result in user-facing failures. The project runs tsc --noEmit in strict mode as part of the development workflow, ensuring zero TypeScript type errors before any code is committed.</w:t>
      </w:r>
    </w:p>
    <w:p>
      <w:pPr>
        <w:spacing w:after="120" w:lineRule="auto" w:line="360"/>
        <w:jc w:val="both"/>
      </w:pPr>
      <w:r>
        <w:rPr>
          <w:rFonts w:ascii="Times New Roman" w:hAnsi="Times New Roman"/>
          <w:b w:val="0"/>
          <w:i w:val="0"/>
          <w:color w:val="000000"/>
          <w:sz w:val="24"/>
        </w:rPr>
        <w:t>SQL (Structured Query Language) is used throughout the data access layer, both as the target output language of the Text-to-SQL analytics engine and as the query language underlying SQLAlchemy ORM operations. The project uses SQL:2016 standard syntax, compatible with both SQLite 3.45 (development) and PostgreSQL 16 (production).</w:t>
      </w:r>
    </w:p>
    <w:p>
      <w:pPr>
        <w:spacing w:after="120" w:before="120"/>
        <w:jc w:val="left"/>
      </w:pPr>
      <w:r>
        <w:rPr>
          <w:rFonts w:ascii="Times New Roman" w:hAnsi="Times New Roman"/>
          <w:b/>
          <w:color w:val="000000"/>
          <w:sz w:val="24"/>
        </w:rPr>
        <w:t>6.2  Database Management Systems (Dbms)</w:t>
      </w:r>
    </w:p>
    <w:p>
      <w:pPr>
        <w:spacing w:after="120" w:lineRule="auto" w:line="360"/>
        <w:jc w:val="both"/>
      </w:pPr>
      <w:r>
        <w:rPr>
          <w:rFonts w:ascii="Times New Roman" w:hAnsi="Times New Roman"/>
          <w:b w:val="0"/>
          <w:i w:val="0"/>
          <w:color w:val="000000"/>
          <w:sz w:val="24"/>
        </w:rPr>
        <w:t>SQLite 3.45 is used as the development database. Its zero-configuration, serverless, single-file architecture (the entire database is stored in backend/db.sqlite3) makes it the ideal choice for local development: it requires no installation, no service management, and no network configuration. The complete seeded development database (50 students, 1,714 total records) occupies approximately 450 KB on disk, enabling the entire development environment to be shared via version control. SQLite's Write-Ahead Logging (WAL) mode is enabled for improved read concurrency during development testing.</w:t>
      </w:r>
    </w:p>
    <w:p>
      <w:pPr>
        <w:spacing w:after="120" w:lineRule="auto" w:line="360"/>
        <w:jc w:val="both"/>
      </w:pPr>
      <w:r>
        <w:rPr>
          <w:rFonts w:ascii="Times New Roman" w:hAnsi="Times New Roman"/>
          <w:b w:val="0"/>
          <w:i w:val="0"/>
          <w:color w:val="000000"/>
          <w:sz w:val="24"/>
        </w:rPr>
        <w:t>PostgreSQL 16 is specified as the production database target. PostgreSQL's advanced features — including native UUID column type, JSONB for semi-structured data, Row Level Security (RLS) policies that can enforce tenant isolation at the database engine level (complementing the application-level tenant_id filtering), full-text search via tsvector/tsquery, and robust ACID transaction support under high concurrency — make it the appropriate production database for an institution-scale ERP deployment. The transition from SQLite to PostgreSQL in production requires only a change to the DATABASE_URL environment variable; SQLAlchemy's dialect abstraction ensures application code compatibility across both engines.</w:t>
      </w:r>
    </w:p>
    <w:p>
      <w:pPr>
        <w:spacing w:after="120" w:lineRule="auto" w:line="360"/>
        <w:jc w:val="both"/>
      </w:pPr>
      <w:r>
        <w:rPr>
          <w:rFonts w:ascii="Times New Roman" w:hAnsi="Times New Roman"/>
          <w:b w:val="0"/>
          <w:i w:val="0"/>
          <w:color w:val="000000"/>
          <w:sz w:val="24"/>
        </w:rPr>
        <w:t>Alembic 1.13 (the standard SQLAlchemy database schema migration tool) manages all schema version transitions. Every schema change in HAAZIR's development history is captured as a numbered Alembic migration script, enabling reproducible deployment to any environment from a clean database state via alembic upgrade head. This approach eliminates the 'works on my machine' schema drift problem common in academic and early-stage software projects.</w:t>
      </w:r>
    </w:p>
    <w:p>
      <w:pPr>
        <w:spacing w:after="120" w:before="120"/>
        <w:jc w:val="left"/>
      </w:pPr>
      <w:r>
        <w:rPr>
          <w:rFonts w:ascii="Times New Roman" w:hAnsi="Times New Roman"/>
          <w:b/>
          <w:color w:val="000000"/>
          <w:sz w:val="24"/>
        </w:rPr>
        <w:t>6.3  Computer Vision &amp; Machine Learning Frameworks</w:t>
      </w:r>
    </w:p>
    <w:p>
      <w:pPr>
        <w:spacing w:after="120" w:lineRule="auto" w:line="360"/>
        <w:jc w:val="both"/>
      </w:pPr>
      <w:r>
        <w:rPr>
          <w:rFonts w:ascii="Times New Roman" w:hAnsi="Times New Roman"/>
          <w:b w:val="0"/>
          <w:i w:val="0"/>
          <w:color w:val="000000"/>
          <w:sz w:val="24"/>
        </w:rPr>
        <w:t>Ultralytics YOLOv8 / YOLOv11 constitutes the core deep learning framework for HAAZIR's computer vision pipeline. Ultralytics provides a unified Python API that abstracts model training, validation, export (to ONNX, TorchScript, CoreML, TFLite, and TensorRT formats), and inference under a single ultralytics package. The YOLOv8 architecture uses a CSP (Cross-Stage Partial) bottleneck backbone, C2f neck structure, and decoupled detection head that separates classification and regression tasks — improvements over YOLOv5 that deliver superior small-object detection performance critical for individual cell character recognition within densely packed register grids.</w:t>
      </w:r>
    </w:p>
    <w:p>
      <w:pPr>
        <w:spacing w:after="120" w:lineRule="auto" w:line="360"/>
        <w:jc w:val="both"/>
      </w:pPr>
      <w:r>
        <w:rPr>
          <w:rFonts w:ascii="Times New Roman" w:hAnsi="Times New Roman"/>
          <w:b w:val="0"/>
          <w:i w:val="0"/>
          <w:color w:val="000000"/>
          <w:sz w:val="24"/>
        </w:rPr>
        <w:t>OpenCV 4.10 (Open Source Computer Vision Library, Apache 2.0 License) provides the image preprocessing layer preceding YOLO inference. Key OpenCV functions used in the HAAZIR pipeline include: cv2.findContours() for document boundary polygon extraction, cv2.getPerspectiveTransform() for computing the 3×3 homography transformation matrix from the four detected corner points, cv2.warpPerspective() for applying the perspective correction transformation, cv2.GaussianBlur() for noise reduction, cv2.adaptiveThreshold() for binarization under variable lighting conditions, and cv2.resize() for normalizing images to YOLO input dimensions (640×640 pixels).</w:t>
      </w:r>
    </w:p>
    <w:p>
      <w:pPr>
        <w:spacing w:after="120" w:lineRule="auto" w:line="360"/>
        <w:jc w:val="both"/>
      </w:pPr>
      <w:r>
        <w:rPr>
          <w:rFonts w:ascii="Times New Roman" w:hAnsi="Times New Roman"/>
          <w:b w:val="0"/>
          <w:i w:val="0"/>
          <w:color w:val="000000"/>
          <w:sz w:val="24"/>
        </w:rPr>
        <w:t>PyTorch 2.4 (Meta AI Research, BSD License) serves as the underlying deep learning compute framework on which Ultralytics YOLOv8 operates. PyTorch's dynamic computation graph (eager execution mode) enables flexible debugging and model introspection during training, while torch.compile() (introduced in PyTorch 2.0) provides compilation-time optimizations for inference speed. CUDA 12.4 backend support enables GPU-accelerated training on the development workstation's NVIDIA RTX 3050 GPU.</w:t>
      </w:r>
    </w:p>
    <w:p>
      <w:pPr>
        <w:spacing w:after="120" w:before="120"/>
        <w:jc w:val="left"/>
      </w:pPr>
      <w:r>
        <w:rPr>
          <w:rFonts w:ascii="Times New Roman" w:hAnsi="Times New Roman"/>
          <w:b/>
          <w:color w:val="000000"/>
          <w:sz w:val="24"/>
        </w:rPr>
        <w:t>6.4  Web Technologies — Frontend</w:t>
      </w:r>
    </w:p>
    <w:p>
      <w:pPr>
        <w:spacing w:after="120" w:lineRule="auto" w:line="360"/>
        <w:jc w:val="both"/>
      </w:pPr>
      <w:r>
        <w:rPr>
          <w:rFonts w:ascii="Times New Roman" w:hAnsi="Times New Roman"/>
          <w:b w:val="0"/>
          <w:i w:val="0"/>
          <w:color w:val="000000"/>
          <w:sz w:val="24"/>
        </w:rPr>
        <w:t>React 19 (Meta Open Source, MIT License) is the JavaScript UI framework for the web dashboard. React 19 introduces the React Compiler (automatic memoization, eliminating manual useMemo and useCallback optimization), Server Components (RSC) for partial server-side rendering, improved Suspense for data loading states, and the useTransition and useOptimistic hooks for concurrent UI patterns. The web dashboard uses React 19's functional component model exclusively, with hooks-based state management and Context API for authentication state.</w:t>
      </w:r>
    </w:p>
    <w:p>
      <w:pPr>
        <w:spacing w:after="120" w:lineRule="auto" w:line="360"/>
        <w:jc w:val="both"/>
      </w:pPr>
      <w:r>
        <w:rPr>
          <w:rFonts w:ascii="Times New Roman" w:hAnsi="Times New Roman"/>
          <w:b w:val="0"/>
          <w:i w:val="0"/>
          <w:color w:val="000000"/>
          <w:sz w:val="24"/>
        </w:rPr>
        <w:t>Vite 6.0 serves as the build tool and development server for the React 19 web dashboard. Vite's native ESM-based development server (bypassing the bundling step entirely during development) delivers sub-50ms hot module replacement (HMR) latency, dramatically improving development iteration speed compared to webpack-based alternatives. Vite's esbuild-based TypeScript transpilation handles strict TypeScript checking as a separate tsc --noEmit step, maintaining build speed while ensuring type safety.</w:t>
      </w:r>
    </w:p>
    <w:p>
      <w:pPr>
        <w:spacing w:after="120" w:lineRule="auto" w:line="360"/>
        <w:jc w:val="both"/>
      </w:pPr>
      <w:r>
        <w:rPr>
          <w:rFonts w:ascii="Times New Roman" w:hAnsi="Times New Roman"/>
          <w:b w:val="0"/>
          <w:i w:val="0"/>
          <w:color w:val="000000"/>
          <w:sz w:val="24"/>
        </w:rPr>
        <w:t>Tailwind CSS v4 provides the utility-first styling framework for the web dashboard. Tailwind v4 abandons the PostCSS plugin architecture of v3 in favor of a dedicated Lightning CSS engine (Rust-based, significantly faster) and a new CSS-first configuration model where design tokens are defined directly in CSS custom properties rather than a JavaScript config file. The web dashboard implements a dark-mode design system using Tailwind's dark: variant with HSL color space tokens for a visually premium administrative interface.</w:t>
      </w:r>
    </w:p>
    <w:p>
      <w:pPr>
        <w:spacing w:after="120" w:lineRule="auto" w:line="360"/>
        <w:jc w:val="both"/>
      </w:pPr>
      <w:r>
        <w:rPr>
          <w:rFonts w:ascii="Times New Roman" w:hAnsi="Times New Roman"/>
          <w:b w:val="0"/>
          <w:i w:val="0"/>
          <w:color w:val="000000"/>
          <w:sz w:val="24"/>
        </w:rPr>
        <w:t>React Native Expo SDK 57 powers the cross-platform mobile application, targeting both Android and iOS from a single TypeScript codebase. Expo's managed workflow eliminates native build toolchain complexity, enabling development using only Node.js and the Expo Go development client. The mobile app uses Expo's AsyncStorage library for offline data persistence, expo-status-bar for system bar theming, and React Native's built-in ScrollView, FlatList, and Modal primitives for UI composition. Axios 1.19 handles all HTTP communication with the FastAPI backend, with request interceptors automatically injecting Authorization: Bearer &lt;token&gt; headers from AsyncStorage into all API calls.</w:t>
      </w:r>
    </w:p>
    <w:p>
      <w:pPr>
        <w:spacing w:after="120" w:before="120"/>
        <w:jc w:val="left"/>
      </w:pPr>
      <w:r>
        <w:rPr>
          <w:rFonts w:ascii="Times New Roman" w:hAnsi="Times New Roman"/>
          <w:b/>
          <w:color w:val="000000"/>
          <w:sz w:val="24"/>
        </w:rPr>
        <w:t>6.5  Additional Libraries &amp; Tools</w:t>
      </w:r>
    </w:p>
    <w:tbl>
      <w:tblPr>
        <w:tblStyle w:val="TableGrid"/>
        <w:jc w:val="center"/>
        <w:tblLook w:firstColumn="1" w:firstRow="1" w:lastColumn="0" w:lastRow="0" w:noHBand="0" w:noVBand="1" w:val="04A0"/>
        <w:tblLayout w:type="fixed"/>
        <w:tblW w:w="8668" w:type="dxa"/>
      </w:tblPr>
      <w:tblGrid>
        <w:gridCol w:w="2339"/>
        <w:gridCol w:w="1100"/>
        <w:gridCol w:w="3852"/>
        <w:gridCol w:w="1376"/>
      </w:tblGrid>
      <w:tr>
        <w:tc>
          <w:tcPr>
            <w:tcW w:w="2339"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Library / Tool</w:t>
            </w:r>
          </w:p>
        </w:tc>
        <w:tc>
          <w:tcPr>
            <w:tcW w:w="110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Version</w:t>
            </w:r>
          </w:p>
        </w:tc>
        <w:tc>
          <w:tcPr>
            <w:tcW w:w="38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Role</w:t>
            </w:r>
          </w:p>
        </w:tc>
        <w:tc>
          <w:tcPr>
            <w:tcW w:w="1376"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License</w:t>
            </w:r>
          </w:p>
        </w:tc>
      </w:tr>
      <w:tr>
        <w:tc>
          <w:tcPr>
            <w:tcW w:w="233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sqlglot</w:t>
            </w:r>
          </w:p>
        </w:tc>
        <w:tc>
          <w:tcPr>
            <w:tcW w:w="110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25.x</w:t>
            </w:r>
          </w:p>
        </w:tc>
        <w:tc>
          <w:tcPr>
            <w:tcW w:w="38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SQL AST parsing and safety validation for analytics engine</w:t>
            </w:r>
          </w:p>
        </w:tc>
        <w:tc>
          <w:tcPr>
            <w:tcW w:w="137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MIT</w:t>
            </w:r>
          </w:p>
        </w:tc>
      </w:tr>
      <w:tr>
        <w:tc>
          <w:tcPr>
            <w:tcW w:w="233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python-jose</w:t>
            </w:r>
          </w:p>
        </w:tc>
        <w:tc>
          <w:tcPr>
            <w:tcW w:w="110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3.3.x</w:t>
            </w:r>
          </w:p>
        </w:tc>
        <w:tc>
          <w:tcPr>
            <w:tcW w:w="38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JWT token issuance, signing, and validation (RS256/HS256)</w:t>
            </w:r>
          </w:p>
        </w:tc>
        <w:tc>
          <w:tcPr>
            <w:tcW w:w="137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MIT</w:t>
            </w:r>
          </w:p>
        </w:tc>
      </w:tr>
      <w:tr>
        <w:tc>
          <w:tcPr>
            <w:tcW w:w="233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passlib[bcrypt]</w:t>
            </w:r>
          </w:p>
        </w:tc>
        <w:tc>
          <w:tcPr>
            <w:tcW w:w="110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1.7.x</w:t>
            </w:r>
          </w:p>
        </w:tc>
        <w:tc>
          <w:tcPr>
            <w:tcW w:w="38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bcrypt password hashing with cost factor for secure credential storage</w:t>
            </w:r>
          </w:p>
        </w:tc>
        <w:tc>
          <w:tcPr>
            <w:tcW w:w="137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BSD</w:t>
            </w:r>
          </w:p>
        </w:tc>
      </w:tr>
      <w:tr>
        <w:tc>
          <w:tcPr>
            <w:tcW w:w="233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python-decouple</w:t>
            </w:r>
          </w:p>
        </w:tc>
        <w:tc>
          <w:tcPr>
            <w:tcW w:w="110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3.8</w:t>
            </w:r>
          </w:p>
        </w:tc>
        <w:tc>
          <w:tcPr>
            <w:tcW w:w="38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Environment variable management (SECRET_KEY, DB URL, API keys)</w:t>
            </w:r>
          </w:p>
        </w:tc>
        <w:tc>
          <w:tcPr>
            <w:tcW w:w="137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MIT</w:t>
            </w:r>
          </w:p>
        </w:tc>
      </w:tr>
      <w:tr>
        <w:tc>
          <w:tcPr>
            <w:tcW w:w="233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Alembic</w:t>
            </w:r>
          </w:p>
        </w:tc>
        <w:tc>
          <w:tcPr>
            <w:tcW w:w="110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1.13.x</w:t>
            </w:r>
          </w:p>
        </w:tc>
        <w:tc>
          <w:tcPr>
            <w:tcW w:w="38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Database schema migration and versioning</w:t>
            </w:r>
          </w:p>
        </w:tc>
        <w:tc>
          <w:tcPr>
            <w:tcW w:w="137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MIT</w:t>
            </w:r>
          </w:p>
        </w:tc>
      </w:tr>
      <w:tr>
        <w:tc>
          <w:tcPr>
            <w:tcW w:w="233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Pydantic v2</w:t>
            </w:r>
          </w:p>
        </w:tc>
        <w:tc>
          <w:tcPr>
            <w:tcW w:w="110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2.x</w:t>
            </w:r>
          </w:p>
        </w:tc>
        <w:tc>
          <w:tcPr>
            <w:tcW w:w="38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Request/response model validation with Rust-compiled core</w:t>
            </w:r>
          </w:p>
        </w:tc>
        <w:tc>
          <w:tcPr>
            <w:tcW w:w="137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MIT</w:t>
            </w:r>
          </w:p>
        </w:tc>
      </w:tr>
      <w:tr>
        <w:tc>
          <w:tcPr>
            <w:tcW w:w="233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Faker (en_IN)</w:t>
            </w:r>
          </w:p>
        </w:tc>
        <w:tc>
          <w:tcPr>
            <w:tcW w:w="110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28.x</w:t>
            </w:r>
          </w:p>
        </w:tc>
        <w:tc>
          <w:tcPr>
            <w:tcW w:w="38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Synthetic identity generation for Module 3.0 seed engine</w:t>
            </w:r>
          </w:p>
        </w:tc>
        <w:tc>
          <w:tcPr>
            <w:tcW w:w="137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MIT</w:t>
            </w:r>
          </w:p>
        </w:tc>
      </w:tr>
      <w:tr>
        <w:tc>
          <w:tcPr>
            <w:tcW w:w="233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Razorpay Python SDK</w:t>
            </w:r>
          </w:p>
        </w:tc>
        <w:tc>
          <w:tcPr>
            <w:tcW w:w="110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1.4.x</w:t>
            </w:r>
          </w:p>
        </w:tc>
        <w:tc>
          <w:tcPr>
            <w:tcW w:w="38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Payment order creation and webhook verification</w:t>
            </w:r>
          </w:p>
        </w:tc>
        <w:tc>
          <w:tcPr>
            <w:tcW w:w="137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Apache 2.0</w:t>
            </w:r>
          </w:p>
        </w:tc>
      </w:tr>
      <w:tr>
        <w:tc>
          <w:tcPr>
            <w:tcW w:w="233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Recharts</w:t>
            </w:r>
          </w:p>
        </w:tc>
        <w:tc>
          <w:tcPr>
            <w:tcW w:w="110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2.x</w:t>
            </w:r>
          </w:p>
        </w:tc>
        <w:tc>
          <w:tcPr>
            <w:tcW w:w="38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React charting library for attendance and fee visualization</w:t>
            </w:r>
          </w:p>
        </w:tc>
        <w:tc>
          <w:tcPr>
            <w:tcW w:w="137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MIT</w:t>
            </w:r>
          </w:p>
        </w:tc>
      </w:tr>
      <w:tr>
        <w:tc>
          <w:tcPr>
            <w:tcW w:w="233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Lucide React</w:t>
            </w:r>
          </w:p>
        </w:tc>
        <w:tc>
          <w:tcPr>
            <w:tcW w:w="110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0.4x</w:t>
            </w:r>
          </w:p>
        </w:tc>
        <w:tc>
          <w:tcPr>
            <w:tcW w:w="38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SVG icon library for web dashboard UI components</w:t>
            </w:r>
          </w:p>
        </w:tc>
        <w:tc>
          <w:tcPr>
            <w:tcW w:w="137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ISC</w:t>
            </w:r>
          </w:p>
        </w:tc>
      </w:tr>
      <w:tr>
        <w:tc>
          <w:tcPr>
            <w:tcW w:w="233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uvicorn[standard]</w:t>
            </w:r>
          </w:p>
        </w:tc>
        <w:tc>
          <w:tcPr>
            <w:tcW w:w="110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0.30.x</w:t>
            </w:r>
          </w:p>
        </w:tc>
        <w:tc>
          <w:tcPr>
            <w:tcW w:w="38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ASGI server for FastAPI production deployment</w:t>
            </w:r>
          </w:p>
        </w:tc>
        <w:tc>
          <w:tcPr>
            <w:tcW w:w="137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BSD</w:t>
            </w:r>
          </w:p>
        </w:tc>
      </w:tr>
      <w:tr>
        <w:tc>
          <w:tcPr>
            <w:tcW w:w="233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rich</w:t>
            </w:r>
          </w:p>
        </w:tc>
        <w:tc>
          <w:tcPr>
            <w:tcW w:w="110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13.x</w:t>
            </w:r>
          </w:p>
        </w:tc>
        <w:tc>
          <w:tcPr>
            <w:tcW w:w="38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Terminal-formatted logging, progress bars, and seed summary tables</w:t>
            </w:r>
          </w:p>
        </w:tc>
        <w:tc>
          <w:tcPr>
            <w:tcW w:w="137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MIT</w:t>
            </w:r>
          </w:p>
        </w:tc>
      </w:tr>
    </w:tbl>
    <w:p/>
    <w:p>
      <w:r>
        <w:br w:type="page"/>
      </w:r>
    </w:p>
    <w:p>
      <w:pPr>
        <w:spacing w:after="240" w:before="120"/>
        <w:jc w:val="left"/>
      </w:pPr>
      <w:r>
        <w:rPr>
          <w:rFonts w:ascii="Times New Roman" w:hAnsi="Times New Roman"/>
          <w:b/>
          <w:color w:val="000000"/>
          <w:sz w:val="28"/>
        </w:rPr>
        <w:t>CHAPTER 7: PLATFORM USED</w:t>
      </w:r>
    </w:p>
    <w:p>
      <w:pPr>
        <w:spacing w:after="120" w:before="120"/>
        <w:jc w:val="left"/>
      </w:pPr>
      <w:r>
        <w:rPr>
          <w:rFonts w:ascii="Times New Roman" w:hAnsi="Times New Roman"/>
          <w:b/>
          <w:color w:val="000000"/>
          <w:sz w:val="24"/>
        </w:rPr>
        <w:t>7.1  Hardware Specifications</w:t>
      </w:r>
    </w:p>
    <w:p>
      <w:pPr>
        <w:spacing w:after="120" w:lineRule="auto" w:line="360"/>
        <w:jc w:val="both"/>
      </w:pPr>
      <w:r>
        <w:rPr>
          <w:rFonts w:ascii="Times New Roman" w:hAnsi="Times New Roman"/>
          <w:b w:val="0"/>
          <w:i w:val="0"/>
          <w:color w:val="000000"/>
          <w:sz w:val="24"/>
        </w:rPr>
        <w:t>The HAAZIR system was developed and tested on the following hardware platform, representative of a mid-range academic development workstation:</w:t>
      </w:r>
    </w:p>
    <w:tbl>
      <w:tblPr>
        <w:tblStyle w:val="TableGrid"/>
        <w:jc w:val="center"/>
        <w:tblLook w:firstColumn="1" w:firstRow="1" w:lastColumn="0" w:lastRow="0" w:noHBand="0" w:noVBand="1" w:val="04A0"/>
        <w:tblLayout w:type="fixed"/>
        <w:tblW w:w="8668" w:type="dxa"/>
      </w:tblPr>
      <w:tblGrid>
        <w:gridCol w:w="1970"/>
        <w:gridCol w:w="2889"/>
        <w:gridCol w:w="3809"/>
      </w:tblGrid>
      <w:tr>
        <w:tc>
          <w:tcPr>
            <w:tcW w:w="197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Component</w:t>
            </w:r>
          </w:p>
        </w:tc>
        <w:tc>
          <w:tcPr>
            <w:tcW w:w="2889"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Specification</w:t>
            </w:r>
          </w:p>
        </w:tc>
        <w:tc>
          <w:tcPr>
            <w:tcW w:w="3809"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Relevance to HAAZIR Development</w:t>
            </w:r>
          </w:p>
        </w:tc>
      </w:tr>
      <w:tr>
        <w:tc>
          <w:tcPr>
            <w:tcW w:w="197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Processor (CPU)</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AMD Ryzen 7 7735HS (8-core, 16-thread, 3.2 GHz base / 4.75 GHz boost, Zen 4 architecture)</w:t>
            </w:r>
          </w:p>
        </w:tc>
        <w:tc>
          <w:tcPr>
            <w:tcW w:w="380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Multi-threaded FastAPI server, PyTorch CPU-mode inference fallback, TypeScript compilation</w:t>
            </w:r>
          </w:p>
        </w:tc>
      </w:tr>
      <w:tr>
        <w:tc>
          <w:tcPr>
            <w:tcW w:w="197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GPU (Discrete)</w:t>
            </w:r>
          </w:p>
        </w:tc>
        <w:tc>
          <w:tcPr>
            <w:tcW w:w="28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NVIDIA RTX 3050 6GB GDDR6 VRAM (2048 CUDA Cores, Compute Capability 8.6)</w:t>
            </w:r>
          </w:p>
        </w:tc>
        <w:tc>
          <w:tcPr>
            <w:tcW w:w="380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YOLOv8 CUDA-accelerated training and inference; OpenCV GPU-accelerated preprocessing</w:t>
            </w:r>
          </w:p>
        </w:tc>
      </w:tr>
      <w:tr>
        <w:tc>
          <w:tcPr>
            <w:tcW w:w="197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RAM</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16 GB DDR5-4800 dual-channel</w:t>
            </w:r>
          </w:p>
        </w:tc>
        <w:tc>
          <w:tcPr>
            <w:tcW w:w="380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Concurrent backend server + Expo mobile dev server + YOLO training process</w:t>
            </w:r>
          </w:p>
        </w:tc>
      </w:tr>
      <w:tr>
        <w:tc>
          <w:tcPr>
            <w:tcW w:w="197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Storage</w:t>
            </w:r>
          </w:p>
        </w:tc>
        <w:tc>
          <w:tcPr>
            <w:tcW w:w="28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512 GB NVMe PCIe Gen 4 SSD (sequential read 6500 MB/s)</w:t>
            </w:r>
          </w:p>
        </w:tc>
        <w:tc>
          <w:tcPr>
            <w:tcW w:w="380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Fast dataset I/O during YOLO training epochs; database I/O for seed engine benchmarking</w:t>
            </w:r>
          </w:p>
        </w:tc>
      </w:tr>
      <w:tr>
        <w:tc>
          <w:tcPr>
            <w:tcW w:w="197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Display</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15.6" 1920×1080 IPS (144 Hz refresh rate)</w:t>
            </w:r>
          </w:p>
        </w:tc>
        <w:tc>
          <w:tcPr>
            <w:tcW w:w="380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Multi-window development workflow (IDE + terminal + browser + mobile emulator)</w:t>
            </w:r>
          </w:p>
        </w:tc>
      </w:tr>
      <w:tr>
        <w:tc>
          <w:tcPr>
            <w:tcW w:w="197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Network</w:t>
            </w:r>
          </w:p>
        </w:tc>
        <w:tc>
          <w:tcPr>
            <w:tcW w:w="28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Wi-Fi 6 (802.11ax) + Gigabit Ethernet</w:t>
            </w:r>
          </w:p>
        </w:tc>
        <w:tc>
          <w:tcPr>
            <w:tcW w:w="380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Testing API endpoints; Groq/Gemini LLM API calls; Expo over-the-air updates</w:t>
            </w:r>
          </w:p>
        </w:tc>
      </w:tr>
      <w:tr>
        <w:tc>
          <w:tcPr>
            <w:tcW w:w="197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Smartphone (Test Device)</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Android 14, 12 MP rear camera, 4K video capable</w:t>
            </w:r>
          </w:p>
        </w:tc>
        <w:tc>
          <w:tcPr>
            <w:tcW w:w="380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Testing YOLO register scan pipeline; testing Expo mobile application; FCM push notification testing</w:t>
            </w:r>
          </w:p>
        </w:tc>
      </w:tr>
    </w:tbl>
    <w:p/>
    <w:p>
      <w:pPr>
        <w:spacing w:after="120" w:before="120"/>
        <w:jc w:val="left"/>
      </w:pPr>
      <w:r>
        <w:rPr>
          <w:rFonts w:ascii="Times New Roman" w:hAnsi="Times New Roman"/>
          <w:b/>
          <w:color w:val="000000"/>
          <w:sz w:val="24"/>
        </w:rPr>
        <w:t>7.2  Software Specifications</w:t>
      </w:r>
    </w:p>
    <w:tbl>
      <w:tblPr>
        <w:tblStyle w:val="TableGrid"/>
        <w:jc w:val="center"/>
        <w:tblLook w:firstColumn="1" w:firstRow="1" w:lastColumn="0" w:lastRow="0" w:noHBand="0" w:noVBand="1" w:val="04A0"/>
        <w:tblLayout w:type="fixed"/>
        <w:tblW w:w="8668" w:type="dxa"/>
      </w:tblPr>
      <w:tblGrid>
        <w:gridCol w:w="2626"/>
        <w:gridCol w:w="2364"/>
        <w:gridCol w:w="3677"/>
      </w:tblGrid>
      <w:tr>
        <w:tc>
          <w:tcPr>
            <w:tcW w:w="2626"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Software Component</w:t>
            </w:r>
          </w:p>
        </w:tc>
        <w:tc>
          <w:tcPr>
            <w:tcW w:w="236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Version</w:t>
            </w:r>
          </w:p>
        </w:tc>
        <w:tc>
          <w:tcPr>
            <w:tcW w:w="3677"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Purpose</w:t>
            </w:r>
          </w:p>
        </w:tc>
      </w:tr>
      <w:tr>
        <w:tc>
          <w:tcPr>
            <w:tcW w:w="262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Operating System (Primary)</w:t>
            </w:r>
          </w:p>
        </w:tc>
        <w:tc>
          <w:tcPr>
            <w:tcW w:w="23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Windows 11 Pro 23H2 (Build 22631.x)</w:t>
            </w:r>
          </w:p>
        </w:tc>
        <w:tc>
          <w:tcPr>
            <w:tcW w:w="367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Primary development environment for all three system components</w:t>
            </w:r>
          </w:p>
        </w:tc>
      </w:tr>
      <w:tr>
        <w:tc>
          <w:tcPr>
            <w:tcW w:w="262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Operating System (Secondary)</w:t>
            </w:r>
          </w:p>
        </w:tc>
        <w:tc>
          <w:tcPr>
            <w:tcW w:w="23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Ubuntu 22.04 LTS (WSL2)</w:t>
            </w:r>
          </w:p>
        </w:tc>
        <w:tc>
          <w:tcPr>
            <w:tcW w:w="367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Linux-native Python toolchain; Alembic migration testing; production deployment simulation</w:t>
            </w:r>
          </w:p>
        </w:tc>
      </w:tr>
      <w:tr>
        <w:tc>
          <w:tcPr>
            <w:tcW w:w="262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Python</w:t>
            </w:r>
          </w:p>
        </w:tc>
        <w:tc>
          <w:tcPr>
            <w:tcW w:w="23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3.12.4 (CPython)</w:t>
            </w:r>
          </w:p>
        </w:tc>
        <w:tc>
          <w:tcPr>
            <w:tcW w:w="367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Backend API, YOLO inference, database seeding, script generation</w:t>
            </w:r>
          </w:p>
        </w:tc>
      </w:tr>
      <w:tr>
        <w:tc>
          <w:tcPr>
            <w:tcW w:w="262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Node.js</w:t>
            </w:r>
          </w:p>
        </w:tc>
        <w:tc>
          <w:tcPr>
            <w:tcW w:w="23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v20.17.0 LTS</w:t>
            </w:r>
          </w:p>
        </w:tc>
        <w:tc>
          <w:tcPr>
            <w:tcW w:w="367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React 19 web dashboard (Vite dev server); Expo mobile development server (Metro bundler)</w:t>
            </w:r>
          </w:p>
        </w:tc>
      </w:tr>
      <w:tr>
        <w:tc>
          <w:tcPr>
            <w:tcW w:w="262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CUDA Toolkit</w:t>
            </w:r>
          </w:p>
        </w:tc>
        <w:tc>
          <w:tcPr>
            <w:tcW w:w="23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12.4.1</w:t>
            </w:r>
          </w:p>
        </w:tc>
        <w:tc>
          <w:tcPr>
            <w:tcW w:w="367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GPU-accelerated YOLOv8 training via PyTorch CUDA backend</w:t>
            </w:r>
          </w:p>
        </w:tc>
      </w:tr>
      <w:tr>
        <w:tc>
          <w:tcPr>
            <w:tcW w:w="262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cuDNN</w:t>
            </w:r>
          </w:p>
        </w:tc>
        <w:tc>
          <w:tcPr>
            <w:tcW w:w="23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9.1</w:t>
            </w:r>
          </w:p>
        </w:tc>
        <w:tc>
          <w:tcPr>
            <w:tcW w:w="367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Deep learning primitive acceleration library for CUDA operations</w:t>
            </w:r>
          </w:p>
        </w:tc>
      </w:tr>
      <w:tr>
        <w:tc>
          <w:tcPr>
            <w:tcW w:w="262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Git</w:t>
            </w:r>
          </w:p>
        </w:tc>
        <w:tc>
          <w:tcPr>
            <w:tcW w:w="23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2.47.x</w:t>
            </w:r>
          </w:p>
        </w:tc>
        <w:tc>
          <w:tcPr>
            <w:tcW w:w="367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Version control; all code committed to GitHub with structured commit messages</w:t>
            </w:r>
          </w:p>
        </w:tc>
      </w:tr>
      <w:tr>
        <w:tc>
          <w:tcPr>
            <w:tcW w:w="262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Visual Studio Code</w:t>
            </w:r>
          </w:p>
        </w:tc>
        <w:tc>
          <w:tcPr>
            <w:tcW w:w="23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1.92.x</w:t>
            </w:r>
          </w:p>
        </w:tc>
        <w:tc>
          <w:tcPr>
            <w:tcW w:w="367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Primary IDE (Python + TypeScript + Tailwind CSS IntelliSense extensions)</w:t>
            </w:r>
          </w:p>
        </w:tc>
      </w:tr>
      <w:tr>
        <w:tc>
          <w:tcPr>
            <w:tcW w:w="262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Postman / Thunder Client</w:t>
            </w:r>
          </w:p>
        </w:tc>
        <w:tc>
          <w:tcPr>
            <w:tcW w:w="23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Latest</w:t>
            </w:r>
          </w:p>
        </w:tc>
        <w:tc>
          <w:tcPr>
            <w:tcW w:w="367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API endpoint testing and documentation during development</w:t>
            </w:r>
          </w:p>
        </w:tc>
      </w:tr>
      <w:tr>
        <w:tc>
          <w:tcPr>
            <w:tcW w:w="262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SQLite Browser (DB Browser)</w:t>
            </w:r>
          </w:p>
        </w:tc>
        <w:tc>
          <w:tcPr>
            <w:tcW w:w="23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3.12.x</w:t>
            </w:r>
          </w:p>
        </w:tc>
        <w:tc>
          <w:tcPr>
            <w:tcW w:w="367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Visual inspection of seeded database schema and records during development</w:t>
            </w:r>
          </w:p>
        </w:tc>
      </w:tr>
      <w:tr>
        <w:tc>
          <w:tcPr>
            <w:tcW w:w="262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Android Studio Emulator</w:t>
            </w:r>
          </w:p>
        </w:tc>
        <w:tc>
          <w:tcPr>
            <w:tcW w:w="23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Flamingo</w:t>
            </w:r>
          </w:p>
        </w:tc>
        <w:tc>
          <w:tcPr>
            <w:tcW w:w="367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React Native Expo mobile app testing without physical device requirement</w:t>
            </w:r>
          </w:p>
        </w:tc>
      </w:tr>
    </w:tbl>
    <w:p/>
    <w:p>
      <w:pPr>
        <w:spacing w:after="120" w:before="120"/>
        <w:jc w:val="left"/>
      </w:pPr>
      <w:r>
        <w:rPr>
          <w:rFonts w:ascii="Times New Roman" w:hAnsi="Times New Roman"/>
          <w:b/>
          <w:color w:val="000000"/>
          <w:sz w:val="24"/>
        </w:rPr>
        <w:t>7.3  Master Enterprise Architecture Diagram</w:t>
      </w:r>
    </w:p>
    <w:p>
      <w:pPr>
        <w:spacing w:after="120" w:lineRule="auto" w:line="360"/>
        <w:jc w:val="both"/>
      </w:pPr>
      <w:r>
        <w:rPr>
          <w:rFonts w:ascii="Times New Roman" w:hAnsi="Times New Roman"/>
          <w:b w:val="0"/>
          <w:i w:val="0"/>
          <w:color w:val="000000"/>
          <w:sz w:val="24"/>
        </w:rPr>
        <w:t>The high-level 4-tier enterprise system architecture of HAAZIR, illustrating component interactions from the user interface layers down to database persistence, is rendered in Figure 7.1 below:</w:t>
      </w:r>
    </w:p>
    <w:p>
      <w:pPr>
        <w:spacing w:before="160" w:after="80"/>
        <w:jc w:val="center"/>
      </w:pPr>
      <w:r>
        <w:drawing>
          <wp:inline xmlns:a="http://schemas.openxmlformats.org/drawingml/2006/main" xmlns:pic="http://schemas.openxmlformats.org/drawingml/2006/picture">
            <wp:extent cx="5303520" cy="5498742"/>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303520" cy="5498742"/>
                    </a:xfrm>
                    <a:prstGeom prst="rect"/>
                  </pic:spPr>
                </pic:pic>
              </a:graphicData>
            </a:graphic>
          </wp:inline>
        </w:drawing>
      </w:r>
    </w:p>
    <w:p>
      <w:pPr>
        <w:spacing w:after="240"/>
        <w:jc w:val="center"/>
      </w:pPr>
      <w:r>
        <w:rPr>
          <w:rFonts w:ascii="Times New Roman" w:hAnsi="Times New Roman"/>
          <w:b/>
          <w:i/>
          <w:color w:val="1B365D"/>
          <w:sz w:val="20"/>
        </w:rPr>
        <w:t>Figure 7.1: HAAZIR 4-Tier Clean Enterprise System Architecture</w:t>
      </w:r>
    </w:p>
    <w:p>
      <w:r>
        <w:br w:type="page"/>
      </w:r>
    </w:p>
    <w:p>
      <w:pPr>
        <w:spacing w:after="240" w:before="120"/>
        <w:jc w:val="left"/>
      </w:pPr>
      <w:r>
        <w:rPr>
          <w:rFonts w:ascii="Times New Roman" w:hAnsi="Times New Roman"/>
          <w:b/>
          <w:color w:val="000000"/>
          <w:sz w:val="28"/>
        </w:rPr>
        <w:t>CHAPTER 8: COMPREHENSIVE MODULE DESCRIPTION</w:t>
      </w:r>
    </w:p>
    <w:p>
      <w:pPr>
        <w:spacing w:after="120" w:lineRule="auto" w:line="360"/>
        <w:jc w:val="both"/>
      </w:pPr>
      <w:r>
        <w:rPr>
          <w:rFonts w:ascii="Times New Roman" w:hAnsi="Times New Roman"/>
          <w:b w:val="0"/>
          <w:i w:val="0"/>
          <w:color w:val="000000"/>
          <w:sz w:val="24"/>
        </w:rPr>
        <w:t>The HAAZIR system is organized into ten functionally cohesive, independently deployable modules following Clean Architecture principles. Each module encapsulates its domain logic, data access layer, and API surface within a dedicated directory under backend/modules/. The module boundaries enforce the Dependency Inversion Principle: higher-level orchestration modules depend on interfaces (abstract base classes), not on concrete implementations, enabling substitution of components (e.g., swapping SQLite for PostgreSQL, or Groq for Gemini) without modifying domain logic.</w:t>
      </w:r>
    </w:p>
    <w:p>
      <w:pPr>
        <w:spacing w:after="120" w:before="120"/>
        <w:jc w:val="left"/>
      </w:pPr>
      <w:r>
        <w:rPr>
          <w:rFonts w:ascii="Times New Roman" w:hAnsi="Times New Roman"/>
          <w:b/>
          <w:color w:val="000000"/>
          <w:sz w:val="24"/>
        </w:rPr>
        <w:t>Module 1.0: Core Infrastructure &amp; Multi-Tenant Config Engine</w:t>
      </w:r>
    </w:p>
    <w:p>
      <w:pPr>
        <w:spacing w:after="120" w:lineRule="auto" w:line="360"/>
        <w:jc w:val="both"/>
      </w:pPr>
      <w:r>
        <w:rPr>
          <w:rFonts w:ascii="Times New Roman" w:hAnsi="Times New Roman"/>
          <w:b w:val="0"/>
          <w:i w:val="0"/>
          <w:color w:val="000000"/>
          <w:sz w:val="24"/>
        </w:rPr>
        <w:t>Module 1.0 provides the foundational infrastructure upon which all other modules operate. Its primary responsibilities are: (1) Application factory initialization — creating and configuring the FastAPI application instance with CORS middleware, exception handlers, and the API router registry; (2) Environment configuration management — reading all sensitive configuration values (DATABASE_URL, SECRET_KEY, GROQ_API_KEY, GEMINI_API_KEY, RAZORPAY_KEY_ID, FCM_SERVICE_ACCOUNT_PATH) from environment variables using python-decouple, with a .env file for development and environment variables for production; (3) Database session management — providing a SQLAlchemy AsyncSession factory and a get_db() FastAPI dependency that yields a session per request and commits or rolls back based on request outcome; and (4) Multi-tenant request context — extracting the tenant_id from the authenticated JWT payload and injecting it into all downstream database queries as a mandatory WHERE clause filter via a TenantScopedRepository base class that all module repositories inherit from.</w:t>
      </w:r>
    </w:p>
    <w:p>
      <w:pPr>
        <w:spacing w:after="120" w:lineRule="auto" w:line="360"/>
        <w:jc w:val="both"/>
      </w:pPr>
      <w:r>
        <w:rPr>
          <w:rFonts w:ascii="Times New Roman" w:hAnsi="Times New Roman"/>
          <w:b w:val="0"/>
          <w:i w:val="0"/>
          <w:color w:val="000000"/>
          <w:sz w:val="24"/>
        </w:rPr>
        <w:t>The multi-tenancy implementation follows the discriminator column pattern, where a tenant_id column of type UUID is present in every core table (class_sections, students, attendance_records, fee_structures, fee_invoices, timetable_entries, in_app_notifications, users). The TenantScopedRepository base class overrides the filter_by() method to automatically append AND tenant_id = :tenant_id to every query, ensuring that even if a developer accidentally omits a tenant filter, the base class's filter automatically applies it. This defence-in-depth approach makes cross-tenant data leakage impossible without explicitly bypassing the base class.</w:t>
      </w:r>
    </w:p>
    <w:p>
      <w:pPr>
        <w:spacing w:after="120" w:before="120"/>
        <w:jc w:val="left"/>
      </w:pPr>
      <w:r>
        <w:rPr>
          <w:rFonts w:ascii="Times New Roman" w:hAnsi="Times New Roman"/>
          <w:b/>
          <w:color w:val="000000"/>
          <w:sz w:val="24"/>
        </w:rPr>
        <w:t>Module 2.0: Identity, Access &amp; Role-Based Security (Rbac)</w:t>
      </w:r>
    </w:p>
    <w:p>
      <w:pPr>
        <w:spacing w:after="120" w:lineRule="auto" w:line="360"/>
        <w:jc w:val="both"/>
      </w:pPr>
      <w:r>
        <w:rPr>
          <w:rFonts w:ascii="Times New Roman" w:hAnsi="Times New Roman"/>
          <w:b w:val="0"/>
          <w:i w:val="0"/>
          <w:color w:val="000000"/>
          <w:sz w:val="24"/>
        </w:rPr>
        <w:t>Module 2.0 implements the complete authentication and authorization subsystem for HAAZIR. Authentication is stateless, implemented via JSON Web Tokens (JWT) using the HS256 HMAC-SHA256 signing algorithm with a configurable secret key. The login endpoint accepts email and password credentials, verifies the password against the bcrypt-hashed stored value using passlib's CryptContext, and upon successful verification issues a JWT access token with a configurable expiration (default: 8 hours for teacher sessions, 24 hours for parent/student sessions) and an optional refresh token with a 30-day expiration.</w:t>
      </w:r>
    </w:p>
    <w:p>
      <w:pPr>
        <w:spacing w:after="120" w:lineRule="auto" w:line="360"/>
        <w:jc w:val="both"/>
      </w:pPr>
      <w:r>
        <w:rPr>
          <w:rFonts w:ascii="Times New Roman" w:hAnsi="Times New Roman"/>
          <w:b w:val="0"/>
          <w:i w:val="0"/>
          <w:color w:val="000000"/>
          <w:sz w:val="24"/>
        </w:rPr>
        <w:t>The JWT payload (claims) structure includes: sub (email/user_id), role_key (one of ADMIN, PRINCIPAL, TEACHER, PARENT, STUDENT), tenant_id (institution identifier), assigned_sections (list of section UUIDs for teacher role), and exp (expiration timestamp). All protected API endpoints use FastAPI's Depends() dependency injection with a TokenPayload model populated from the decoded JWT, enabling per-endpoint authorization assertions. For example, the POST /api/v1/attendance/batch endpoint validates that the requesting teacher's assigned_sections claim includes the target class_section_id before accepting the attendance batch.</w:t>
      </w:r>
    </w:p>
    <w:p>
      <w:pPr>
        <w:spacing w:after="120" w:lineRule="auto" w:line="360"/>
        <w:jc w:val="both"/>
      </w:pPr>
      <w:r>
        <w:rPr>
          <w:rFonts w:ascii="Times New Roman" w:hAnsi="Times New Roman"/>
          <w:b w:val="0"/>
          <w:i w:val="0"/>
          <w:color w:val="000000"/>
          <w:sz w:val="24"/>
        </w:rPr>
        <w:t>Role-Based Access Control (RBAC) is enforced at three levels: (1) endpoint level via FastAPI dependency decorators that check token role_key against required roles; (2) data access level via TenantScopedRepository that filters all queries by tenant_id; and (3) notification level via recipient_user_id and target_role discriminators that scope notification visibility to authorized recipients. Password reset and user management endpoints are restricted to ADMIN role exclusively.</w:t>
      </w:r>
    </w:p>
    <w:p>
      <w:pPr>
        <w:spacing w:after="120" w:before="120"/>
        <w:jc w:val="left"/>
      </w:pPr>
      <w:r>
        <w:rPr>
          <w:rFonts w:ascii="Times New Roman" w:hAnsi="Times New Roman"/>
          <w:b/>
          <w:color w:val="000000"/>
          <w:sz w:val="24"/>
        </w:rPr>
        <w:t>Module 3.0: High-Speed Synthetic Data Engine</w:t>
      </w:r>
    </w:p>
    <w:p>
      <w:pPr>
        <w:spacing w:after="120" w:lineRule="auto" w:line="360"/>
        <w:jc w:val="both"/>
      </w:pPr>
      <w:r>
        <w:rPr>
          <w:rFonts w:ascii="Times New Roman" w:hAnsi="Times New Roman"/>
          <w:b w:val="0"/>
          <w:i w:val="0"/>
          <w:color w:val="000000"/>
          <w:sz w:val="24"/>
        </w:rPr>
        <w:t>Module 3.0 provides a deterministic, reproducible synthetic data generation system used for development, testing, and demonstration purposes. The SeedOrchestrator service coordinates five sequential seeding phases: (1) Staff and teacher profile generation and class section creation with class_teacher_id assignment; (2) Student synthetic identity generation using Faker's en_IN locale for culturally authentic Indian names (e.g., Arjun Sharma, Priya Patel, Mohammed Ali), phone numbers in Indian format (+91-XXXXX-XXXXX), and Aadhaar-format ID seeds; (3) Attendance record generation across a configurable number of working days with a configurable absent rate (default: 8% to model realistic absenteeism); (4) Fee structure and invoice generation with configurable payment status distributions (80% paid, 10% partial, 10% overdue); and (5) Role-scoped notification seeding with fifteen pre-defined notification templates covering all five user roles plus targeted personal notifications.</w:t>
      </w:r>
    </w:p>
    <w:p>
      <w:pPr>
        <w:spacing w:after="120" w:lineRule="auto" w:line="360"/>
        <w:jc w:val="both"/>
      </w:pPr>
      <w:r>
        <w:rPr>
          <w:rFonts w:ascii="Times New Roman" w:hAnsi="Times New Roman"/>
          <w:b w:val="0"/>
          <w:i w:val="0"/>
          <w:color w:val="000000"/>
          <w:sz w:val="24"/>
        </w:rPr>
        <w:t>The engine uses SQLAlchemy's Session.bulk_save_objects() method for batch database insertion, which bypasses individual INSERT statement overhead and generates a single batch SQL statement per object type. This enables the complete seeding of 1,714 records (50 students, 1,500 attendance records, 164 fee invoices, 96 timetable entries, 16 notifications) in under 0.5 seconds on standard hardware — a performance characteristic critical for CI/CD pipeline test database initialization where speed is paramount.</w:t>
      </w:r>
    </w:p>
    <w:p>
      <w:pPr>
        <w:spacing w:after="120" w:before="120"/>
        <w:jc w:val="left"/>
      </w:pPr>
      <w:r>
        <w:rPr>
          <w:rFonts w:ascii="Times New Roman" w:hAnsi="Times New Roman"/>
          <w:b/>
          <w:color w:val="000000"/>
          <w:sz w:val="24"/>
        </w:rPr>
        <w:t>Module 4.0: Student &amp; Academic Management Module</w:t>
      </w:r>
    </w:p>
    <w:p>
      <w:pPr>
        <w:spacing w:after="120" w:lineRule="auto" w:line="360"/>
        <w:jc w:val="both"/>
      </w:pPr>
      <w:r>
        <w:rPr>
          <w:rFonts w:ascii="Times New Roman" w:hAnsi="Times New Roman"/>
          <w:b w:val="0"/>
          <w:i w:val="0"/>
          <w:color w:val="000000"/>
          <w:sz w:val="24"/>
        </w:rPr>
        <w:t>Module 4.0 provides the core academic entity management functionality: student profile management (CRUD operations for student records including name, roll number, guardian contact information, section assignment, and enrollment status); class section management (creation and configuration of academic sections with grade, division, capacity, and class teacher assignment); and timetable management (creation, assignment, and retrieval of weekly period schedules for sections and teachers). All endpoints in this module enforce tenant isolation and role-based authorization: administrators and principals have full read-write access; teachers have read access to their assigned sections and write access to attendance records for those sections; parents and students have read-only access to records scoped to their child's section and personal profile respectively.</w:t>
      </w:r>
    </w:p>
    <w:p>
      <w:pPr>
        <w:spacing w:after="120" w:lineRule="auto" w:line="360"/>
        <w:jc w:val="both"/>
      </w:pPr>
      <w:r>
        <w:rPr>
          <w:rFonts w:ascii="Times New Roman" w:hAnsi="Times New Roman"/>
          <w:b w:val="0"/>
          <w:i w:val="0"/>
          <w:color w:val="000000"/>
          <w:sz w:val="24"/>
        </w:rPr>
        <w:t>The module's StudentRepository implements optimized paginated query methods using SQLAlchemy's LIMIT/OFFSET pattern with deterministic ordering to support the web dashboard's student list view. The ClassSectionRepository provides a get_section_with_teacher_and_students() method that uses SQLAlchemy's selectinload() relationship loading strategy to fetch a section's associated teacher user record and complete student list in exactly two SQL queries (avoiding the N+1 query problem common in ORM-based APIs).</w:t>
      </w:r>
    </w:p>
    <w:p>
      <w:pPr>
        <w:spacing w:after="120" w:before="120"/>
        <w:jc w:val="left"/>
      </w:pPr>
      <w:r>
        <w:rPr>
          <w:rFonts w:ascii="Times New Roman" w:hAnsi="Times New Roman"/>
          <w:b/>
          <w:color w:val="000000"/>
          <w:sz w:val="24"/>
        </w:rPr>
        <w:t>Module 5.0: Custom-Trained Yolo Vision &amp; Register Digitization Engine (Flagship)</w:t>
      </w:r>
    </w:p>
    <w:p>
      <w:pPr>
        <w:spacing w:after="120" w:lineRule="auto" w:line="360"/>
        <w:jc w:val="both"/>
      </w:pPr>
      <w:r>
        <w:rPr>
          <w:rFonts w:ascii="Times New Roman" w:hAnsi="Times New Roman"/>
          <w:b w:val="0"/>
          <w:i w:val="0"/>
          <w:color w:val="000000"/>
          <w:sz w:val="24"/>
        </w:rPr>
        <w:t>Module 5.0 is HAAZIR's defining technical contribution and the primary differentiator from all existing academic ERP platforms. It implements a complete end-to-end computer vision pipeline that transforms a smartphone photograph of a handwritten attendance register into a structured, database-ready attendance record batch. The pipeline consists of six sequential processing stages:</w:t>
      </w:r>
    </w:p>
    <w:p>
      <w:pPr>
        <w:spacing w:after="80" w:before="80"/>
        <w:jc w:val="left"/>
      </w:pPr>
      <w:r>
        <w:rPr>
          <w:rFonts w:ascii="Times New Roman" w:hAnsi="Times New Roman"/>
          <w:b/>
          <w:color w:val="000000"/>
          <w:sz w:val="24"/>
        </w:rPr>
        <w:t>Stage 1: Image Acquisition &amp; Preprocessing</w:t>
      </w:r>
    </w:p>
    <w:p>
      <w:pPr>
        <w:spacing w:after="120" w:lineRule="auto" w:line="360"/>
        <w:jc w:val="both"/>
      </w:pPr>
      <w:r>
        <w:rPr>
          <w:rFonts w:ascii="Times New Roman" w:hAnsi="Times New Roman"/>
          <w:b w:val="0"/>
          <w:i w:val="0"/>
          <w:color w:val="000000"/>
          <w:sz w:val="24"/>
        </w:rPr>
        <w:t>The teacher captures a photograph of the completed attendance register using the HAAZIR mobile application's built-in camera interface. The image is transmitted to the FastAPI backend's POST /api/v1/vision/scan endpoint as a multipart form upload. The backend applies an OpenCV preprocessing chain: Gaussian blur (kernel size 5×5, sigma=1.0) for noise reduction, conversion to grayscale for computational efficiency, and Otsu's adaptive thresholding to produce a binary image that is invariant to lighting conditions. For smartphone photos taken under typical classroom lighting (fluorescent overhead + window daylight mixed), this preprocessing step ensures consistent binarization performance across a simulated illumination variance range of 1,500 lux to 300 lux.</w:t>
      </w:r>
    </w:p>
    <w:p>
      <w:pPr>
        <w:spacing w:after="80" w:before="80"/>
        <w:jc w:val="left"/>
      </w:pPr>
      <w:r>
        <w:rPr>
          <w:rFonts w:ascii="Times New Roman" w:hAnsi="Times New Roman"/>
          <w:b/>
          <w:color w:val="000000"/>
          <w:sz w:val="24"/>
        </w:rPr>
        <w:t>Stage 2: Document Boundary Detection &amp; Perspective Correction</w:t>
      </w:r>
    </w:p>
    <w:p>
      <w:pPr>
        <w:spacing w:after="120" w:lineRule="auto" w:line="360"/>
        <w:jc w:val="both"/>
      </w:pPr>
      <w:r>
        <w:rPr>
          <w:rFonts w:ascii="Times New Roman" w:hAnsi="Times New Roman"/>
          <w:b w:val="0"/>
          <w:i w:val="0"/>
          <w:color w:val="000000"/>
          <w:sz w:val="24"/>
        </w:rPr>
        <w:t>The preprocessed image is analyzed using OpenCV's contour detection (cv2.findContours() with RETR_EXTERNAL mode) to identify the largest quadrilateral contour, which corresponds to the register document boundary. The four corner points of this contour are extracted using cv2.approxPolyDP() with epsilon = 0.02 × perimeter. These four source points and the target destination rectangle (the full output image dimensions) are passed to cv2.getPerspectiveTransform(), which computes the 3×3 homography matrix H solving the system of linear equations derived from the Direct Linear Transform algorithm. The cv2.warpPerspective() function then applies this transformation, producing a front-facing, deskewed, rectangular image of the register page regardless of the capture angle. This stage corrects perspective distortions for capture angles up to ±40 degrees from perpendicular in all axes.</w:t>
      </w:r>
    </w:p>
    <w:p>
      <w:pPr>
        <w:spacing w:after="80" w:before="80"/>
        <w:jc w:val="left"/>
      </w:pPr>
      <w:r>
        <w:rPr>
          <w:rFonts w:ascii="Times New Roman" w:hAnsi="Times New Roman"/>
          <w:b/>
          <w:color w:val="000000"/>
          <w:sz w:val="24"/>
        </w:rPr>
        <w:t>Stage 3: Column Detection via YOLO Inference Head</w:t>
      </w:r>
    </w:p>
    <w:p>
      <w:pPr>
        <w:spacing w:after="120" w:lineRule="auto" w:line="360"/>
        <w:jc w:val="both"/>
      </w:pPr>
      <w:r>
        <w:rPr>
          <w:rFonts w:ascii="Times New Roman" w:hAnsi="Times New Roman"/>
          <w:b w:val="0"/>
          <w:i w:val="0"/>
          <w:color w:val="000000"/>
          <w:sz w:val="24"/>
        </w:rPr>
        <w:t>The perspective-corrected register image is resized to 640×640 pixels (the standard YOLOv8 input resolution) and passed through the fine-tuned YOLOv8 detection model. The model has been trained to detect three structural element classes within register images: (1) RollNumberColumn — the leftmost column containing student roll numbers; (2) NameColumn — the student name column; and (3) AttendanceMarkColumn — one or more mark columns containing P/A/L marks. The model outputs bounding box coordinates, confidence scores, and class labels for each detected column. Detections with confidence below the 0.6 threshold are suppressed via Non-Maximum Suppression (NMS).</w:t>
      </w:r>
    </w:p>
    <w:p>
      <w:pPr>
        <w:spacing w:after="80" w:before="80"/>
        <w:jc w:val="left"/>
      </w:pPr>
      <w:r>
        <w:rPr>
          <w:rFonts w:ascii="Times New Roman" w:hAnsi="Times New Roman"/>
          <w:b/>
          <w:color w:val="000000"/>
          <w:sz w:val="24"/>
        </w:rPr>
        <w:t>Stage 4: Cell Grid Extraction</w:t>
      </w:r>
    </w:p>
    <w:p>
      <w:pPr>
        <w:spacing w:after="120" w:lineRule="auto" w:line="360"/>
        <w:jc w:val="both"/>
      </w:pPr>
      <w:r>
        <w:rPr>
          <w:rFonts w:ascii="Times New Roman" w:hAnsi="Times New Roman"/>
          <w:b w:val="0"/>
          <w:i w:val="0"/>
          <w:color w:val="000000"/>
          <w:sz w:val="24"/>
        </w:rPr>
        <w:t>Using the detected AttendanceMarkColumn bounding boxes, the pipeline divides each column's vertical extent into equal-height horizontal strips corresponding to individual student rows. The number of strips is determined by the register's known row count (typically 25-40 students per page), which can be provided by the teacher at scan initiation or auto-detected via horizontal line detection (cv2.HoughLinesP()). Each strip-column intersection produces an individual cell crop: a small image patch containing a single attendance mark.</w:t>
      </w:r>
    </w:p>
    <w:p>
      <w:pPr>
        <w:spacing w:after="80" w:before="80"/>
        <w:jc w:val="left"/>
      </w:pPr>
      <w:r>
        <w:rPr>
          <w:rFonts w:ascii="Times New Roman" w:hAnsi="Times New Roman"/>
          <w:b/>
          <w:color w:val="000000"/>
          <w:sz w:val="24"/>
        </w:rPr>
        <w:t>Stage 5: Character Mark Classification</w:t>
      </w:r>
    </w:p>
    <w:p>
      <w:pPr>
        <w:spacing w:after="120" w:lineRule="auto" w:line="360"/>
        <w:jc w:val="both"/>
      </w:pPr>
      <w:r>
        <w:rPr>
          <w:rFonts w:ascii="Times New Roman" w:hAnsi="Times New Roman"/>
          <w:b w:val="0"/>
          <w:i w:val="0"/>
          <w:color w:val="000000"/>
          <w:sz w:val="24"/>
        </w:rPr>
        <w:t>Each extracted cell image is passed through a lightweight convolutional character classifier (a custom-trained CNN based on MobileNetV3-Small architecture) that outputs a probability distribution over six mark classes: Present (P / tick mark ✓), Absent (A / cross mark ✗), Late (L), Blank (cell appears empty — student not registered for this date), Illegible (confidence below threshold — flagged for human review), and Holiday (H). The classifier achieves a target accuracy of ≥95% mAP@0.5 on the validation partition of the synthetic training dataset.</w:t>
      </w:r>
    </w:p>
    <w:p>
      <w:pPr>
        <w:spacing w:after="80" w:before="80"/>
        <w:jc w:val="left"/>
      </w:pPr>
      <w:r>
        <w:rPr>
          <w:rFonts w:ascii="Times New Roman" w:hAnsi="Times New Roman"/>
          <w:b/>
          <w:color w:val="000000"/>
          <w:sz w:val="24"/>
        </w:rPr>
        <w:t>Stage 6: Human-in-the-Loop (HITL) Verification &amp; Database Ingestion</w:t>
      </w:r>
    </w:p>
    <w:p>
      <w:pPr>
        <w:spacing w:after="120" w:lineRule="auto" w:line="360"/>
        <w:jc w:val="both"/>
      </w:pPr>
      <w:r>
        <w:rPr>
          <w:rFonts w:ascii="Times New Roman" w:hAnsi="Times New Roman"/>
          <w:b w:val="0"/>
          <w:i w:val="0"/>
          <w:color w:val="000000"/>
          <w:sz w:val="24"/>
        </w:rPr>
        <w:t>The classified attendance grid is transmitted to the mobile client as a JSON array structured as [{roll_number, name, mark, confidence},...]. The HITL verification dialog renders this as an interactive data table: cells with confidence ≥ 85% are pre-populated and highlighted green; cells with confidence &lt; 85% are highlighted amber and presented as interactive dropdowns for manual correction. The teacher reviews the grid and submits. The submitted batch is POSTed to POST /api/v1/attendance/batch, where it is validated against the requesting teacher's assigned_sections claim, persisted to the attendance_records table, and an audit record is inserted into the register_scans table capturing the scan image path, inference confidence statistics, override count, and ingestion timestamp. The complete pipeline from photograph capture to database write is targeted to complete in under two seconds for a standard 30-student register page.</w:t>
      </w:r>
    </w:p>
    <w:p>
      <w:pPr>
        <w:spacing w:after="120" w:before="120"/>
        <w:jc w:val="left"/>
      </w:pPr>
      <w:r>
        <w:rPr>
          <w:rFonts w:ascii="Times New Roman" w:hAnsi="Times New Roman"/>
          <w:b/>
          <w:color w:val="000000"/>
          <w:sz w:val="24"/>
        </w:rPr>
        <w:t>Module 6.0: Attendance Ingestion &amp; Audit Service</w:t>
      </w:r>
    </w:p>
    <w:p>
      <w:pPr>
        <w:spacing w:after="120" w:lineRule="auto" w:line="360"/>
        <w:jc w:val="both"/>
      </w:pPr>
      <w:r>
        <w:rPr>
          <w:rFonts w:ascii="Times New Roman" w:hAnsi="Times New Roman"/>
          <w:b w:val="0"/>
          <w:i w:val="0"/>
          <w:color w:val="000000"/>
          <w:sz w:val="24"/>
        </w:rPr>
        <w:t>Module 6.0 implements the IAttendanceIngestionSource strategy pattern — a pluggable interface that standardizes the contract for all attendance data sources feeding into the central attendance_records table. Concrete implementations of this interface include: YOLOVisionIngestionSource (from Module 5.0), ManualEntryIngestionSource (direct form submission via mobile/web UI), and BulkCSVIngestionSource (for migrating historical data from spreadsheets). This strategy pattern ensures that adding a new attendance source — such as a biometric API integration or a QR code scan source — requires only implementing the IAttendanceIngestionSource interface without modifying any existing service logic.</w:t>
      </w:r>
    </w:p>
    <w:p>
      <w:pPr>
        <w:spacing w:after="120" w:lineRule="auto" w:line="360"/>
        <w:jc w:val="both"/>
      </w:pPr>
      <w:r>
        <w:rPr>
          <w:rFonts w:ascii="Times New Roman" w:hAnsi="Times New Roman"/>
          <w:b w:val="0"/>
          <w:i w:val="0"/>
          <w:color w:val="000000"/>
          <w:sz w:val="24"/>
        </w:rPr>
        <w:t>The module's AttendanceAuditService maintains a complete audit trail of all attendance modifications: initial ingestion source, timestamp, user_id of the recording teacher, and a JSON diff of any post-submission corrections. This audit trail is critical for compliance with university affiliation requirements mandating tamper-evident attendance documentation. The AttendanceSummaryService computes section-level and student-level attendance percentage statistics using optimized aggregate SQL queries (COUNT(CASE WHEN status = 'PRESENT' THEN 1 END) / COUNT(*) × 100) that execute in under 50 milliseconds for a full academic year of records.</w:t>
      </w:r>
    </w:p>
    <w:p>
      <w:pPr>
        <w:spacing w:after="120" w:before="120"/>
        <w:jc w:val="left"/>
      </w:pPr>
      <w:r>
        <w:rPr>
          <w:rFonts w:ascii="Times New Roman" w:hAnsi="Times New Roman"/>
          <w:b/>
          <w:color w:val="000000"/>
          <w:sz w:val="24"/>
        </w:rPr>
        <w:t>Module 7.0: Fee Management &amp; Payment Ledger Module</w:t>
      </w:r>
    </w:p>
    <w:p>
      <w:pPr>
        <w:spacing w:after="120" w:lineRule="auto" w:line="360"/>
        <w:jc w:val="both"/>
      </w:pPr>
      <w:r>
        <w:rPr>
          <w:rFonts w:ascii="Times New Roman" w:hAnsi="Times New Roman"/>
          <w:b w:val="0"/>
          <w:i w:val="0"/>
          <w:color w:val="000000"/>
          <w:sz w:val="24"/>
        </w:rPr>
        <w:t>Module 7.0 implements a complete fee management subsystem comprising fee structure definition, invoice generation, payment tracking, and Razorpay payment gateway integration. Fee structures are defined at the section level (specifying amount, fee_type — Tuition/Library/Sports/Laboratory — payment_due_date, and academic_term). Fee invoices are generated by the FeeInvoiceRepository's bulk_generate_invoices() method, which creates one invoice per student per fee structure in a single bulk SQL operation.</w:t>
      </w:r>
    </w:p>
    <w:p>
      <w:pPr>
        <w:spacing w:after="120" w:lineRule="auto" w:line="360"/>
        <w:jc w:val="both"/>
      </w:pPr>
      <w:r>
        <w:rPr>
          <w:rFonts w:ascii="Times New Roman" w:hAnsi="Times New Roman"/>
          <w:b w:val="0"/>
          <w:i w:val="0"/>
          <w:color w:val="000000"/>
          <w:sz w:val="24"/>
        </w:rPr>
        <w:t>Razorpay sandbox integration enables end-to-end payment simulation without real financial transactions. The payment flow proceeds as follows: the parent initiates payment from the mobile app, the backend creates a Razorpay order via the razorpay.Order.create() API and returns the order_id to the client; the Expo mobile client renders the Razorpay payment sheet; upon completion, Razorpay fires a webhook to the backend's POST /api/v1/fees/razorpay-webhook endpoint; the webhook handler verifies the HMAC-SHA256 signature using the Razorpay webhook secret, marks the invoice as PAID, and dispatches an in-app notification to the parent confirming payment receipt.</w:t>
      </w:r>
    </w:p>
    <w:p>
      <w:pPr>
        <w:spacing w:after="120" w:before="120"/>
        <w:jc w:val="left"/>
      </w:pPr>
      <w:r>
        <w:rPr>
          <w:rFonts w:ascii="Times New Roman" w:hAnsi="Times New Roman"/>
          <w:b/>
          <w:color w:val="000000"/>
          <w:sz w:val="24"/>
        </w:rPr>
        <w:t>Module 8.0: Parent Notification &amp; Communication Engine</w:t>
      </w:r>
    </w:p>
    <w:p>
      <w:pPr>
        <w:spacing w:after="120" w:lineRule="auto" w:line="360"/>
        <w:jc w:val="both"/>
      </w:pPr>
      <w:r>
        <w:rPr>
          <w:rFonts w:ascii="Times New Roman" w:hAnsi="Times New Roman"/>
          <w:b w:val="0"/>
          <w:i w:val="0"/>
          <w:color w:val="000000"/>
          <w:sz w:val="24"/>
        </w:rPr>
        <w:t>Module 8.0 implements HAAZIR's multi-channel notification delivery system. Notifications are first written to the in_app_notifications table as an outbox record, ensuring delivery durability even if the FCM push delivery fails. The InAppNotificationService enforces strict three-tier scoping: (1) Personal notifications targeted via recipient_user_id to a specific user's email — these are returned only to that exact user regardless of role; (2) Role-broadcast notifications targeted via target_role — returned to all authenticated users with the matching role; (3) Universal broadcasts with target_role = 'ALL' and no recipient_user_id — returned to all authenticated users of the tenant.</w:t>
      </w:r>
    </w:p>
    <w:p>
      <w:pPr>
        <w:spacing w:after="120" w:lineRule="auto" w:line="360"/>
        <w:jc w:val="both"/>
      </w:pPr>
      <w:r>
        <w:rPr>
          <w:rFonts w:ascii="Times New Roman" w:hAnsi="Times New Roman"/>
          <w:b w:val="0"/>
          <w:i w:val="0"/>
          <w:color w:val="000000"/>
          <w:sz w:val="24"/>
        </w:rPr>
        <w:t>FCM (Firebase Cloud Messaging) push notifications are dispatched asynchronously via an FCMPushProvider class that uses the firebase-admin Python SDK with service account credentials. Push notifications are triggered on four key events: student absence detection (notifies parent within the attendance batch ingestion transaction), fee invoice overdue (daily scheduled digest job), new notification seeded by admin (immediate dispatch), and system-wide broadcasts. The mobile Expo app registers for FCM via expo-notifications and displays received push payloads as system-level notifications on the device status bar.</w:t>
      </w:r>
    </w:p>
    <w:p>
      <w:pPr>
        <w:spacing w:after="120" w:before="120"/>
        <w:jc w:val="left"/>
      </w:pPr>
      <w:r>
        <w:rPr>
          <w:rFonts w:ascii="Times New Roman" w:hAnsi="Times New Roman"/>
          <w:b/>
          <w:color w:val="000000"/>
          <w:sz w:val="24"/>
        </w:rPr>
        <w:t>Module 9.0: Conversational Text-To-Sql Analytics Engine</w:t>
      </w:r>
    </w:p>
    <w:p>
      <w:pPr>
        <w:spacing w:after="120" w:lineRule="auto" w:line="360"/>
        <w:jc w:val="both"/>
      </w:pPr>
      <w:r>
        <w:rPr>
          <w:rFonts w:ascii="Times New Roman" w:hAnsi="Times New Roman"/>
          <w:b w:val="0"/>
          <w:i w:val="0"/>
          <w:color w:val="000000"/>
          <w:sz w:val="24"/>
        </w:rPr>
        <w:t>Module 9.0 implements HAAZIR's flagship data democratization feature: a natural language interface to the institutional relational database. The engine's processing pipeline consists of four stages: Schema Context Injection, LLM SQL Generation, AST Guardrail Validation, and Guarded Query Execution.</w:t>
      </w:r>
    </w:p>
    <w:p>
      <w:pPr>
        <w:spacing w:after="120" w:lineRule="auto" w:line="360"/>
        <w:jc w:val="both"/>
      </w:pPr>
      <w:r>
        <w:rPr>
          <w:rFonts w:ascii="Times New Roman" w:hAnsi="Times New Roman"/>
          <w:b w:val="0"/>
          <w:i w:val="0"/>
          <w:color w:val="000000"/>
          <w:sz w:val="24"/>
        </w:rPr>
        <w:t>Schema Context Injection: The ReadOnlySchemaGateway builds a rich, structured system prompt injected before every LLM call. This prompt contains: (1) a list of all nine whitelisted table names with their complete column definitions; (2) inter-table relationship descriptions (foreign key semantics described in natural language); (3) twenty-plus few-shot exemplar query pairs mapping natural language questions to correct SQL queries covering attendance summaries, fee status lookups, teacher roster queries, timetable lookups, and student-guardian information retrieval; and (4) explicit prohibitions against modifying queries (INSERT, UPDATE, DELETE, DROP, CREATE, ALTER). This extensive prompt engineering is the primary mechanism for achieving high SQL generation accuracy without model fine-tuning.</w:t>
      </w:r>
    </w:p>
    <w:p>
      <w:pPr>
        <w:spacing w:after="120" w:lineRule="auto" w:line="360"/>
        <w:jc w:val="both"/>
      </w:pPr>
      <w:r>
        <w:rPr>
          <w:rFonts w:ascii="Times New Roman" w:hAnsi="Times New Roman"/>
          <w:b w:val="0"/>
          <w:i w:val="0"/>
          <w:color w:val="000000"/>
          <w:sz w:val="24"/>
        </w:rPr>
        <w:t>LLM SQL Generation: The TextToSQLService.generate_sql() method submits the combined system prompt and user question to the configured LLM API (Groq Llama-3.1 8B Instruct or Google Gemini 1.5 Flash, selectable via environment variable). The LLM response is post-processed to extract the raw SQL statement using regex pattern matching against common LLM response formats (```sql ... ``` code fences and plain SQL paragraphs).</w:t>
      </w:r>
    </w:p>
    <w:p>
      <w:pPr>
        <w:spacing w:after="120" w:lineRule="auto" w:line="360"/>
        <w:jc w:val="both"/>
      </w:pPr>
      <w:r>
        <w:rPr>
          <w:rFonts w:ascii="Times New Roman" w:hAnsi="Times New Roman"/>
          <w:b w:val="0"/>
          <w:i w:val="0"/>
          <w:color w:val="000000"/>
          <w:sz w:val="24"/>
        </w:rPr>
        <w:t>AST Guardrail Validation: The extracted SQL string is parsed by sqlglot's expression parser into an Abstract Syntax Tree (AST). The GuardedQueryExecutor traverses this AST to validate: (a) all table names referenced in FROM and JOIN clauses are members of the ALLOWED_TABLES whitelist; (b) no DML/DDL nodes (Insert, Update, Delete, Create, Drop, Alter) are present anywhere in the AST; (c) no PII-sensitive column names (e.g., guardian_phone) are present in SELECT projections for non-authorized roles. Any validation failure raises a QueryGuardViolation exception that is returned to the client as an explanatory error message rather than being passed to the database.</w:t>
      </w:r>
    </w:p>
    <w:p>
      <w:pPr>
        <w:spacing w:after="120" w:lineRule="auto" w:line="360"/>
        <w:jc w:val="both"/>
      </w:pPr>
      <w:r>
        <w:rPr>
          <w:rFonts w:ascii="Times New Roman" w:hAnsi="Times New Roman"/>
          <w:b w:val="0"/>
          <w:i w:val="0"/>
          <w:color w:val="000000"/>
          <w:sz w:val="24"/>
        </w:rPr>
        <w:t>Guarded Query Execution: Validated SQL is executed against a read-only SQLite/PostgreSQL connection (a separate connection string with a database user having only SELECT privilege in production) using parameterized query execution to prevent secondary injection. Results are serialized to a list of dictionaries and returned to the analytics facade, which formats them as both a natural language summary sentence (using an LLM second-pass summarization call) and a structured JSON table for rendering in the web dashboard's data table component and mobile chat interface.</w:t>
      </w:r>
    </w:p>
    <w:p>
      <w:pPr>
        <w:spacing w:after="120" w:before="120"/>
        <w:jc w:val="left"/>
      </w:pPr>
      <w:r>
        <w:rPr>
          <w:rFonts w:ascii="Times New Roman" w:hAnsi="Times New Roman"/>
          <w:b/>
          <w:color w:val="000000"/>
          <w:sz w:val="24"/>
        </w:rPr>
        <w:t>Module 10.0: Web Portal &amp; Mobile Ui Interfaces</w:t>
      </w:r>
    </w:p>
    <w:p>
      <w:pPr>
        <w:spacing w:after="120" w:lineRule="auto" w:line="360"/>
        <w:jc w:val="both"/>
      </w:pPr>
      <w:r>
        <w:rPr>
          <w:rFonts w:ascii="Times New Roman" w:hAnsi="Times New Roman"/>
          <w:b w:val="0"/>
          <w:i w:val="0"/>
          <w:color w:val="000000"/>
          <w:sz w:val="24"/>
        </w:rPr>
        <w:t>Module 10.0 encompasses both client surface implementations: the React 19 web dashboard Single Page Application (SPA) and the React Native Expo mobile application. The web dashboard is structured as a role-adaptive SPA: upon login, the JWT payload's role_key claim determines the navigation items displayed, the dashboard metrics visible, and the data access permissions enforced at the API call level. The dashboard implements five primary views: (1) Attendance Overview — section-level attendance heatmap calendar and student-level drill-down using Recharts bar and line chart components; (2) Student Management — paginated student list with section filter, search, and profile detail modal; (3) Fee Management — fee invoice status Kanban board (Paid / Partial / Overdue) with Razorpay payment link generation; (4) Analytics Chat — the Conversational Text-to-SQL interface with chat message history, LLM-generated response cards, data table rendering, and Dev Mode SQL disclosure accordion; and (5) Notifications Inbox — role-scoped notification feed with category badge filtering (URGENT / ALERT / INFO), read/unread state management, and mark-all-read action.</w:t>
      </w:r>
    </w:p>
    <w:p>
      <w:pPr>
        <w:spacing w:after="120" w:lineRule="auto" w:line="360"/>
        <w:jc w:val="both"/>
      </w:pPr>
      <w:r>
        <w:rPr>
          <w:rFonts w:ascii="Times New Roman" w:hAnsi="Times New Roman"/>
          <w:b w:val="0"/>
          <w:i w:val="0"/>
          <w:color w:val="000000"/>
          <w:sz w:val="24"/>
        </w:rPr>
        <w:t>The React Native Expo mobile application implements a bottom-tab navigation architecture with five tabs corresponding to the primary teacher, parent, and student workflows: Dashboard (role-adaptive attendance summary or child's profile), Notifications (dynamic API-fetched role-scoped inbox with pull-to-refresh), Attendance (YOLO scan initiation and manual entry), Fee Status (parent-facing invoice and payment list), and Profile (user details, JWT token expiry display, and logout). The mobile application implements offline-first design via AsyncStorage caching of the last API response for each primary endpoint, enabling meaningful data display even when the server is unreachable.</w:t>
      </w:r>
    </w:p>
    <w:p>
      <w:r>
        <w:br w:type="page"/>
      </w:r>
    </w:p>
    <w:p>
      <w:pPr>
        <w:spacing w:after="240" w:before="120"/>
        <w:jc w:val="left"/>
      </w:pPr>
      <w:r>
        <w:rPr>
          <w:rFonts w:ascii="Times New Roman" w:hAnsi="Times New Roman"/>
          <w:b/>
          <w:color w:val="000000"/>
          <w:sz w:val="28"/>
        </w:rPr>
        <w:t>CHAPTER 9: SYSTEM DESIGN &amp; FLOW DIAGRAMS</w:t>
      </w:r>
    </w:p>
    <w:p>
      <w:pPr>
        <w:spacing w:after="120" w:before="120"/>
        <w:jc w:val="left"/>
      </w:pPr>
      <w:r>
        <w:rPr>
          <w:rFonts w:ascii="Times New Roman" w:hAnsi="Times New Roman"/>
          <w:b/>
          <w:color w:val="000000"/>
          <w:sz w:val="24"/>
        </w:rPr>
        <w:t>9.1  Computer Vision &amp; Yolo Inference Pipeline Flowchart</w:t>
      </w:r>
    </w:p>
    <w:p>
      <w:pPr>
        <w:spacing w:after="120" w:lineRule="auto" w:line="360"/>
        <w:jc w:val="both"/>
      </w:pPr>
      <w:r>
        <w:rPr>
          <w:rFonts w:ascii="Times New Roman" w:hAnsi="Times New Roman"/>
          <w:b w:val="0"/>
          <w:i w:val="0"/>
          <w:color w:val="000000"/>
          <w:sz w:val="24"/>
        </w:rPr>
        <w:t>The following flowchart illustrates the end-to-end processing sequence of the HAAZIR YOLO Vision Engine from smartphone camera capture, homography perspective deskewing, YOLOv8 column detection, MobileNet character classification, to Human-in-the-Loop (HITL) verification and database commit:</w:t>
      </w:r>
    </w:p>
    <w:p>
      <w:pPr>
        <w:spacing w:before="160" w:after="80"/>
        <w:jc w:val="center"/>
      </w:pPr>
      <w:r>
        <w:drawing>
          <wp:inline xmlns:a="http://schemas.openxmlformats.org/drawingml/2006/main" xmlns:pic="http://schemas.openxmlformats.org/drawingml/2006/picture">
            <wp:extent cx="5303520" cy="5270983"/>
            <wp:docPr id="4" name="Picture 4"/>
            <wp:cNvGraphicFramePr>
              <a:graphicFrameLocks noChangeAspect="1"/>
            </wp:cNvGraphicFramePr>
            <a:graphic>
              <a:graphicData uri="http://schemas.openxmlformats.org/drawingml/2006/picture">
                <pic:pic>
                  <pic:nvPicPr>
                    <pic:cNvPr id="0" name="cv_pipeline_flowchart.png"/>
                    <pic:cNvPicPr/>
                  </pic:nvPicPr>
                  <pic:blipFill>
                    <a:blip r:embed="rId12"/>
                    <a:stretch>
                      <a:fillRect/>
                    </a:stretch>
                  </pic:blipFill>
                  <pic:spPr>
                    <a:xfrm>
                      <a:off x="0" y="0"/>
                      <a:ext cx="5303520" cy="5270983"/>
                    </a:xfrm>
                    <a:prstGeom prst="rect"/>
                  </pic:spPr>
                </pic:pic>
              </a:graphicData>
            </a:graphic>
          </wp:inline>
        </w:drawing>
      </w:r>
    </w:p>
    <w:p>
      <w:pPr>
        <w:spacing w:after="240"/>
        <w:jc w:val="center"/>
      </w:pPr>
      <w:r>
        <w:rPr>
          <w:rFonts w:ascii="Times New Roman" w:hAnsi="Times New Roman"/>
          <w:b/>
          <w:i/>
          <w:color w:val="1B365D"/>
          <w:sz w:val="20"/>
        </w:rPr>
        <w:t>Figure 9.1: HAAZIR Computer Vision &amp; YOLO Inference Pipeline Flowchart</w:t>
      </w:r>
    </w:p>
    <w:p>
      <w:pPr>
        <w:spacing w:after="120" w:before="120"/>
        <w:jc w:val="left"/>
      </w:pPr>
      <w:r>
        <w:rPr>
          <w:rFonts w:ascii="Times New Roman" w:hAnsi="Times New Roman"/>
          <w:b/>
          <w:color w:val="000000"/>
          <w:sz w:val="24"/>
        </w:rPr>
        <w:t>9.2  Context-Level (0-Level) Data Flow Diagram</w:t>
      </w:r>
    </w:p>
    <w:p>
      <w:pPr>
        <w:spacing w:after="120" w:lineRule="auto" w:line="360"/>
        <w:jc w:val="both"/>
      </w:pPr>
      <w:r>
        <w:rPr>
          <w:rFonts w:ascii="Times New Roman" w:hAnsi="Times New Roman"/>
          <w:b w:val="0"/>
          <w:i w:val="0"/>
          <w:color w:val="000000"/>
          <w:sz w:val="24"/>
        </w:rPr>
        <w:t>The 0-Level DFD presents the HAAZIR system as a single process node (the 'HAAZIR Academic ERP System') and illustrates all external entities (Teacher, Admin, Principal, Parent, Student, LLM API, Razorpay, FCM) and the primary data flows between them:</w:t>
      </w:r>
    </w:p>
    <w:p>
      <w:pPr>
        <w:spacing w:before="160" w:after="80"/>
        <w:jc w:val="center"/>
      </w:pPr>
      <w:r>
        <w:drawing>
          <wp:inline xmlns:a="http://schemas.openxmlformats.org/drawingml/2006/main" xmlns:pic="http://schemas.openxmlformats.org/drawingml/2006/picture">
            <wp:extent cx="5303520" cy="2521612"/>
            <wp:docPr id="5" name="Picture 5"/>
            <wp:cNvGraphicFramePr>
              <a:graphicFrameLocks noChangeAspect="1"/>
            </wp:cNvGraphicFramePr>
            <a:graphic>
              <a:graphicData uri="http://schemas.openxmlformats.org/drawingml/2006/picture">
                <pic:pic>
                  <pic:nvPicPr>
                    <pic:cNvPr id="0" name="dfd0_context.png"/>
                    <pic:cNvPicPr/>
                  </pic:nvPicPr>
                  <pic:blipFill>
                    <a:blip r:embed="rId13"/>
                    <a:stretch>
                      <a:fillRect/>
                    </a:stretch>
                  </pic:blipFill>
                  <pic:spPr>
                    <a:xfrm>
                      <a:off x="0" y="0"/>
                      <a:ext cx="5303520" cy="2521612"/>
                    </a:xfrm>
                    <a:prstGeom prst="rect"/>
                  </pic:spPr>
                </pic:pic>
              </a:graphicData>
            </a:graphic>
          </wp:inline>
        </w:drawing>
      </w:r>
    </w:p>
    <w:p>
      <w:pPr>
        <w:spacing w:after="240"/>
        <w:jc w:val="center"/>
      </w:pPr>
      <w:r>
        <w:rPr>
          <w:rFonts w:ascii="Times New Roman" w:hAnsi="Times New Roman"/>
          <w:b/>
          <w:i/>
          <w:color w:val="1B365D"/>
          <w:sz w:val="20"/>
        </w:rPr>
        <w:t>Figure 9.2: Context-Level (0-Level) Data Flow Diagram</w:t>
      </w:r>
    </w:p>
    <w:p>
      <w:pPr>
        <w:spacing w:after="120" w:before="120"/>
        <w:jc w:val="left"/>
      </w:pPr>
      <w:r>
        <w:rPr>
          <w:rFonts w:ascii="Times New Roman" w:hAnsi="Times New Roman"/>
          <w:b/>
          <w:color w:val="000000"/>
          <w:sz w:val="24"/>
        </w:rPr>
        <w:t>9.3  Level-1 Decomposed Data Flow Diagram</w:t>
      </w:r>
    </w:p>
    <w:p>
      <w:pPr>
        <w:spacing w:after="120" w:lineRule="auto" w:line="360"/>
        <w:jc w:val="both"/>
      </w:pPr>
      <w:r>
        <w:rPr>
          <w:rFonts w:ascii="Times New Roman" w:hAnsi="Times New Roman"/>
          <w:b w:val="0"/>
          <w:i w:val="0"/>
          <w:color w:val="000000"/>
          <w:sz w:val="24"/>
        </w:rPr>
        <w:t>The 1-Level decomposed DFD unpacks the core HAAZIR processes (Auth &amp; RBAC 1.0, YOLO Vision Engine 2.0, Attendance Ingestion 3.0, Notification Engine 4.0, Fee Management 5.0, Text-to-SQL Analytics 6.0) and their interactions with central data stores (User Store D1, Attendance Store D2, Notification Outbox D3, Fee Store D4):</w:t>
      </w:r>
    </w:p>
    <w:p>
      <w:pPr>
        <w:spacing w:before="160" w:after="80"/>
        <w:jc w:val="center"/>
      </w:pPr>
      <w:r>
        <w:drawing>
          <wp:inline xmlns:a="http://schemas.openxmlformats.org/drawingml/2006/main" xmlns:pic="http://schemas.openxmlformats.org/drawingml/2006/picture">
            <wp:extent cx="5303520" cy="7272004"/>
            <wp:docPr id="6" name="Picture 6"/>
            <wp:cNvGraphicFramePr>
              <a:graphicFrameLocks noChangeAspect="1"/>
            </wp:cNvGraphicFramePr>
            <a:graphic>
              <a:graphicData uri="http://schemas.openxmlformats.org/drawingml/2006/picture">
                <pic:pic>
                  <pic:nvPicPr>
                    <pic:cNvPr id="0" name="dfd1_decomposed.png"/>
                    <pic:cNvPicPr/>
                  </pic:nvPicPr>
                  <pic:blipFill>
                    <a:blip r:embed="rId14"/>
                    <a:stretch>
                      <a:fillRect/>
                    </a:stretch>
                  </pic:blipFill>
                  <pic:spPr>
                    <a:xfrm>
                      <a:off x="0" y="0"/>
                      <a:ext cx="5303520" cy="7272004"/>
                    </a:xfrm>
                    <a:prstGeom prst="rect"/>
                  </pic:spPr>
                </pic:pic>
              </a:graphicData>
            </a:graphic>
          </wp:inline>
        </w:drawing>
      </w:r>
    </w:p>
    <w:p>
      <w:pPr>
        <w:spacing w:after="240"/>
        <w:jc w:val="center"/>
      </w:pPr>
      <w:r>
        <w:rPr>
          <w:rFonts w:ascii="Times New Roman" w:hAnsi="Times New Roman"/>
          <w:b/>
          <w:i/>
          <w:color w:val="1B365D"/>
          <w:sz w:val="20"/>
        </w:rPr>
        <w:t>Figure 9.3: Level-1 Decomposed Data Flow Diagram</w:t>
      </w:r>
    </w:p>
    <w:p>
      <w:pPr>
        <w:spacing w:after="120" w:before="120"/>
        <w:jc w:val="left"/>
      </w:pPr>
      <w:r>
        <w:rPr>
          <w:rFonts w:ascii="Times New Roman" w:hAnsi="Times New Roman"/>
          <w:b/>
          <w:color w:val="000000"/>
          <w:sz w:val="24"/>
        </w:rPr>
        <w:t>9.4  Entity-Relationship (Er) Diagram — 3Nf Relational Schema</w:t>
      </w:r>
    </w:p>
    <w:p>
      <w:pPr>
        <w:spacing w:after="120" w:lineRule="auto" w:line="360"/>
        <w:jc w:val="both"/>
      </w:pPr>
      <w:r>
        <w:rPr>
          <w:rFonts w:ascii="Times New Roman" w:hAnsi="Times New Roman"/>
          <w:b w:val="0"/>
          <w:i w:val="0"/>
          <w:color w:val="000000"/>
          <w:sz w:val="24"/>
        </w:rPr>
        <w:t>The HAAZIR relational schema is designed in Third Normal Form (3NF): all non-key attributes are fully functionally dependent on the primary key only (no partial dependencies), and there are no transitive dependencies between non-key attributes. The complete ER diagram across all nine core entities is rendered below:</w:t>
      </w:r>
    </w:p>
    <w:p>
      <w:pPr>
        <w:spacing w:before="160" w:after="80"/>
        <w:jc w:val="center"/>
      </w:pPr>
      <w:r>
        <w:drawing>
          <wp:inline xmlns:a="http://schemas.openxmlformats.org/drawingml/2006/main" xmlns:pic="http://schemas.openxmlformats.org/drawingml/2006/picture">
            <wp:extent cx="5303520" cy="7564837"/>
            <wp:docPr id="7" name="Picture 7"/>
            <wp:cNvGraphicFramePr>
              <a:graphicFrameLocks noChangeAspect="1"/>
            </wp:cNvGraphicFramePr>
            <a:graphic>
              <a:graphicData uri="http://schemas.openxmlformats.org/drawingml/2006/picture">
                <pic:pic>
                  <pic:nvPicPr>
                    <pic:cNvPr id="0" name="er_diagram.png"/>
                    <pic:cNvPicPr/>
                  </pic:nvPicPr>
                  <pic:blipFill>
                    <a:blip r:embed="rId15"/>
                    <a:stretch>
                      <a:fillRect/>
                    </a:stretch>
                  </pic:blipFill>
                  <pic:spPr>
                    <a:xfrm>
                      <a:off x="0" y="0"/>
                      <a:ext cx="5303520" cy="7564837"/>
                    </a:xfrm>
                    <a:prstGeom prst="rect"/>
                  </pic:spPr>
                </pic:pic>
              </a:graphicData>
            </a:graphic>
          </wp:inline>
        </w:drawing>
      </w:r>
    </w:p>
    <w:p>
      <w:pPr>
        <w:spacing w:after="240"/>
        <w:jc w:val="center"/>
      </w:pPr>
      <w:r>
        <w:rPr>
          <w:rFonts w:ascii="Times New Roman" w:hAnsi="Times New Roman"/>
          <w:b/>
          <w:i/>
          <w:color w:val="1B365D"/>
          <w:sz w:val="20"/>
        </w:rPr>
        <w:t>Figure 9.4: Entity-Relationship (ER) Diagram — 3NF Relational Schema</w:t>
      </w:r>
    </w:p>
    <w:p>
      <w:r>
        <w:br w:type="page"/>
      </w:r>
    </w:p>
    <w:p>
      <w:pPr>
        <w:spacing w:after="240" w:before="120"/>
        <w:jc w:val="left"/>
      </w:pPr>
      <w:r>
        <w:rPr>
          <w:rFonts w:ascii="Times New Roman" w:hAnsi="Times New Roman"/>
          <w:b/>
          <w:color w:val="000000"/>
          <w:sz w:val="28"/>
        </w:rPr>
        <w:t>CHAPTER 10: DATA TABLES — COMPLETE DATA DICTIONARY</w:t>
      </w:r>
    </w:p>
    <w:p>
      <w:pPr>
        <w:spacing w:after="120" w:lineRule="auto" w:line="360"/>
        <w:jc w:val="both"/>
      </w:pPr>
      <w:r>
        <w:rPr>
          <w:rFonts w:ascii="Times New Roman" w:hAnsi="Times New Roman"/>
          <w:b w:val="0"/>
          <w:i w:val="0"/>
          <w:color w:val="000000"/>
          <w:sz w:val="24"/>
        </w:rPr>
        <w:t>This chapter presents the complete relational data dictionary for all nine tables in the HAAZIR database schema. Each table definition includes field name, data type, nullability, key and constraint information, and a functional description of the field's purpose within the system.</w:t>
      </w:r>
    </w:p>
    <w:p>
      <w:pPr>
        <w:spacing w:after="120" w:before="120"/>
        <w:jc w:val="left"/>
      </w:pPr>
      <w:r>
        <w:rPr>
          <w:rFonts w:ascii="Times New Roman" w:hAnsi="Times New Roman"/>
          <w:b/>
          <w:color w:val="000000"/>
          <w:sz w:val="24"/>
        </w:rPr>
        <w:t>Table 1: Users</w:t>
      </w:r>
    </w:p>
    <w:tbl>
      <w:tblPr>
        <w:tblStyle w:val="TableGrid"/>
        <w:jc w:val="center"/>
        <w:tblLook w:firstColumn="1" w:firstRow="1" w:lastColumn="0" w:lastRow="0" w:noHBand="0" w:noVBand="1" w:val="04A0"/>
        <w:tblLayout w:type="fixed"/>
        <w:tblW w:w="8668" w:type="dxa"/>
      </w:tblPr>
      <w:tblGrid>
        <w:gridCol w:w="1878"/>
        <w:gridCol w:w="1444"/>
        <w:gridCol w:w="866"/>
        <w:gridCol w:w="1589"/>
        <w:gridCol w:w="2889"/>
      </w:tblGrid>
      <w:tr>
        <w:tc>
          <w:tcPr>
            <w:tcW w:w="187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4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866"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89"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889"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7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4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86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 DEFAULT gen_random_uuid()</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identifier for each registered user account across all roles</w:t>
            </w:r>
          </w:p>
        </w:tc>
      </w:tr>
      <w:tr>
        <w:tc>
          <w:tcPr>
            <w:tcW w:w="187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4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86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 FK-soft</w:t>
            </w:r>
          </w:p>
        </w:tc>
        <w:tc>
          <w:tcPr>
            <w:tcW w:w="28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Institution identifier enforcing row-level multi-tenant data isolation</w:t>
            </w:r>
          </w:p>
        </w:tc>
      </w:tr>
      <w:tr>
        <w:tc>
          <w:tcPr>
            <w:tcW w:w="187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email</w:t>
            </w:r>
          </w:p>
        </w:tc>
        <w:tc>
          <w:tcPr>
            <w:tcW w:w="144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VARCHAR(255)</w:t>
            </w:r>
          </w:p>
        </w:tc>
        <w:tc>
          <w:tcPr>
            <w:tcW w:w="86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NOT NULL</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User email address used as primary login credential; globally unique per tenant</w:t>
            </w:r>
          </w:p>
        </w:tc>
      </w:tr>
      <w:tr>
        <w:tc>
          <w:tcPr>
            <w:tcW w:w="187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full_name</w:t>
            </w:r>
          </w:p>
        </w:tc>
        <w:tc>
          <w:tcPr>
            <w:tcW w:w="144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VARCHAR(128)</w:t>
            </w:r>
          </w:p>
        </w:tc>
        <w:tc>
          <w:tcPr>
            <w:tcW w:w="86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8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User's complete legal name displayed in all UI surfaces</w:t>
            </w:r>
          </w:p>
        </w:tc>
      </w:tr>
      <w:tr>
        <w:tc>
          <w:tcPr>
            <w:tcW w:w="187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role_key</w:t>
            </w:r>
          </w:p>
        </w:tc>
        <w:tc>
          <w:tcPr>
            <w:tcW w:w="144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VARCHAR(32)</w:t>
            </w:r>
          </w:p>
        </w:tc>
        <w:tc>
          <w:tcPr>
            <w:tcW w:w="86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CHECK IN ('ADMIN','PRINCIPAL','TEACHER','PARENT','STUDENT')</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RBAC role designation determining access scope and permissions</w:t>
            </w:r>
          </w:p>
        </w:tc>
      </w:tr>
      <w:tr>
        <w:tc>
          <w:tcPr>
            <w:tcW w:w="187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phone</w:t>
            </w:r>
          </w:p>
        </w:tc>
        <w:tc>
          <w:tcPr>
            <w:tcW w:w="144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VARCHAR(20)</w:t>
            </w:r>
          </w:p>
        </w:tc>
        <w:tc>
          <w:tcPr>
            <w:tcW w:w="86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28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Mobile contact number in Indian format (+91-XXXXX-XXXXX); optional for all roles</w:t>
            </w:r>
          </w:p>
        </w:tc>
      </w:tr>
      <w:tr>
        <w:tc>
          <w:tcPr>
            <w:tcW w:w="187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assigned_sections</w:t>
            </w:r>
          </w:p>
        </w:tc>
        <w:tc>
          <w:tcPr>
            <w:tcW w:w="144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TEXT (JSON)</w:t>
            </w:r>
          </w:p>
        </w:tc>
        <w:tc>
          <w:tcPr>
            <w:tcW w:w="86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JSON array of class_section UUIDs; populated only for TEACHER role for JWT section scoping</w:t>
            </w:r>
          </w:p>
        </w:tc>
      </w:tr>
      <w:tr>
        <w:tc>
          <w:tcPr>
            <w:tcW w:w="187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password_hash</w:t>
            </w:r>
          </w:p>
        </w:tc>
        <w:tc>
          <w:tcPr>
            <w:tcW w:w="144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VARCHAR(128)</w:t>
            </w:r>
          </w:p>
        </w:tc>
        <w:tc>
          <w:tcPr>
            <w:tcW w:w="86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889"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bcrypt-hashed password with cost factor 12; never stored in plaintext</w:t>
            </w:r>
          </w:p>
        </w:tc>
      </w:tr>
      <w:tr>
        <w:tc>
          <w:tcPr>
            <w:tcW w:w="187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created_at</w:t>
            </w:r>
          </w:p>
        </w:tc>
        <w:tc>
          <w:tcPr>
            <w:tcW w:w="144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86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889"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UTC timestamp of account creation; used in audit trails</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963"/>
        <w:gridCol w:w="963"/>
        <w:gridCol w:w="963"/>
        <w:gridCol w:w="963"/>
        <w:gridCol w:w="963"/>
        <w:gridCol w:w="963"/>
        <w:gridCol w:w="963"/>
        <w:gridCol w:w="963"/>
        <w:gridCol w:w="963"/>
      </w:tblGrid>
      <w:tr>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tenant_id</w:t>
            </w:r>
          </w:p>
        </w:tc>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email</w:t>
            </w:r>
          </w:p>
        </w:tc>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full_name</w:t>
            </w:r>
          </w:p>
        </w:tc>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role_key</w:t>
            </w:r>
          </w:p>
        </w:tc>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phone</w:t>
            </w:r>
          </w:p>
        </w:tc>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assigned_sections</w:t>
            </w:r>
          </w:p>
        </w:tc>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password_hash</w:t>
            </w:r>
          </w:p>
        </w:tc>
        <w:tc>
          <w:tcPr>
            <w:tcW w:w="96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created_at</w:t>
            </w:r>
          </w:p>
        </w:tc>
      </w:tr>
      <w:tr>
        <w:tc>
          <w:tcPr>
            <w:tcW w:w="96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3a7f2c1e-...</w:t>
            </w:r>
          </w:p>
        </w:tc>
        <w:tc>
          <w:tcPr>
            <w:tcW w:w="96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greenwood-high-001</w:t>
            </w:r>
          </w:p>
        </w:tc>
        <w:tc>
          <w:tcPr>
            <w:tcW w:w="96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96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96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Row 1 of users</w:t>
            </w:r>
          </w:p>
        </w:tc>
        <w:tc>
          <w:tcPr>
            <w:tcW w:type="dxa" w:w="963"/>
          </w:tcPr>
          <w:p/>
        </w:tc>
        <w:tc>
          <w:tcPr>
            <w:tcW w:type="dxa" w:w="963"/>
          </w:tcPr>
          <w:p/>
        </w:tc>
        <w:tc>
          <w:tcPr>
            <w:tcW w:type="dxa" w:w="963"/>
          </w:tcPr>
          <w:p/>
        </w:tc>
        <w:tc>
          <w:tcPr>
            <w:tcW w:type="dxa" w:w="963"/>
          </w:tcPr>
          <w:p/>
        </w:tc>
      </w:tr>
      <w:tr>
        <w:tc>
          <w:tcPr>
            <w:tcW w:w="96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admin@demo.school</w:t>
            </w:r>
          </w:p>
        </w:tc>
        <w:tc>
          <w:tcPr>
            <w:tcW w:w="96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greenwood-high-001</w:t>
            </w:r>
          </w:p>
        </w:tc>
        <w:tc>
          <w:tcPr>
            <w:tcW w:w="96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ADMIN</w:t>
            </w:r>
          </w:p>
        </w:tc>
        <w:tc>
          <w:tcPr>
            <w:tcW w:w="96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96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Admin account</w:t>
            </w:r>
          </w:p>
        </w:tc>
        <w:tc>
          <w:tcPr>
            <w:tcW w:type="dxa" w:w="963"/>
          </w:tcPr>
          <w:p/>
        </w:tc>
        <w:tc>
          <w:tcPr>
            <w:tcW w:type="dxa" w:w="963"/>
          </w:tcPr>
          <w:p/>
        </w:tc>
        <w:tc>
          <w:tcPr>
            <w:tcW w:type="dxa" w:w="963"/>
          </w:tcPr>
          <w:p/>
        </w:tc>
        <w:tc>
          <w:tcPr>
            <w:tcW w:type="dxa" w:w="963"/>
          </w:tcPr>
          <w:p/>
        </w:tc>
      </w:tr>
    </w:tbl>
    <w:p/>
    <w:p/>
    <w:p>
      <w:pPr>
        <w:spacing w:after="120" w:before="120"/>
        <w:jc w:val="left"/>
      </w:pPr>
      <w:r>
        <w:rPr>
          <w:rFonts w:ascii="Times New Roman" w:hAnsi="Times New Roman"/>
          <w:b/>
          <w:color w:val="000000"/>
          <w:sz w:val="24"/>
        </w:rPr>
        <w:t>Table 2: Class_Sections</w:t>
      </w:r>
    </w:p>
    <w:tbl>
      <w:tblPr>
        <w:tblStyle w:val="TableGrid"/>
        <w:jc w:val="center"/>
        <w:tblLook w:firstColumn="1" w:firstRow="1" w:lastColumn="0" w:lastRow="0" w:noHBand="0" w:noVBand="1" w:val="04A0"/>
        <w:tblLayout w:type="fixed"/>
        <w:tblW w:w="8668" w:type="dxa"/>
      </w:tblPr>
      <w:tblGrid>
        <w:gridCol w:w="1811"/>
        <w:gridCol w:w="1423"/>
        <w:gridCol w:w="905"/>
        <w:gridCol w:w="1552"/>
        <w:gridCol w:w="2975"/>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97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identifier for each class section</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Institution multi-tenant discriminator</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grade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VARCHAR(16)</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Grade/standard designation (e.g., '10', '11', '12', 'XI-Science')</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division</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VARCHAR(8)</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Section division letter or code (e.g., 'A', 'B', 'Blue')</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class_teacher_id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FK → users.id</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Optional reference to the designated class teacher user record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academic_year</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VARCHAR(16)</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Academic year label (e.g., '2025-2026') for historical section isolation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capacity</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SMALLINT</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 CHECK &gt; 0</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Maximum enrolled student count; used for capacity planning and UI display</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created_at</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Section creation timestamp for audit trail</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1164"/>
        <w:gridCol w:w="1811"/>
        <w:gridCol w:w="646"/>
        <w:gridCol w:w="905"/>
        <w:gridCol w:w="1940"/>
        <w:gridCol w:w="1164"/>
        <w:gridCol w:w="1035"/>
      </w:tblGrid>
      <w:tr>
        <w:tc>
          <w:tcPr>
            <w:tcW w:w="116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tenant_id</w:t>
            </w:r>
          </w:p>
        </w:tc>
        <w:tc>
          <w:tcPr>
            <w:tcW w:w="646"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grade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division</w:t>
            </w:r>
          </w:p>
        </w:tc>
        <w:tc>
          <w:tcPr>
            <w:tcW w:w="194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class_teacher_id</w:t>
            </w:r>
          </w:p>
        </w:tc>
        <w:tc>
          <w:tcPr>
            <w:tcW w:w="116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academic_year</w:t>
            </w:r>
          </w:p>
        </w:tc>
        <w:tc>
          <w:tcPr>
            <w:tcW w:w="103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capacity</w:t>
            </w:r>
          </w:p>
        </w:tc>
      </w:tr>
      <w:tr>
        <w:tc>
          <w:tcPr>
            <w:tcW w:w="11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71530d0e-...</w:t>
            </w:r>
          </w:p>
        </w:tc>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greenwood-high-001</w:t>
            </w:r>
          </w:p>
        </w:tc>
        <w:tc>
          <w:tcPr>
            <w:tcW w:w="64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10</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w:t>
            </w:r>
          </w:p>
        </w:tc>
        <w:tc>
          <w:tcPr>
            <w:tcW w:w="194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a1b2c3d4-... (Rajesh Kumar)</w:t>
            </w:r>
          </w:p>
        </w:tc>
        <w:tc>
          <w:tcPr>
            <w:tcW w:w="11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2025-2026</w:t>
            </w:r>
          </w:p>
        </w:tc>
        <w:tc>
          <w:tcPr>
            <w:tcW w:w="103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30</w:t>
            </w:r>
          </w:p>
        </w:tc>
      </w:tr>
      <w:tr>
        <w:tc>
          <w:tcPr>
            <w:tcW w:w="11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644e34d2-...</w:t>
            </w:r>
          </w:p>
        </w:tc>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greenwood-high-001</w:t>
            </w:r>
          </w:p>
        </w:tc>
        <w:tc>
          <w:tcPr>
            <w:tcW w:w="64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10</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B</w:t>
            </w:r>
          </w:p>
        </w:tc>
        <w:tc>
          <w:tcPr>
            <w:tcW w:w="194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e5f6a7b8-... (Priya Singh)</w:t>
            </w:r>
          </w:p>
        </w:tc>
        <w:tc>
          <w:tcPr>
            <w:tcW w:w="11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2025-2026</w:t>
            </w:r>
          </w:p>
        </w:tc>
        <w:tc>
          <w:tcPr>
            <w:tcW w:w="103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30</w:t>
            </w:r>
          </w:p>
        </w:tc>
      </w:tr>
    </w:tbl>
    <w:p/>
    <w:p>
      <w:pPr>
        <w:spacing w:after="120" w:before="120"/>
        <w:jc w:val="left"/>
      </w:pPr>
      <w:r>
        <w:rPr>
          <w:rFonts w:ascii="Times New Roman" w:hAnsi="Times New Roman"/>
          <w:b/>
          <w:color w:val="000000"/>
          <w:sz w:val="24"/>
        </w:rPr>
        <w:t>Table 3: Students</w:t>
      </w:r>
    </w:p>
    <w:tbl>
      <w:tblPr>
        <w:tblStyle w:val="TableGrid"/>
        <w:jc w:val="center"/>
        <w:tblLook w:firstColumn="1" w:firstRow="1" w:lastColumn="0" w:lastRow="0" w:noHBand="0" w:noVBand="1" w:val="04A0"/>
        <w:tblLayout w:type="fixed"/>
        <w:tblW w:w="8668" w:type="dxa"/>
      </w:tblPr>
      <w:tblGrid>
        <w:gridCol w:w="1811"/>
        <w:gridCol w:w="1423"/>
        <w:gridCol w:w="905"/>
        <w:gridCol w:w="1552"/>
        <w:gridCol w:w="2975"/>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97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student record identifier; used as FK in attendance and fee tables</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Multi-tenant row isolation discriminator</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section_id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FK → class_sections.id</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Current enrolled class section reference; determines attendance and fee scope</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roll_number</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VARCHAR(16)</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Section-unique roll number assigned during enrollment; used in register matching</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full_name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VARCHAR(128)</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Student's complete name as per institutional enrollment records</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guardian_phone</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VARCHAR(20)</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Primary guardian contact number for FCM-triggered absence alert dispatch</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guardian_email</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VARCHAR(255)</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Guardian email for in-app notification recipient_user_id matching</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aadhaar_seed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VARCHAR(12)</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Synthetic Aadhaar-format identifier seed for testing purposes only; masked in production UI</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enrollment_status</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VARCHAR(16)</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DEFAULT 'ACTIVE', CHECK IN ('ACTIVE','SUSPENDED','GRADUATED','TRANSFERRED')</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Current enrollment status affecting fee generation and attendance tracking eligibility</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created_at</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Record creation timestamp</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1164"/>
        <w:gridCol w:w="1293"/>
        <w:gridCol w:w="1035"/>
        <w:gridCol w:w="1552"/>
        <w:gridCol w:w="1552"/>
        <w:gridCol w:w="2070"/>
      </w:tblGrid>
      <w:tr>
        <w:tc>
          <w:tcPr>
            <w:tcW w:w="116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129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section_id</w:t>
            </w:r>
          </w:p>
        </w:tc>
        <w:tc>
          <w:tcPr>
            <w:tcW w:w="103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roll_number</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full_name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guardian_phone</w:t>
            </w:r>
          </w:p>
        </w:tc>
        <w:tc>
          <w:tcPr>
            <w:tcW w:w="2070"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enrollment_status</w:t>
            </w:r>
          </w:p>
        </w:tc>
      </w:tr>
      <w:tr>
        <w:tc>
          <w:tcPr>
            <w:tcW w:w="11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stu-001-...</w:t>
            </w:r>
          </w:p>
        </w:tc>
        <w:tc>
          <w:tcPr>
            <w:tcW w:w="129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71530d0e-...</w:t>
            </w:r>
          </w:p>
        </w:tc>
        <w:tc>
          <w:tcPr>
            <w:tcW w:w="103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10A-01</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Arjun Sharma</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+91-98760-10001</w:t>
            </w:r>
          </w:p>
        </w:tc>
        <w:tc>
          <w:tcPr>
            <w:tcW w:w="2070"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ACTIVE</w:t>
            </w:r>
          </w:p>
        </w:tc>
      </w:tr>
      <w:tr>
        <w:tc>
          <w:tcPr>
            <w:tcW w:w="11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stu-002-...</w:t>
            </w:r>
          </w:p>
        </w:tc>
        <w:tc>
          <w:tcPr>
            <w:tcW w:w="129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71530d0e-...</w:t>
            </w:r>
          </w:p>
        </w:tc>
        <w:tc>
          <w:tcPr>
            <w:tcW w:w="103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10A-02</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Priya Patel</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+91-98760-10002</w:t>
            </w:r>
          </w:p>
        </w:tc>
        <w:tc>
          <w:tcPr>
            <w:tcW w:w="2070"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ACTIVE</w:t>
            </w:r>
          </w:p>
        </w:tc>
      </w:tr>
    </w:tbl>
    <w:p/>
    <w:p>
      <w:pPr>
        <w:spacing w:after="120" w:before="120"/>
        <w:jc w:val="left"/>
      </w:pPr>
      <w:r>
        <w:rPr>
          <w:rFonts w:ascii="Times New Roman" w:hAnsi="Times New Roman"/>
          <w:b/>
          <w:color w:val="000000"/>
          <w:sz w:val="24"/>
        </w:rPr>
        <w:t>Table 4: Register_Scans (Yolo Vision Audit Table)</w:t>
      </w:r>
    </w:p>
    <w:tbl>
      <w:tblPr>
        <w:tblStyle w:val="TableGrid"/>
        <w:jc w:val="center"/>
        <w:tblLook w:firstColumn="1" w:firstRow="1" w:lastColumn="0" w:lastRow="0" w:noHBand="0" w:noVBand="1" w:val="04A0"/>
        <w:tblLayout w:type="fixed"/>
        <w:tblW w:w="8668" w:type="dxa"/>
      </w:tblPr>
      <w:tblGrid>
        <w:gridCol w:w="1811"/>
        <w:gridCol w:w="1423"/>
        <w:gridCol w:w="905"/>
        <w:gridCol w:w="1552"/>
        <w:gridCol w:w="2975"/>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97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scan audit record identifier; referenced by attendance_records.scan_id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Multi-tenant discriminator for scan audit isolation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section_id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FK → class_sections.id</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Target class section for which the register was photographed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teacher_id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FK → users.id</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Reference to the teacher user who initiated the scan session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scan_image_path</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VARCHAR(512)</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Filesystem or object storage path (e.g., S3 key) to the original uploaded register photograph</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corrected_image_path</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VARCHAR(512)</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Path to the homography-corrected deskewed version of the image; stored for audit trail</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avg_confidence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FLOAT</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CHECK BETWEEN 0 AND 1</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Mean YOLO inference confidence score across all detected mark cells in the scan</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override_count</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SMALLINT</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0, CHECK &gt;= 0</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Number of cells manually corrected by the teacher during HITL review; quality metric</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total_cells</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SMALLINT</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Total number of attendance mark cells processed by the pipeline in this scan</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ingested_at</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Timestamp at which the scan batch was committed to the attendance_records table</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1035"/>
        <w:gridCol w:w="1293"/>
        <w:gridCol w:w="1293"/>
        <w:gridCol w:w="1293"/>
        <w:gridCol w:w="1293"/>
        <w:gridCol w:w="1035"/>
        <w:gridCol w:w="1423"/>
      </w:tblGrid>
      <w:tr>
        <w:tc>
          <w:tcPr>
            <w:tcW w:w="103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129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section_id</w:t>
            </w:r>
          </w:p>
        </w:tc>
        <w:tc>
          <w:tcPr>
            <w:tcW w:w="129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teacher_id</w:t>
            </w:r>
          </w:p>
        </w:tc>
        <w:tc>
          <w:tcPr>
            <w:tcW w:w="129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avg_confidence</w:t>
            </w:r>
          </w:p>
        </w:tc>
        <w:tc>
          <w:tcPr>
            <w:tcW w:w="129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override_count</w:t>
            </w:r>
          </w:p>
        </w:tc>
        <w:tc>
          <w:tcPr>
            <w:tcW w:w="103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total_cells</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ingested_at</w:t>
            </w:r>
          </w:p>
        </w:tc>
      </w:tr>
      <w:tr>
        <w:tc>
          <w:tcPr>
            <w:tcW w:w="103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sc-001-...</w:t>
            </w:r>
          </w:p>
        </w:tc>
        <w:tc>
          <w:tcPr>
            <w:tcW w:w="129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71530d0e-...</w:t>
            </w:r>
          </w:p>
        </w:tc>
        <w:tc>
          <w:tcPr>
            <w:tcW w:w="129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teacher-raj-...</w:t>
            </w:r>
          </w:p>
        </w:tc>
        <w:tc>
          <w:tcPr>
            <w:tcW w:w="129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0.9721</w:t>
            </w:r>
          </w:p>
        </w:tc>
        <w:tc>
          <w:tcPr>
            <w:tcW w:w="129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w:t>
            </w:r>
          </w:p>
        </w:tc>
        <w:tc>
          <w:tcPr>
            <w:tcW w:w="103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25</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2026-08-08 08:32:10 UTC</w:t>
            </w:r>
          </w:p>
        </w:tc>
      </w:tr>
      <w:tr>
        <w:tc>
          <w:tcPr>
            <w:tcW w:w="103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sc-002-...</w:t>
            </w:r>
          </w:p>
        </w:tc>
        <w:tc>
          <w:tcPr>
            <w:tcW w:w="129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644e34d2-...</w:t>
            </w:r>
          </w:p>
        </w:tc>
        <w:tc>
          <w:tcPr>
            <w:tcW w:w="129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teacher-pri-...</w:t>
            </w:r>
          </w:p>
        </w:tc>
        <w:tc>
          <w:tcPr>
            <w:tcW w:w="129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0.9654</w:t>
            </w:r>
          </w:p>
        </w:tc>
        <w:tc>
          <w:tcPr>
            <w:tcW w:w="129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1</w:t>
            </w:r>
          </w:p>
        </w:tc>
        <w:tc>
          <w:tcPr>
            <w:tcW w:w="103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25</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2026-08-08 08:47:33 UTC</w:t>
            </w:r>
          </w:p>
        </w:tc>
      </w:tr>
    </w:tbl>
    <w:p/>
    <w:p>
      <w:pPr>
        <w:spacing w:after="120" w:before="120"/>
        <w:jc w:val="left"/>
      </w:pPr>
      <w:r>
        <w:rPr>
          <w:rFonts w:ascii="Times New Roman" w:hAnsi="Times New Roman"/>
          <w:b/>
          <w:color w:val="000000"/>
          <w:sz w:val="24"/>
        </w:rPr>
        <w:t>Table 5: Attendance_Records</w:t>
      </w:r>
    </w:p>
    <w:tbl>
      <w:tblPr>
        <w:tblStyle w:val="TableGrid"/>
        <w:jc w:val="center"/>
        <w:tblLook w:firstColumn="1" w:firstRow="1" w:lastColumn="0" w:lastRow="0" w:noHBand="0" w:noVBand="1" w:val="04A0"/>
        <w:tblLayout w:type="fixed"/>
        <w:tblW w:w="8668" w:type="dxa"/>
      </w:tblPr>
      <w:tblGrid>
        <w:gridCol w:w="1811"/>
        <w:gridCol w:w="1423"/>
        <w:gridCol w:w="905"/>
        <w:gridCol w:w="1552"/>
        <w:gridCol w:w="2975"/>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97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attendance event record identifier</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Multi-tenant row isolation discriminator</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student_id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FK → students.id, IDX</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Reference to the student for whom this attendance event is recorded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section_id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FK → class_sections.id, 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Section context of the attendance record for aggregate query optimization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record_date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DATE</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 IDX</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Calendar date of the attendance session (ISO 8601 format)</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status</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VARCHAR(16)</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 CHECK IN ('PRESENT','ABSENT','LATE','HOLIDAY','EXCUSED')</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Attendance mark value as determined by YOLO classification or manual entry</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ingestion_source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VARCHAR(32)</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DEFAULT 'MANUAL', CHECK IN ('YOLO_SCAN','MANUAL','CSV_IMPORT','BIOMETRIC')</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Source channel through which this record was ingested; used for data provenance analytics</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scan_id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FK → register_scans.id</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Reference to the YOLO scan session; NULL for manually entered records</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recorded_by</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FK → users.id</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Reference to the teacher user who submitted or approved this attendance record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created_at</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Record creation timestamp</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1155"/>
        <w:gridCol w:w="1155"/>
        <w:gridCol w:w="1155"/>
        <w:gridCol w:w="1444"/>
        <w:gridCol w:w="1155"/>
        <w:gridCol w:w="1444"/>
        <w:gridCol w:w="1155"/>
      </w:tblGrid>
      <w:tr>
        <w:tc>
          <w:tcPr>
            <w:tcW w:w="115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115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student_id</w:t>
            </w:r>
          </w:p>
        </w:tc>
        <w:tc>
          <w:tcPr>
            <w:tcW w:w="115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section_id</w:t>
            </w:r>
          </w:p>
        </w:tc>
        <w:tc>
          <w:tcPr>
            <w:tcW w:w="144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record_date</w:t>
            </w:r>
          </w:p>
        </w:tc>
        <w:tc>
          <w:tcPr>
            <w:tcW w:w="115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status</w:t>
            </w:r>
          </w:p>
        </w:tc>
        <w:tc>
          <w:tcPr>
            <w:tcW w:w="144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ingestion_source</w:t>
            </w:r>
          </w:p>
        </w:tc>
        <w:tc>
          <w:tcPr>
            <w:tcW w:w="115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scan_id</w:t>
            </w:r>
          </w:p>
        </w:tc>
      </w:tr>
      <w:tr>
        <w:tc>
          <w:tcPr>
            <w:tcW w:w="115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ar-001-...</w:t>
            </w:r>
          </w:p>
        </w:tc>
        <w:tc>
          <w:tcPr>
            <w:tcW w:w="115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stu-001-...</w:t>
            </w:r>
          </w:p>
        </w:tc>
        <w:tc>
          <w:tcPr>
            <w:tcW w:w="115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71530d0e-...</w:t>
            </w:r>
          </w:p>
        </w:tc>
        <w:tc>
          <w:tcPr>
            <w:tcW w:w="144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2026-08-08</w:t>
            </w:r>
          </w:p>
        </w:tc>
        <w:tc>
          <w:tcPr>
            <w:tcW w:w="115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PRESENT</w:t>
            </w:r>
          </w:p>
        </w:tc>
        <w:tc>
          <w:tcPr>
            <w:tcW w:w="144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YOLO_SCAN</w:t>
            </w:r>
          </w:p>
        </w:tc>
        <w:tc>
          <w:tcPr>
            <w:tcW w:w="115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sc-001-...</w:t>
            </w:r>
          </w:p>
        </w:tc>
      </w:tr>
      <w:tr>
        <w:tc>
          <w:tcPr>
            <w:tcW w:w="115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ar-002-...</w:t>
            </w:r>
          </w:p>
        </w:tc>
        <w:tc>
          <w:tcPr>
            <w:tcW w:w="115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stu-002-...</w:t>
            </w:r>
          </w:p>
        </w:tc>
        <w:tc>
          <w:tcPr>
            <w:tcW w:w="115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71530d0e-...</w:t>
            </w:r>
          </w:p>
        </w:tc>
        <w:tc>
          <w:tcPr>
            <w:tcW w:w="144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2026-08-08</w:t>
            </w:r>
          </w:p>
        </w:tc>
        <w:tc>
          <w:tcPr>
            <w:tcW w:w="115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ABSENT</w:t>
            </w:r>
          </w:p>
        </w:tc>
        <w:tc>
          <w:tcPr>
            <w:tcW w:w="144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YOLO_SCAN</w:t>
            </w:r>
          </w:p>
        </w:tc>
        <w:tc>
          <w:tcPr>
            <w:tcW w:w="115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sc-001-...</w:t>
            </w:r>
          </w:p>
        </w:tc>
      </w:tr>
    </w:tbl>
    <w:p/>
    <w:p>
      <w:pPr>
        <w:spacing w:after="120" w:before="120"/>
        <w:jc w:val="left"/>
      </w:pPr>
      <w:r>
        <w:rPr>
          <w:rFonts w:ascii="Times New Roman" w:hAnsi="Times New Roman"/>
          <w:b/>
          <w:color w:val="000000"/>
          <w:sz w:val="24"/>
        </w:rPr>
        <w:t>Table 6: Fee_Structures</w:t>
      </w:r>
    </w:p>
    <w:tbl>
      <w:tblPr>
        <w:tblStyle w:val="TableGrid"/>
        <w:jc w:val="center"/>
        <w:tblLook w:firstColumn="1" w:firstRow="1" w:lastColumn="0" w:lastRow="0" w:noHBand="0" w:noVBand="1" w:val="04A0"/>
        <w:tblLayout w:type="fixed"/>
        <w:tblW w:w="8668" w:type="dxa"/>
      </w:tblPr>
      <w:tblGrid>
        <w:gridCol w:w="1811"/>
        <w:gridCol w:w="1423"/>
        <w:gridCol w:w="905"/>
        <w:gridCol w:w="1552"/>
        <w:gridCol w:w="2975"/>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97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fee structure definition identifier</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Multi-tenant discriminator; fee structures are institution-scoped</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section_id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FK → class_sections.id</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Optional section-specific applicability; NULL implies school-wide structure</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fee_type</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VARCHAR(32)</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 CHECK IN ('TUITION','LIBRARY','SPORTS','LABORATORY','TRANSPORT','EXAM')</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Category of fee charge determining invoice generation and ledger classification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amount</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DECIMAL(10,2)</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 CHECK &gt; 0</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Base fee amount in Indian Rupees (INR) for one student for one academic term</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academic_term</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VARCHAR(32)</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Term label (e.g., 'Term 1 2025-26') linking structure to invoice generation batch</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due_date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DATE</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Payment deadline date after which overdue alerts are triggered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created_at</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Structure definition timestamp for financial audit trail</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1238"/>
        <w:gridCol w:w="1926"/>
        <w:gridCol w:w="1238"/>
        <w:gridCol w:w="1238"/>
        <w:gridCol w:w="1651"/>
        <w:gridCol w:w="1376"/>
      </w:tblGrid>
      <w:tr>
        <w:tc>
          <w:tcPr>
            <w:tcW w:w="123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1926"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tenant_id</w:t>
            </w:r>
          </w:p>
        </w:tc>
        <w:tc>
          <w:tcPr>
            <w:tcW w:w="123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fee_type</w:t>
            </w:r>
          </w:p>
        </w:tc>
        <w:tc>
          <w:tcPr>
            <w:tcW w:w="123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amount</w:t>
            </w:r>
          </w:p>
        </w:tc>
        <w:tc>
          <w:tcPr>
            <w:tcW w:w="165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academic_term</w:t>
            </w:r>
          </w:p>
        </w:tc>
        <w:tc>
          <w:tcPr>
            <w:tcW w:w="1376"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due_date</w:t>
            </w:r>
          </w:p>
        </w:tc>
      </w:tr>
      <w:tr>
        <w:tc>
          <w:tcPr>
            <w:tcW w:w="123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fs-001-...</w:t>
            </w:r>
          </w:p>
        </w:tc>
        <w:tc>
          <w:tcPr>
            <w:tcW w:w="192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greenwood-high-001</w:t>
            </w:r>
          </w:p>
        </w:tc>
        <w:tc>
          <w:tcPr>
            <w:tcW w:w="123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TUITION</w:t>
            </w:r>
          </w:p>
        </w:tc>
        <w:tc>
          <w:tcPr>
            <w:tcW w:w="123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2200.00</w:t>
            </w:r>
          </w:p>
        </w:tc>
        <w:tc>
          <w:tcPr>
            <w:tcW w:w="165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Term 1 2025-26</w:t>
            </w:r>
          </w:p>
        </w:tc>
        <w:tc>
          <w:tcPr>
            <w:tcW w:w="137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2025-07-31</w:t>
            </w:r>
          </w:p>
        </w:tc>
      </w:tr>
      <w:tr>
        <w:tc>
          <w:tcPr>
            <w:tcW w:w="123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fs-002-...</w:t>
            </w:r>
          </w:p>
        </w:tc>
        <w:tc>
          <w:tcPr>
            <w:tcW w:w="192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greenwood-high-001</w:t>
            </w:r>
          </w:p>
        </w:tc>
        <w:tc>
          <w:tcPr>
            <w:tcW w:w="123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LIBRARY</w:t>
            </w:r>
          </w:p>
        </w:tc>
        <w:tc>
          <w:tcPr>
            <w:tcW w:w="123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300.00</w:t>
            </w:r>
          </w:p>
        </w:tc>
        <w:tc>
          <w:tcPr>
            <w:tcW w:w="165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Term 1 2025-26</w:t>
            </w:r>
          </w:p>
        </w:tc>
        <w:tc>
          <w:tcPr>
            <w:tcW w:w="137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2025-07-31</w:t>
            </w:r>
          </w:p>
        </w:tc>
      </w:tr>
    </w:tbl>
    <w:p/>
    <w:p>
      <w:pPr>
        <w:spacing w:after="120" w:before="120"/>
        <w:jc w:val="left"/>
      </w:pPr>
      <w:r>
        <w:rPr>
          <w:rFonts w:ascii="Times New Roman" w:hAnsi="Times New Roman"/>
          <w:b/>
          <w:color w:val="000000"/>
          <w:sz w:val="24"/>
        </w:rPr>
        <w:t>Table 7: Fee_Invoices</w:t>
      </w:r>
    </w:p>
    <w:tbl>
      <w:tblPr>
        <w:tblStyle w:val="TableGrid"/>
        <w:jc w:val="center"/>
        <w:tblLook w:firstColumn="1" w:firstRow="1" w:lastColumn="0" w:lastRow="0" w:noHBand="0" w:noVBand="1" w:val="04A0"/>
        <w:tblLayout w:type="fixed"/>
        <w:tblW w:w="8668" w:type="dxa"/>
      </w:tblPr>
      <w:tblGrid>
        <w:gridCol w:w="1811"/>
        <w:gridCol w:w="1423"/>
        <w:gridCol w:w="905"/>
        <w:gridCol w:w="1552"/>
        <w:gridCol w:w="2975"/>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97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fee invoice record identifier</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Multi-tenant discriminator; invoices are institution-scoped</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student_id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FK → students.id, IDX</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Student for whom this invoice is generated; used in parent-facing fee status queries</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fee_structure_id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FK → fee_structures.id</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Reference to the fee structure definition from which this invoice was generated</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amount_due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DECIMAL(10,2)</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Total invoice amount in INR as derived from fee_structures.amount</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amount_paid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DECIMAL(10,2)</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0.00, CHECK &gt;= 0</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Amount paid against this invoice to date; enables partial payment tracking</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payment_status</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VARCHAR(16)</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DEFAULT 'PENDING', CHECK IN ('PENDING','PARTIAL','PAID','OVERDUE','WAIVED')</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Current payment state; OVERDUE is computed by scheduled job comparing due_date to current date</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razorpay_order_id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UNIQUE</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Razorpay payment order identifier; NULL until parent initiates online payment</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paid_at</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Timestamp of full payment confirmation from Razorpay webhook; NULL until paid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created_at</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Invoice generation timestamp</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1238"/>
        <w:gridCol w:w="1238"/>
        <w:gridCol w:w="1548"/>
        <w:gridCol w:w="1548"/>
        <w:gridCol w:w="1548"/>
        <w:gridCol w:w="1548"/>
      </w:tblGrid>
      <w:tr>
        <w:tc>
          <w:tcPr>
            <w:tcW w:w="123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123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student_id</w:t>
            </w:r>
          </w:p>
        </w:tc>
        <w:tc>
          <w:tcPr>
            <w:tcW w:w="154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fee_structure_id</w:t>
            </w:r>
          </w:p>
        </w:tc>
        <w:tc>
          <w:tcPr>
            <w:tcW w:w="154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amount_due</w:t>
            </w:r>
          </w:p>
        </w:tc>
        <w:tc>
          <w:tcPr>
            <w:tcW w:w="154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amount_paid</w:t>
            </w:r>
          </w:p>
        </w:tc>
        <w:tc>
          <w:tcPr>
            <w:tcW w:w="1548"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payment_status</w:t>
            </w:r>
          </w:p>
        </w:tc>
      </w:tr>
      <w:tr>
        <w:tc>
          <w:tcPr>
            <w:tcW w:w="123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inv-001-...</w:t>
            </w:r>
          </w:p>
        </w:tc>
        <w:tc>
          <w:tcPr>
            <w:tcW w:w="123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stu-001-...</w:t>
            </w:r>
          </w:p>
        </w:tc>
        <w:tc>
          <w:tcPr>
            <w:tcW w:w="154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fs-001-...</w:t>
            </w:r>
          </w:p>
        </w:tc>
        <w:tc>
          <w:tcPr>
            <w:tcW w:w="154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2200.00</w:t>
            </w:r>
          </w:p>
        </w:tc>
        <w:tc>
          <w:tcPr>
            <w:tcW w:w="154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2200.00</w:t>
            </w:r>
          </w:p>
        </w:tc>
        <w:tc>
          <w:tcPr>
            <w:tcW w:w="1548"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PAID</w:t>
            </w:r>
          </w:p>
        </w:tc>
      </w:tr>
      <w:tr>
        <w:tc>
          <w:tcPr>
            <w:tcW w:w="123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inv-002-...</w:t>
            </w:r>
          </w:p>
        </w:tc>
        <w:tc>
          <w:tcPr>
            <w:tcW w:w="123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stu-002-...</w:t>
            </w:r>
          </w:p>
        </w:tc>
        <w:tc>
          <w:tcPr>
            <w:tcW w:w="154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fs-001-...</w:t>
            </w:r>
          </w:p>
        </w:tc>
        <w:tc>
          <w:tcPr>
            <w:tcW w:w="154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2200.00</w:t>
            </w:r>
          </w:p>
        </w:tc>
        <w:tc>
          <w:tcPr>
            <w:tcW w:w="154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1000.00</w:t>
            </w:r>
          </w:p>
        </w:tc>
        <w:tc>
          <w:tcPr>
            <w:tcW w:w="1548"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PARTIAL</w:t>
            </w:r>
          </w:p>
        </w:tc>
      </w:tr>
    </w:tbl>
    <w:p/>
    <w:p>
      <w:pPr>
        <w:spacing w:after="120" w:before="120"/>
        <w:jc w:val="left"/>
      </w:pPr>
      <w:r>
        <w:rPr>
          <w:rFonts w:ascii="Times New Roman" w:hAnsi="Times New Roman"/>
          <w:b/>
          <w:color w:val="000000"/>
          <w:sz w:val="24"/>
        </w:rPr>
        <w:t>Table 8: Timetable_Entries</w:t>
      </w:r>
    </w:p>
    <w:tbl>
      <w:tblPr>
        <w:tblStyle w:val="TableGrid"/>
        <w:jc w:val="center"/>
        <w:tblLook w:firstColumn="1" w:firstRow="1" w:lastColumn="0" w:lastRow="0" w:noHBand="0" w:noVBand="1" w:val="04A0"/>
        <w:tblLayout w:type="fixed"/>
        <w:tblW w:w="8668" w:type="dxa"/>
      </w:tblPr>
      <w:tblGrid>
        <w:gridCol w:w="1811"/>
        <w:gridCol w:w="1423"/>
        <w:gridCol w:w="905"/>
        <w:gridCol w:w="1552"/>
        <w:gridCol w:w="2975"/>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97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timetable period record identifier</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Multi-tenant discriminator; timetable entries are institution-scoped</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section_id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FK → class_sections.id, IDX</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Class section for which this period entry is scheduled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teacher_id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FK → users.id, 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Reference to the teacher assigned to deliver this subject period</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subject</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Subject name for this period (e.g., 'Mathematics', 'Computer Science', 'Hindi')</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day_of_week</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SMALLINT</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 CHECK BETWEEN 0 AND 6</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Day index (0=Monday through 5=Saturday); Sunday excluded for school schedule context</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period_number</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SMALLINT</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 CHECK BETWEEN 1 AND 8</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Period sequence number within the school day (1=first period, 8=last/eighth period)</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start_time</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Period start time in HH:MM format (24-hour)</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end_time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TIME</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 CHECK &gt; start_time</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Period end time; validated to be after start_time to prevent scheduling errors</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created_at</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Entry creation timestamp</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1011"/>
        <w:gridCol w:w="1155"/>
        <w:gridCol w:w="866"/>
        <w:gridCol w:w="1444"/>
        <w:gridCol w:w="1155"/>
        <w:gridCol w:w="1011"/>
        <w:gridCol w:w="1011"/>
        <w:gridCol w:w="1011"/>
      </w:tblGrid>
      <w:tr>
        <w:tc>
          <w:tcPr>
            <w:tcW w:w="10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115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section_id</w:t>
            </w:r>
          </w:p>
        </w:tc>
        <w:tc>
          <w:tcPr>
            <w:tcW w:w="866"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teacher_id</w:t>
            </w:r>
          </w:p>
        </w:tc>
        <w:tc>
          <w:tcPr>
            <w:tcW w:w="144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subject</w:t>
            </w:r>
          </w:p>
        </w:tc>
        <w:tc>
          <w:tcPr>
            <w:tcW w:w="115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day_of_week</w:t>
            </w:r>
          </w:p>
        </w:tc>
        <w:tc>
          <w:tcPr>
            <w:tcW w:w="10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period_number</w:t>
            </w:r>
          </w:p>
        </w:tc>
        <w:tc>
          <w:tcPr>
            <w:tcW w:w="10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start_time</w:t>
            </w:r>
          </w:p>
        </w:tc>
        <w:tc>
          <w:tcPr>
            <w:tcW w:w="10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end_time</w:t>
            </w:r>
          </w:p>
        </w:tc>
      </w:tr>
      <w:tr>
        <w:tc>
          <w:tcPr>
            <w:tcW w:w="10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tt-001-...</w:t>
            </w:r>
          </w:p>
        </w:tc>
        <w:tc>
          <w:tcPr>
            <w:tcW w:w="115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71530d0e-...</w:t>
            </w:r>
          </w:p>
        </w:tc>
        <w:tc>
          <w:tcPr>
            <w:tcW w:w="866"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raj-...</w:t>
            </w:r>
          </w:p>
        </w:tc>
        <w:tc>
          <w:tcPr>
            <w:tcW w:w="144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Mathematics</w:t>
            </w:r>
          </w:p>
        </w:tc>
        <w:tc>
          <w:tcPr>
            <w:tcW w:w="115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0 (Mon)</w:t>
            </w:r>
          </w:p>
        </w:tc>
        <w:tc>
          <w:tcPr>
            <w:tcW w:w="10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1</w:t>
            </w:r>
          </w:p>
        </w:tc>
        <w:tc>
          <w:tcPr>
            <w:tcW w:w="10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08:00</w:t>
            </w:r>
          </w:p>
        </w:tc>
        <w:tc>
          <w:tcPr>
            <w:tcW w:w="10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08:45</w:t>
            </w:r>
          </w:p>
        </w:tc>
      </w:tr>
      <w:tr>
        <w:tc>
          <w:tcPr>
            <w:tcW w:w="10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tt-002-...</w:t>
            </w:r>
          </w:p>
        </w:tc>
        <w:tc>
          <w:tcPr>
            <w:tcW w:w="115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71530d0e-...</w:t>
            </w:r>
          </w:p>
        </w:tc>
        <w:tc>
          <w:tcPr>
            <w:tcW w:w="866"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pri-...</w:t>
            </w:r>
          </w:p>
        </w:tc>
        <w:tc>
          <w:tcPr>
            <w:tcW w:w="144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Science</w:t>
            </w:r>
          </w:p>
        </w:tc>
        <w:tc>
          <w:tcPr>
            <w:tcW w:w="115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0 (Mon)</w:t>
            </w:r>
          </w:p>
        </w:tc>
        <w:tc>
          <w:tcPr>
            <w:tcW w:w="10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2</w:t>
            </w:r>
          </w:p>
        </w:tc>
        <w:tc>
          <w:tcPr>
            <w:tcW w:w="10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08:45</w:t>
            </w:r>
          </w:p>
        </w:tc>
        <w:tc>
          <w:tcPr>
            <w:tcW w:w="10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09:30</w:t>
            </w:r>
          </w:p>
        </w:tc>
      </w:tr>
    </w:tbl>
    <w:p/>
    <w:p>
      <w:pPr>
        <w:spacing w:after="120" w:before="120"/>
        <w:jc w:val="left"/>
      </w:pPr>
      <w:r>
        <w:rPr>
          <w:rFonts w:ascii="Times New Roman" w:hAnsi="Times New Roman"/>
          <w:b/>
          <w:color w:val="000000"/>
          <w:sz w:val="24"/>
        </w:rPr>
        <w:t>Table 9: In_App_Notifications</w:t>
      </w:r>
    </w:p>
    <w:tbl>
      <w:tblPr>
        <w:tblStyle w:val="TableGrid"/>
        <w:jc w:val="center"/>
        <w:tblLook w:firstColumn="1" w:firstRow="1" w:lastColumn="0" w:lastRow="0" w:noHBand="0" w:noVBand="1" w:val="04A0"/>
        <w:tblLayout w:type="fixed"/>
        <w:tblW w:w="8668" w:type="dxa"/>
      </w:tblPr>
      <w:tblGrid>
        <w:gridCol w:w="1811"/>
        <w:gridCol w:w="1423"/>
        <w:gridCol w:w="905"/>
        <w:gridCol w:w="1552"/>
        <w:gridCol w:w="2975"/>
      </w:tblGrid>
      <w:tr>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Field Name</w:t>
            </w:r>
          </w:p>
        </w:tc>
        <w:tc>
          <w:tcPr>
            <w:tcW w:w="1423"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Data Type</w:t>
            </w:r>
          </w:p>
        </w:tc>
        <w:tc>
          <w:tcPr>
            <w:tcW w:w="90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Nullable</w:t>
            </w:r>
          </w:p>
        </w:tc>
        <w:tc>
          <w:tcPr>
            <w:tcW w:w="1552"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Key/Constraint</w:t>
            </w:r>
          </w:p>
        </w:tc>
        <w:tc>
          <w:tcPr>
            <w:tcW w:w="297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Description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UUID</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PK</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Unique notification record identifier</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tenant_id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VARCHAR(64)</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Multi-tenant discriminator; notifications are institution-scoped</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recipient_user_id</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VARCHAR(128)</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Yes</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IDX</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Target user email or ID for personal notifications; NULL for role or broadcast notifications</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target_role</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VARCHAR(32)</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 IDX, CHECK IN ('ADMIN','TEACHER','PARENT','STUDENT','PRINCIPAL','ALL')</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Role scope for this notification; 'ALL' delivers to every authenticated user in tenant</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title</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VARCHAR(128)</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Short notification title displayed as headline in inbox and push notification banner</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message</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TEXT</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 NULL</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Full notification body text with detailed action information for the recipient</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category</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VARCHAR(16)</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DEFAULT 'INFO', CHECK IN ('URGENT','ALERT','INFO')</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Severity classification controlling badge color (red/amber/blue) in UI rendering</w:t>
            </w:r>
          </w:p>
        </w:tc>
      </w:tr>
      <w:tr>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is_read</w:t>
            </w:r>
          </w:p>
        </w:tc>
        <w:tc>
          <w:tcPr>
            <w:tcW w:w="1423"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BOOLEAN</w:t>
            </w:r>
          </w:p>
        </w:tc>
        <w:tc>
          <w:tcPr>
            <w:tcW w:w="90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DEFAULT FALSE</w:t>
            </w:r>
          </w:p>
        </w:tc>
        <w:tc>
          <w:tcPr>
            <w:tcW w:w="297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Read state flag; toggled to TRUE when user opens notification or uses mark-all-read action</w:t>
            </w:r>
          </w:p>
        </w:tc>
      </w:tr>
      <w:tr>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created_at</w:t>
            </w:r>
          </w:p>
        </w:tc>
        <w:tc>
          <w:tcPr>
            <w:tcW w:w="1423"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TIMESTAMPTZ</w:t>
            </w:r>
          </w:p>
        </w:tc>
        <w:tc>
          <w:tcPr>
            <w:tcW w:w="90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w:t>
            </w:r>
          </w:p>
        </w:tc>
        <w:tc>
          <w:tcPr>
            <w:tcW w:w="1552"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DEFAULT NOW()</w:t>
            </w:r>
          </w:p>
        </w:tc>
        <w:tc>
          <w:tcPr>
            <w:tcW w:w="297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Notification creation timestamp; used for chronological inbox ordering</w:t>
            </w:r>
          </w:p>
        </w:tc>
      </w:tr>
    </w:tbl>
    <w:p/>
    <w:p>
      <w:pPr>
        <w:spacing w:after="80" w:before="80"/>
        <w:jc w:val="left"/>
      </w:pPr>
      <w:r>
        <w:rPr>
          <w:rFonts w:ascii="Times New Roman" w:hAnsi="Times New Roman"/>
          <w:b/>
          <w:color w:val="000000"/>
          <w:sz w:val="24"/>
        </w:rPr>
        <w:t>Sample Data Records:</w:t>
      </w:r>
    </w:p>
    <w:tbl>
      <w:tblPr>
        <w:tblStyle w:val="TableGrid"/>
        <w:jc w:val="center"/>
        <w:tblLook w:firstColumn="1" w:firstRow="1" w:lastColumn="0" w:lastRow="0" w:noHBand="0" w:noVBand="1" w:val="04A0"/>
        <w:tblLayout w:type="fixed"/>
        <w:tblW w:w="8668" w:type="dxa"/>
      </w:tblPr>
      <w:tblGrid>
        <w:gridCol w:w="1164"/>
        <w:gridCol w:w="1811"/>
        <w:gridCol w:w="1035"/>
        <w:gridCol w:w="2587"/>
        <w:gridCol w:w="1035"/>
        <w:gridCol w:w="1035"/>
      </w:tblGrid>
      <w:tr>
        <w:tc>
          <w:tcPr>
            <w:tcW w:w="1164"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id</w:t>
            </w:r>
          </w:p>
        </w:tc>
        <w:tc>
          <w:tcPr>
            <w:tcW w:w="1811"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recipient_user_id</w:t>
            </w:r>
          </w:p>
        </w:tc>
        <w:tc>
          <w:tcPr>
            <w:tcW w:w="103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target_role</w:t>
            </w:r>
          </w:p>
        </w:tc>
        <w:tc>
          <w:tcPr>
            <w:tcW w:w="2587"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title</w:t>
            </w:r>
          </w:p>
        </w:tc>
        <w:tc>
          <w:tcPr>
            <w:tcW w:w="103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category</w:t>
            </w:r>
          </w:p>
        </w:tc>
        <w:tc>
          <w:tcPr>
            <w:tcW w:w="1035" w:type="dxa"/>
            <w:shd w:val="clear" w:color="auto" w:fill="1B365D"/>
            <w:tcMar>
              <w:top w:w="60" w:type="dxa"/>
              <w:bottom w:w="60" w:type="dxa"/>
              <w:left w:w="100" w:type="dxa"/>
              <w:right w:w="100" w:type="dxa"/>
            </w:tcMar>
            <w:vAlign w:val="center"/>
          </w:tcPr>
          <w:p>
            <w:pPr>
              <w:spacing w:after="0" w:before="0"/>
              <w:jc w:val="center"/>
            </w:pPr>
            <w:r>
              <w:rPr>
                <w:rFonts w:ascii="Times New Roman" w:hAnsi="Times New Roman"/>
                <w:b/>
                <w:color w:val="FFFFFF"/>
                <w:sz w:val="18"/>
              </w:rPr>
              <w:t>is_read</w:t>
            </w:r>
          </w:p>
        </w:tc>
      </w:tr>
      <w:tr>
        <w:tc>
          <w:tcPr>
            <w:tcW w:w="1164"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notif-001-...</w:t>
            </w:r>
          </w:p>
        </w:tc>
        <w:tc>
          <w:tcPr>
            <w:tcW w:w="1811"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NULL</w:t>
            </w:r>
          </w:p>
        </w:tc>
        <w:tc>
          <w:tcPr>
            <w:tcW w:w="103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PARENT</w:t>
            </w:r>
          </w:p>
        </w:tc>
        <w:tc>
          <w:tcPr>
            <w:tcW w:w="2587"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ABSENCE ALERT: Child absent on 2026-08-08</w:t>
            </w:r>
          </w:p>
        </w:tc>
        <w:tc>
          <w:tcPr>
            <w:tcW w:w="103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URGENT</w:t>
            </w:r>
          </w:p>
        </w:tc>
        <w:tc>
          <w:tcPr>
            <w:tcW w:w="1035" w:type="dxa"/>
            <w:shd w:val="clear" w:color="auto" w:fill="FFFFFF"/>
            <w:tcMar>
              <w:top w:w="40" w:type="dxa"/>
              <w:bottom w:w="40" w:type="dxa"/>
              <w:left w:w="100" w:type="dxa"/>
              <w:right w:w="100" w:type="dxa"/>
            </w:tcMar>
            <w:vAlign w:val="top"/>
          </w:tcPr>
          <w:p>
            <w:pPr>
              <w:spacing w:after="0" w:before="0"/>
              <w:jc w:val="left"/>
            </w:pPr>
            <w:r>
              <w:rPr>
                <w:rFonts w:ascii="Times New Roman" w:hAnsi="Times New Roman"/>
                <w:color w:val="000000"/>
                <w:sz w:val="18"/>
              </w:rPr>
              <w:t>False</w:t>
            </w:r>
          </w:p>
        </w:tc>
      </w:tr>
      <w:tr>
        <w:tc>
          <w:tcPr>
            <w:tcW w:w="1164"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notif-002-...</w:t>
            </w:r>
          </w:p>
        </w:tc>
        <w:tc>
          <w:tcPr>
            <w:tcW w:w="1811"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teacher01@demo.school</w:t>
            </w:r>
          </w:p>
        </w:tc>
        <w:tc>
          <w:tcPr>
            <w:tcW w:w="103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TEACHER</w:t>
            </w:r>
          </w:p>
        </w:tc>
        <w:tc>
          <w:tcPr>
            <w:tcW w:w="2587"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Schedule Change: Period 3 Room Update</w:t>
            </w:r>
          </w:p>
        </w:tc>
        <w:tc>
          <w:tcPr>
            <w:tcW w:w="103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INFO</w:t>
            </w:r>
          </w:p>
        </w:tc>
        <w:tc>
          <w:tcPr>
            <w:tcW w:w="1035" w:type="dxa"/>
            <w:shd w:val="clear" w:color="auto" w:fill="F5F5F5"/>
            <w:tcMar>
              <w:top w:w="40" w:type="dxa"/>
              <w:bottom w:w="40" w:type="dxa"/>
              <w:left w:w="100" w:type="dxa"/>
              <w:right w:w="100" w:type="dxa"/>
            </w:tcMar>
            <w:vAlign w:val="top"/>
          </w:tcPr>
          <w:p>
            <w:pPr>
              <w:spacing w:after="0" w:before="0"/>
              <w:jc w:val="left"/>
            </w:pPr>
            <w:r>
              <w:rPr>
                <w:rFonts w:ascii="Times New Roman" w:hAnsi="Times New Roman"/>
                <w:color w:val="000000"/>
                <w:sz w:val="18"/>
              </w:rPr>
              <w:t>False</w:t>
            </w:r>
          </w:p>
        </w:tc>
      </w:tr>
    </w:tbl>
    <w:p/>
    <w:p>
      <w:r>
        <w:br w:type="page"/>
      </w:r>
    </w:p>
    <w:p>
      <w:pPr>
        <w:spacing w:after="240" w:before="120"/>
        <w:jc w:val="left"/>
      </w:pPr>
      <w:r>
        <w:rPr>
          <w:rFonts w:ascii="Times New Roman" w:hAnsi="Times New Roman"/>
          <w:b/>
          <w:color w:val="000000"/>
          <w:sz w:val="28"/>
        </w:rPr>
        <w:t>CHAPTER 10: RESULTS &amp; PERFORMANCE BENCHMARKS</w:t>
      </w:r>
    </w:p>
    <w:p>
      <w:pPr>
        <w:spacing w:after="120" w:before="120"/>
        <w:jc w:val="left"/>
      </w:pPr>
      <w:r>
        <w:rPr>
          <w:rFonts w:ascii="Times New Roman" w:hAnsi="Times New Roman"/>
          <w:b/>
          <w:color w:val="000000"/>
          <w:sz w:val="24"/>
        </w:rPr>
        <w:t>10.1  Yolov8 Column Detection Model Training Results</w:t>
      </w:r>
    </w:p>
    <w:p>
      <w:pPr>
        <w:spacing w:after="120" w:lineRule="auto" w:line="360"/>
        <w:jc w:val="both"/>
      </w:pPr>
      <w:r>
        <w:rPr>
          <w:rFonts w:ascii="Times New Roman" w:hAnsi="Times New Roman"/>
          <w:b w:val="0"/>
          <w:i w:val="0"/>
          <w:color w:val="000000"/>
          <w:sz w:val="24"/>
        </w:rPr>
        <w:t>The HAAZIR YOLOv8 column detection model was fine-tuned on a synthetic annotated attendance register dataset across 50 training epochs. Figure 10.1 illustrates the convergence of box loss, class loss, and the mean Average Precision (mAP@0.5) over the training duration. The model achieves a peak mAP@0.5 of 98.6%, demonstrating robust column localization performance even under variable synthetic lighting and rotation conditions.</w:t>
      </w:r>
    </w:p>
    <w:p>
      <w:pPr>
        <w:spacing w:before="160" w:after="80"/>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yolo_training_metrics.png"/>
                    <pic:cNvPicPr/>
                  </pic:nvPicPr>
                  <pic:blipFill>
                    <a:blip r:embed="rId16"/>
                    <a:stretch>
                      <a:fillRect/>
                    </a:stretch>
                  </pic:blipFill>
                  <pic:spPr>
                    <a:xfrm>
                      <a:off x="0" y="0"/>
                      <a:ext cx="5303520" cy="2651760"/>
                    </a:xfrm>
                    <a:prstGeom prst="rect"/>
                  </pic:spPr>
                </pic:pic>
              </a:graphicData>
            </a:graphic>
          </wp:inline>
        </w:drawing>
      </w:r>
    </w:p>
    <w:p>
      <w:pPr>
        <w:spacing w:after="240"/>
        <w:jc w:val="center"/>
      </w:pPr>
      <w:r>
        <w:rPr>
          <w:rFonts w:ascii="Times New Roman" w:hAnsi="Times New Roman"/>
          <w:b/>
          <w:i/>
          <w:color w:val="1B365D"/>
          <w:sz w:val="20"/>
        </w:rPr>
        <w:t>Figure 10.1: HAAZIR YOLOv8 Column Detection Model — Training Loss &amp; Accuracy Metrics (mAP@0.5)</w:t>
      </w:r>
    </w:p>
    <w:p>
      <w:pPr>
        <w:spacing w:after="120" w:before="120"/>
        <w:jc w:val="left"/>
      </w:pPr>
      <w:r>
        <w:rPr>
          <w:rFonts w:ascii="Times New Roman" w:hAnsi="Times New Roman"/>
          <w:b/>
          <w:color w:val="000000"/>
          <w:sz w:val="24"/>
        </w:rPr>
        <w:t>10.2  End-To-End Processing Latency Benchmark</w:t>
      </w:r>
    </w:p>
    <w:p>
      <w:pPr>
        <w:spacing w:after="120" w:lineRule="auto" w:line="360"/>
        <w:jc w:val="both"/>
      </w:pPr>
      <w:r>
        <w:rPr>
          <w:rFonts w:ascii="Times New Roman" w:hAnsi="Times New Roman"/>
          <w:b w:val="0"/>
          <w:i w:val="0"/>
          <w:color w:val="000000"/>
          <w:sz w:val="24"/>
        </w:rPr>
        <w:t>The end-to-end performance of the HAAZIR vision and ingestion pipeline was benchmarked across five sequential operational stages. As shown in Figure 10.2, the total processing latency from smartphone multipart upload to database commitment and audit logging averages ~334 milliseconds (well under the 500 ms SLA requirement). This sub-second performance guarantees a seamless, real-time user experience for classroom teachers during morning roll call.</w:t>
      </w:r>
    </w:p>
    <w:p>
      <w:pPr>
        <w:spacing w:before="160" w:after="80"/>
        <w:jc w:val="center"/>
      </w:pPr>
      <w:r>
        <w:drawing>
          <wp:inline xmlns:a="http://schemas.openxmlformats.org/drawingml/2006/main" xmlns:pic="http://schemas.openxmlformats.org/drawingml/2006/picture">
            <wp:extent cx="5303520" cy="2519172"/>
            <wp:docPr id="9" name="Picture 9"/>
            <wp:cNvGraphicFramePr>
              <a:graphicFrameLocks noChangeAspect="1"/>
            </wp:cNvGraphicFramePr>
            <a:graphic>
              <a:graphicData uri="http://schemas.openxmlformats.org/drawingml/2006/picture">
                <pic:pic>
                  <pic:nvPicPr>
                    <pic:cNvPr id="0" name="latency_benchmark.png"/>
                    <pic:cNvPicPr/>
                  </pic:nvPicPr>
                  <pic:blipFill>
                    <a:blip r:embed="rId17"/>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b/>
          <w:i/>
          <w:color w:val="1B365D"/>
          <w:sz w:val="20"/>
        </w:rPr>
        <w:t>Figure 10.2: End-to-End Processing Latency Breakdown Across Pipeline Stages (Total ~334ms)</w:t>
      </w:r>
    </w:p>
    <w:p>
      <w:r>
        <w:br w:type="page"/>
      </w:r>
    </w:p>
    <w:p>
      <w:pPr>
        <w:spacing w:after="240" w:before="120"/>
        <w:jc w:val="left"/>
      </w:pPr>
      <w:r>
        <w:rPr>
          <w:rFonts w:ascii="Times New Roman" w:hAnsi="Times New Roman"/>
          <w:b/>
          <w:color w:val="000000"/>
          <w:sz w:val="28"/>
        </w:rPr>
        <w:t>CHAPTER 11: FUTURE SCOPE</w:t>
      </w:r>
    </w:p>
    <w:p>
      <w:pPr>
        <w:spacing w:after="120" w:lineRule="auto" w:line="360"/>
        <w:jc w:val="both"/>
      </w:pPr>
      <w:r>
        <w:rPr>
          <w:rFonts w:ascii="Times New Roman" w:hAnsi="Times New Roman"/>
          <w:b w:val="0"/>
          <w:i w:val="0"/>
          <w:color w:val="000000"/>
          <w:sz w:val="24"/>
        </w:rPr>
        <w:t>The HAAZIR platform, as currently implemented, addresses the core operational needs of attendance management, fee collection, and academic analytics for the Indian school context. However, several significant enhancement directions have been identified for future development phases, each of which extends the platform's capabilities into adjacent high-value domains.</w:t>
      </w:r>
    </w:p>
    <w:p>
      <w:pPr>
        <w:spacing w:after="120" w:lineRule="auto" w:line="360"/>
        <w:jc w:val="both"/>
      </w:pPr>
      <w:r>
        <w:rPr>
          <w:rFonts w:ascii="Times New Roman" w:hAnsi="Times New Roman"/>
          <w:b w:val="0"/>
          <w:i w:val="0"/>
          <w:color w:val="000000"/>
          <w:sz w:val="24"/>
        </w:rPr>
        <w:t>1. Automated IVR Voice Calling Integration: The most impactful near-term extension would be the integration of an Interactive Voice Response (IVR) telephony service for automated parent notification via voice calls. Services such as Exotel (an Indian cloud telephony platform) and Twilio provide programmable voice call APIs that can be triggered programmatically when a student is marked absent in the attendance batch. The system would place an automated call to the guardian's registered phone number — in Hindi and English — announcing the student's name and absence date. This voice alert channel has penetration advantages over push notification or SMS in rural and semi-urban contexts where smartphone literacy may be lower among parent demographics. The Exotel API supports Text-to-Speech synthesis in Hindi, Tamil, Telugu, and other regional languages, enabling linguistically localized alerts.</w:t>
      </w:r>
    </w:p>
    <w:p>
      <w:pPr>
        <w:spacing w:after="120" w:lineRule="auto" w:line="360"/>
        <w:jc w:val="both"/>
      </w:pPr>
      <w:r>
        <w:rPr>
          <w:rFonts w:ascii="Times New Roman" w:hAnsi="Times New Roman"/>
          <w:b w:val="0"/>
          <w:i w:val="0"/>
          <w:color w:val="000000"/>
          <w:sz w:val="24"/>
        </w:rPr>
        <w:t>2. Edge Neural Acceleration via ONNX and Quantization: The current YOLO inference pipeline routes photograph processing through a cloud API endpoint, introducing network latency and a dependency on internet connectivity during scan ingestion. A future enhancement would export the trained YOLOv8 model to ONNX (Open Neural Network Exchange) format and apply 8-bit integer quantization (INT8) to reduce model size from approximately 6 MB (YOLOv8n FP32) to under 2 MB (INT8 quantized), enabling direct on-device inference on smartphone NPUs (Neural Processing Units). Android's NNAPI (Neural Networks API) and Apple's Core ML framework both support ONNX runtime execution on mobile NPUs. This would enable sub-300ms scan-to-result latency entirely offline, eliminating the cloud inference dependency and making the vision pipeline functional in zero-connectivity environments. The NCNN (Tencent Neural Network) inference framework, specifically optimized for ARM-based mobile processors, is a candidate runtime for this implementation.</w:t>
      </w:r>
    </w:p>
    <w:p>
      <w:pPr>
        <w:spacing w:after="120" w:lineRule="auto" w:line="360"/>
        <w:jc w:val="both"/>
      </w:pPr>
      <w:r>
        <w:rPr>
          <w:rFonts w:ascii="Times New Roman" w:hAnsi="Times New Roman"/>
          <w:b w:val="0"/>
          <w:i w:val="0"/>
          <w:color w:val="000000"/>
          <w:sz w:val="24"/>
        </w:rPr>
        <w:t>3. Biometric Hardware Integration via RS-485 and TCP-IP Turnstile Protocols: For institutions that elect to invest in biometric hardware — fingerprint scanners, RFID card readers, or facial recognition turnstiles — HAAZIR's IAttendanceIngestionSource strategy pattern architecture allows seamless addition of a BiometricDeviceIngestionSource implementation. Modern school biometric turnstiles communicate via RS-485 serial protocol (for wired setups) or TCP-IP socket protocol (for networked setups). A Python serial listener daemon or TCP socket server can receive device events in real time, translate them to the standard attendance batch format, and submit them to the attendance ingestion service — giving institutions the flexibility to operate in hybrid mode (YOLO scanning for some sections, biometric for others) without any system-level modification.</w:t>
      </w:r>
    </w:p>
    <w:p>
      <w:pPr>
        <w:spacing w:after="120" w:lineRule="auto" w:line="360"/>
        <w:jc w:val="both"/>
      </w:pPr>
      <w:r>
        <w:rPr>
          <w:rFonts w:ascii="Times New Roman" w:hAnsi="Times New Roman"/>
          <w:b w:val="0"/>
          <w:i w:val="0"/>
          <w:color w:val="000000"/>
          <w:sz w:val="24"/>
        </w:rPr>
        <w:t>4. Predictive Student Dropout Machine Learning Models: HAAZIR's accumulation of longitudinal multi-dimensional student data — attendance patterns, fee payment history, academic term performance, section-level demographic cohort membership — creates a rich feature matrix for predictive machine learning applications. A student dropout risk prediction model (trained using gradient-boosted tree methods such as XGBoost or LightGBM) could assign each student a daily dropout risk score based on multi-week attendance trends, fee delinquency patterns, and peer cohort comparison. Students crossing a configurable risk threshold would trigger an escalation notification to the class teacher and principal, enabling early intervention counselling before the student reaches the irreversible absenteeism threshold that typically precedes dropout. This application of educational data mining represents a significant value-add capability for institutions participating in state government retention programs.</w:t>
      </w:r>
    </w:p>
    <w:p>
      <w:pPr>
        <w:spacing w:after="120" w:lineRule="auto" w:line="360"/>
        <w:jc w:val="both"/>
      </w:pPr>
      <w:r>
        <w:rPr>
          <w:rFonts w:ascii="Times New Roman" w:hAnsi="Times New Roman"/>
          <w:b w:val="0"/>
          <w:i w:val="0"/>
          <w:color w:val="000000"/>
          <w:sz w:val="24"/>
        </w:rPr>
        <w:t>5. Multi-Language NL Query Support in Analytics Engine: The current Text-to-SQL analytics engine processes queries exclusively in English. A future enhancement would extend the natural language understanding layer to support Hindi and Hinglish (Hindi-English code-switched) queries, leveraging multilingual LLM capabilities (Llama-3.1 supports Hindi; Gemini Flash multilingual mode supports 40+ languages). This would democratize data access for administrative staff who are more comfortable formulating queries in Hindi, significantly expanding the analytics engine's effective user base in UP and other Hindi-belt states.</w:t>
      </w:r>
    </w:p>
    <w:p>
      <w:pPr>
        <w:spacing w:after="120" w:lineRule="auto" w:line="360"/>
        <w:jc w:val="both"/>
      </w:pPr>
      <w:r>
        <w:rPr>
          <w:rFonts w:ascii="Times New Roman" w:hAnsi="Times New Roman"/>
          <w:b w:val="0"/>
          <w:i w:val="0"/>
          <w:color w:val="000000"/>
          <w:sz w:val="24"/>
        </w:rPr>
        <w:t>6. Offline-First PWA Deployment Option: For institutions with limited dedicated IT infrastructure, a Progressive Web Application (PWA) version of the web dashboard — using Service Workers for background sync, IndexedDB for offline data caching, and Web Push for notification delivery — would enable the web portal to function on low-powered Chromebooks, school computer lab PCs, and Android browsers without requiring a native app installation. This aligns with the government's Digital India initiative promoting browser-based educational tool access.</w:t>
      </w:r>
    </w:p>
    <w:p>
      <w:r>
        <w:br w:type="page"/>
      </w:r>
    </w:p>
    <w:p>
      <w:pPr>
        <w:spacing w:after="240" w:before="120"/>
        <w:jc w:val="left"/>
      </w:pPr>
      <w:r>
        <w:rPr>
          <w:rFonts w:ascii="Times New Roman" w:hAnsi="Times New Roman"/>
          <w:b/>
          <w:color w:val="000000"/>
          <w:sz w:val="28"/>
        </w:rPr>
        <w:t>CHAPTER 12: CONCLUSION</w:t>
      </w:r>
    </w:p>
    <w:p>
      <w:pPr>
        <w:spacing w:after="120" w:lineRule="auto" w:line="360"/>
        <w:jc w:val="both"/>
      </w:pPr>
      <w:r>
        <w:rPr>
          <w:rFonts w:ascii="Times New Roman" w:hAnsi="Times New Roman"/>
          <w:b w:val="0"/>
          <w:i w:val="0"/>
          <w:color w:val="000000"/>
          <w:sz w:val="24"/>
        </w:rPr>
        <w:t>The HAAZIR project represents a technically comprehensive, architecturally rigorous, and operationally practical response to a real and significant problem in Indian educational administration. Through the development of this system, we have successfully demonstrated that the apparent dichotomy between preserving institutional behavioral norms (physical register-based attendance) and delivering the operational benefits of digital management systems (real-time data, automated alerts, analytical insights) is not irresolvable — it can be bridged through the intelligent application of computer vision technology.</w:t>
      </w:r>
    </w:p>
    <w:p>
      <w:pPr>
        <w:spacing w:after="120" w:lineRule="auto" w:line="360"/>
        <w:jc w:val="both"/>
      </w:pPr>
      <w:r>
        <w:rPr>
          <w:rFonts w:ascii="Times New Roman" w:hAnsi="Times New Roman"/>
          <w:b w:val="0"/>
          <w:i w:val="0"/>
          <w:color w:val="000000"/>
          <w:sz w:val="24"/>
        </w:rPr>
        <w:t>The flagship YOLO Vision Engine (Module 5.0) constitutes an original applied research contribution to the intersection of computer vision and educational technology, demonstrating that document digitization pipelines trained on synthetic annotated datasets can achieve production-viable accuracy metrics (targeting ≥95% mAP@0.5) at inference speeds compatible with teacher workflow requirements (under 2 seconds per 30-student register page). The Human-in-the-Loop verification interface ensures that the system's outputs are always teacher-validated before commitment to the database, maintaining the institutional trust in attendance records as authoritative documents.</w:t>
      </w:r>
    </w:p>
    <w:p>
      <w:pPr>
        <w:spacing w:after="120" w:lineRule="auto" w:line="360"/>
        <w:jc w:val="both"/>
      </w:pPr>
      <w:r>
        <w:rPr>
          <w:rFonts w:ascii="Times New Roman" w:hAnsi="Times New Roman"/>
          <w:b w:val="0"/>
          <w:i w:val="0"/>
          <w:color w:val="000000"/>
          <w:sz w:val="24"/>
        </w:rPr>
        <w:t>The Conversational Text-to-SQL Analytics Engine (Module 9.0) demonstrates a practical path to democratizing data access in institutional settings, removing the SQL literacy prerequisite from administrative decision-making and enabling principals and administrators to query complex multi-table institutional databases through plain conversational English — a capability that no existing commercial Indian EdTech ERP platform currently offers.</w:t>
      </w:r>
    </w:p>
    <w:p>
      <w:pPr>
        <w:spacing w:after="120" w:lineRule="auto" w:line="360"/>
        <w:jc w:val="both"/>
      </w:pPr>
      <w:r>
        <w:rPr>
          <w:rFonts w:ascii="Times New Roman" w:hAnsi="Times New Roman"/>
          <w:b w:val="0"/>
          <w:i w:val="0"/>
          <w:color w:val="000000"/>
          <w:sz w:val="24"/>
        </w:rPr>
        <w:t>From an architectural standpoint, HAAZIR validates the applicability of Clean Architecture and Domain-Driven Design principles in academic project-scale software development. The ten-module vertical-slice architecture, multi-tenant row-level isolation, strategy-pattern attendance ingestion, and dependency-injected service layer demonstrate professional-grade software engineering practices that are directly transferable to industry software development contexts.</w:t>
      </w:r>
    </w:p>
    <w:p>
      <w:pPr>
        <w:spacing w:after="120" w:lineRule="auto" w:line="360"/>
        <w:jc w:val="both"/>
      </w:pPr>
      <w:r>
        <w:rPr>
          <w:rFonts w:ascii="Times New Roman" w:hAnsi="Times New Roman"/>
          <w:b w:val="0"/>
          <w:i w:val="0"/>
          <w:color w:val="000000"/>
          <w:sz w:val="24"/>
        </w:rPr>
        <w:t>The system's economic model — requiring zero capital expenditure beyond standard server hosting and leveraging an exclusively open-source technology stack — makes it a genuinely deployable solution for the budget-constrained institutional reality of the majority of Indian schools and colleges. Its alignment with the National Education Policy 2020's digital transformation mandates and its support for the five key stakeholder roles in the Indian educational ecosystem (Administrator, Principal, Teacher, Parent, Student) position it as a meaningful contribution to the EdTech landscape.</w:t>
      </w:r>
    </w:p>
    <w:p>
      <w:pPr>
        <w:spacing w:after="120" w:lineRule="auto" w:line="360"/>
        <w:jc w:val="both"/>
      </w:pPr>
      <w:r>
        <w:rPr>
          <w:rFonts w:ascii="Times New Roman" w:hAnsi="Times New Roman"/>
          <w:b w:val="0"/>
          <w:i w:val="0"/>
          <w:color w:val="000000"/>
          <w:sz w:val="24"/>
        </w:rPr>
        <w:t>Through this project, we have developed and demonstrated competencies spanning Python backend development, relational database design and normalization, deep learning model training and deployment, React ecosystem frontend development, mobile application development with React Native Expo, API security design, and technical documentation — a comprehensive skill set directly relevant to software engineering practice.</w:t>
      </w:r>
    </w:p>
    <w:p>
      <w:r>
        <w:br w:type="page"/>
      </w:r>
    </w:p>
    <w:p>
      <w:pPr>
        <w:spacing w:after="240" w:before="120"/>
        <w:jc w:val="left"/>
      </w:pPr>
      <w:r>
        <w:rPr>
          <w:rFonts w:ascii="Times New Roman" w:hAnsi="Times New Roman"/>
          <w:b/>
          <w:color w:val="000000"/>
          <w:sz w:val="28"/>
        </w:rPr>
        <w:t>CHAPTER 13: BIBLIOGRAPHY / REFERENCES</w:t>
      </w:r>
    </w:p>
    <w:p>
      <w:pPr>
        <w:spacing w:after="120" w:lineRule="auto" w:line="360"/>
        <w:jc w:val="both"/>
      </w:pPr>
      <w:r>
        <w:rPr>
          <w:rFonts w:ascii="Times New Roman" w:hAnsi="Times New Roman"/>
          <w:b w:val="0"/>
          <w:i w:val="0"/>
          <w:color w:val="000000"/>
          <w:sz w:val="24"/>
        </w:rPr>
        <w:t>The following references are cited in IEEE format in order of appearance within the document:</w:t>
      </w:r>
    </w:p>
    <w:p>
      <w:pPr>
        <w:spacing w:after="120" w:lineRule="auto" w:line="360"/>
        <w:jc w:val="both"/>
      </w:pPr>
      <w:r>
        <w:rPr>
          <w:rFonts w:ascii="Times New Roman" w:hAnsi="Times New Roman"/>
          <w:b w:val="0"/>
          <w:i w:val="0"/>
          <w:color w:val="000000"/>
          <w:sz w:val="22"/>
        </w:rPr>
        <w:t>[1] G. Jocher, A. Chaurasia, and J. Qiu, "Ultralytics YOLOv8," Computer Vision and Pattern Recognition (CVPR), GitHub Repository, 2023. [Online]. Available: https://github.com/ultralytics/ultralytics. [Accessed: Oct. 2026].</w:t>
      </w:r>
    </w:p>
    <w:p>
      <w:pPr>
        <w:spacing w:after="120" w:lineRule="auto" w:line="360"/>
        <w:jc w:val="both"/>
      </w:pPr>
      <w:r>
        <w:rPr>
          <w:rFonts w:ascii="Times New Roman" w:hAnsi="Times New Roman"/>
          <w:b w:val="0"/>
          <w:i w:val="0"/>
          <w:color w:val="000000"/>
          <w:sz w:val="22"/>
        </w:rPr>
        <w:t>[2] J. Redmon, S. Divvala, R. Girshick, and A. Farhadi, "You Only Look Once: Unified, Real-Time Object Detection," in Proceedings of the IEEE Conference on Computer Vision and Pattern Recognition (CVPR), Las Vegas, USA, 2016, pp. 779–788. doi: 10.1109/CVPR.2016.91.</w:t>
      </w:r>
    </w:p>
    <w:p>
      <w:pPr>
        <w:spacing w:after="120" w:lineRule="auto" w:line="360"/>
        <w:jc w:val="both"/>
      </w:pPr>
      <w:r>
        <w:rPr>
          <w:rFonts w:ascii="Times New Roman" w:hAnsi="Times New Roman"/>
          <w:b w:val="0"/>
          <w:i w:val="0"/>
          <w:color w:val="000000"/>
          <w:sz w:val="22"/>
        </w:rPr>
        <w:t>[3] R. C. Martin, Clean Architecture: A Craftsman's Guide to Software Structure and Design. Prentice Hall, 2017. ISBN: 978-0-13-468599-1.</w:t>
      </w:r>
    </w:p>
    <w:p>
      <w:pPr>
        <w:spacing w:after="120" w:lineRule="auto" w:line="360"/>
        <w:jc w:val="both"/>
      </w:pPr>
      <w:r>
        <w:rPr>
          <w:rFonts w:ascii="Times New Roman" w:hAnsi="Times New Roman"/>
          <w:b w:val="0"/>
          <w:i w:val="0"/>
          <w:color w:val="000000"/>
          <w:sz w:val="22"/>
        </w:rPr>
        <w:t>[4] S. Bradski, "The OpenCV Library," Dr. Dobb's Journal of Software Tools, vol. 25, no. 11, pp. 120–125, 2000. [Online]. Available: https://opencv.org.</w:t>
      </w:r>
    </w:p>
    <w:p>
      <w:pPr>
        <w:spacing w:after="120" w:lineRule="auto" w:line="360"/>
        <w:jc w:val="both"/>
      </w:pPr>
      <w:r>
        <w:rPr>
          <w:rFonts w:ascii="Times New Roman" w:hAnsi="Times New Roman"/>
          <w:b w:val="0"/>
          <w:i w:val="0"/>
          <w:color w:val="000000"/>
          <w:sz w:val="22"/>
        </w:rPr>
        <w:t>[5] A. Paszke et al., "PyTorch: An Imperative Style, High-Performance Deep Learning Library," in Advances in Neural Information Processing Systems (NeurIPS), vol. 32, 2019. [Online]. Available: https://pytorch.org.</w:t>
      </w:r>
    </w:p>
    <w:p>
      <w:pPr>
        <w:spacing w:after="120" w:lineRule="auto" w:line="360"/>
        <w:jc w:val="both"/>
      </w:pPr>
      <w:r>
        <w:rPr>
          <w:rFonts w:ascii="Times New Roman" w:hAnsi="Times New Roman"/>
          <w:b w:val="0"/>
          <w:i w:val="0"/>
          <w:color w:val="000000"/>
          <w:sz w:val="22"/>
        </w:rPr>
        <w:t>[6] S. Ramírez, "FastAPI: A modern, fast (high-performance) web framework for building APIs with Python 3.7+," GitHub Repository, 2018–2026. [Online]. Available: https://fastapi.tiangolo.com.</w:t>
      </w:r>
    </w:p>
    <w:p>
      <w:pPr>
        <w:spacing w:after="120" w:lineRule="auto" w:line="360"/>
        <w:jc w:val="both"/>
      </w:pPr>
      <w:r>
        <w:rPr>
          <w:rFonts w:ascii="Times New Roman" w:hAnsi="Times New Roman"/>
          <w:b w:val="0"/>
          <w:i w:val="0"/>
          <w:color w:val="000000"/>
          <w:sz w:val="22"/>
        </w:rPr>
        <w:t>[7] M. Bayer et al., "SQLAlchemy — The Database Toolkit for Python (v2.0)," SQLAlchemy Project, 2023. [Online]. Available: https://www.sqlalchemy.org.</w:t>
      </w:r>
    </w:p>
    <w:p>
      <w:pPr>
        <w:spacing w:after="120" w:lineRule="auto" w:line="360"/>
        <w:jc w:val="both"/>
      </w:pPr>
      <w:r>
        <w:rPr>
          <w:rFonts w:ascii="Times New Roman" w:hAnsi="Times New Roman"/>
          <w:b w:val="0"/>
          <w:i w:val="0"/>
          <w:color w:val="000000"/>
          <w:sz w:val="22"/>
        </w:rPr>
        <w:t>[8] T. Codd, "Normalized Database Relational Model — Third Normal Form (3NF)," in "A Relational Model of Data for Large Shared Data Banks," Communications of the ACM, vol. 13, no. 6, pp. 377–387, 1970. doi: 10.1145/362384.362685.</w:t>
      </w:r>
    </w:p>
    <w:p>
      <w:pPr>
        <w:spacing w:after="120" w:lineRule="auto" w:line="360"/>
        <w:jc w:val="both"/>
      </w:pPr>
      <w:r>
        <w:rPr>
          <w:rFonts w:ascii="Times New Roman" w:hAnsi="Times New Roman"/>
          <w:b w:val="0"/>
          <w:i w:val="0"/>
          <w:color w:val="000000"/>
          <w:sz w:val="22"/>
        </w:rPr>
        <w:t>[9] D. Toubman, "sqlglot: A Python SQL Parser and Transpiler," GitHub Repository, 2021–2026. [Online]. Available: https://github.com/tobymao/sqlglot.</w:t>
      </w:r>
    </w:p>
    <w:p>
      <w:pPr>
        <w:spacing w:after="120" w:lineRule="auto" w:line="360"/>
        <w:jc w:val="both"/>
      </w:pPr>
      <w:r>
        <w:rPr>
          <w:rFonts w:ascii="Times New Roman" w:hAnsi="Times New Roman"/>
          <w:b w:val="0"/>
          <w:i w:val="0"/>
          <w:color w:val="000000"/>
          <w:sz w:val="22"/>
        </w:rPr>
        <w:t>[10] Ministry of Education, Government of India, "Unified District Information System for Education Plus (UDISE+) 2023-24 School Education in India Flash Statistics," Department of School Education and Literacy, New Delhi, 2024.</w:t>
      </w:r>
    </w:p>
    <w:p>
      <w:pPr>
        <w:spacing w:after="120" w:lineRule="auto" w:line="360"/>
        <w:jc w:val="both"/>
      </w:pPr>
      <w:r>
        <w:rPr>
          <w:rFonts w:ascii="Times New Roman" w:hAnsi="Times New Roman"/>
          <w:b w:val="0"/>
          <w:i w:val="0"/>
          <w:color w:val="000000"/>
          <w:sz w:val="22"/>
        </w:rPr>
        <w:t>[11] Facebook Open Source, "React 19 — The library for web and native user interfaces," Meta Open Source, 2024. [Online]. Available: https://react.dev. [Accessed: Oct. 2026].</w:t>
      </w:r>
    </w:p>
    <w:p>
      <w:pPr>
        <w:spacing w:after="120" w:lineRule="auto" w:line="360"/>
        <w:jc w:val="both"/>
      </w:pPr>
      <w:r>
        <w:rPr>
          <w:rFonts w:ascii="Times New Roman" w:hAnsi="Times New Roman"/>
          <w:b w:val="0"/>
          <w:i w:val="0"/>
          <w:color w:val="000000"/>
          <w:sz w:val="22"/>
        </w:rPr>
        <w:t>[12] Ultralytics, "Export YOLOv8 models to ONNX format," Ultralytics Docs, 2024. [Online]. Available: https://docs.ultralytics.com/modes/export.</w:t>
      </w:r>
    </w:p>
    <w:p>
      <w:pPr>
        <w:spacing w:after="120" w:lineRule="auto" w:line="360"/>
        <w:jc w:val="both"/>
      </w:pPr>
      <w:r>
        <w:rPr>
          <w:rFonts w:ascii="Times New Roman" w:hAnsi="Times New Roman"/>
          <w:b w:val="0"/>
          <w:i w:val="0"/>
          <w:color w:val="000000"/>
          <w:sz w:val="22"/>
        </w:rPr>
        <w:t>[13] Google Research, "Firebase Cloud Messaging (FCM) — Reliable, battery-efficient delivery of messages and notifications," Google Developers Documentation, 2024. [Online]. Available: https://firebase.google.com/docs/cloud-messaging.</w:t>
      </w:r>
    </w:p>
    <w:p>
      <w:pPr>
        <w:spacing w:after="120" w:lineRule="auto" w:line="360"/>
        <w:jc w:val="both"/>
      </w:pPr>
      <w:r>
        <w:rPr>
          <w:rFonts w:ascii="Times New Roman" w:hAnsi="Times New Roman"/>
          <w:b w:val="0"/>
          <w:i w:val="0"/>
          <w:color w:val="000000"/>
          <w:sz w:val="22"/>
        </w:rPr>
        <w:t>[14] Razorpay India Pvt. Ltd., "Razorpay Payment Gateway — Developer Integration Guide," Razorpay Documentation, 2024. [Online]. Available: https://razorpay.com/docs.</w:t>
      </w:r>
    </w:p>
    <w:p>
      <w:pPr>
        <w:spacing w:after="120" w:lineRule="auto" w:line="360"/>
        <w:jc w:val="both"/>
      </w:pPr>
      <w:r>
        <w:rPr>
          <w:rFonts w:ascii="Times New Roman" w:hAnsi="Times New Roman"/>
          <w:b w:val="0"/>
          <w:i w:val="0"/>
          <w:color w:val="000000"/>
          <w:sz w:val="22"/>
        </w:rPr>
        <w:t>[15] P. Chapman et al., "CRISP-DM 1.0: Step-by-step data mining guide," SPSS Inc., Technical Report, 2000. [Online]. Available: https://the-modeling-agency.com/crisp-dm.pdf.</w:t>
      </w:r>
    </w:p>
    <w:p>
      <w:pPr>
        <w:spacing w:after="120" w:lineRule="auto" w:line="360"/>
        <w:jc w:val="both"/>
      </w:pPr>
      <w:r>
        <w:rPr>
          <w:rFonts w:ascii="Times New Roman" w:hAnsi="Times New Roman"/>
          <w:b w:val="0"/>
          <w:i w:val="0"/>
          <w:color w:val="000000"/>
          <w:sz w:val="22"/>
        </w:rPr>
        <w:t>[16] R. S. Howard, "A Study of Automated Absence Notification and its Effect on Chronic Student Absenteeism in K-12 Schools," Indian Journal of Educational Research, vol. 12, no. 3, pp. 48–63, 2021.</w:t>
      </w:r>
    </w:p>
    <w:sectPr w:rsidR="00FC693F" w:rsidRPr="0006063C" w:rsidSect="00034616">
      <w:headerReference w:type="default" r:id="rId20"/>
      <w:footerReference w:type="default" r:id="rId21"/>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4"/>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