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A1A1A"/>
          <w:sz w:val="32"/>
        </w:rPr>
        <w:t>Helena Montoya Calero</w:t>
      </w:r>
    </w:p>
    <w:p>
      <w:pPr>
        <w:spacing w:after="40"/>
      </w:pPr>
      <w:r>
        <w:rPr>
          <w:rFonts w:ascii="Calibri" w:hAnsi="Calibri"/>
          <w:color w:val="888888"/>
          <w:sz w:val="20"/>
        </w:rPr>
        <w:t>PhD Candidate · Bocconi University · ION Management Science Lab</w:t>
      </w:r>
    </w:p>
    <w:p>
      <w:pPr>
        <w:spacing w:after="0"/>
      </w:pPr>
      <w:r>
        <w:rPr>
          <w:rFonts w:ascii="Calibri" w:hAnsi="Calibri"/>
          <w:color w:val="5B7FA6"/>
          <w:sz w:val="20"/>
        </w:rPr>
        <w:t>helenamontoyacalero.com  ·  helena.montoya@phd.unibocconi.it</w:t>
      </w:r>
    </w:p>
    <w:p>
      <w:pPr>
        <w:spacing w:before="320" w:after="80"/>
        <w:pBdr>
          <w:bottom w:val="single" w:sz="4" w:space="1" w:color="D0DCE8"/>
        </w:pBdr>
      </w:pPr>
      <w:r>
        <w:rPr>
          <w:rFonts w:ascii="Calibri" w:hAnsi="Calibri"/>
          <w:b/>
          <w:color w:val="5B7FA6"/>
          <w:sz w:val="18"/>
        </w:rPr>
        <w:t>FIELD OF SPECIALIZATION</w:t>
      </w:r>
    </w:p>
    <w:p>
      <w:pPr>
        <w:spacing w:before="0" w:after="80"/>
      </w:pPr>
      <w:r>
        <w:rPr>
          <w:rFonts w:ascii="Calibri" w:hAnsi="Calibri"/>
          <w:sz w:val="22"/>
        </w:rPr>
        <w:t>Decision-Making under Uncertainty in Entrepreneurship and Management. My research examines how managers and entrepreneurs reason, evaluate evidence, and adapt their decisions under conditions of uncertainty, using a combination of survey methods, field experiments, and causal inference.</w:t>
      </w:r>
    </w:p>
    <w:p>
      <w:pPr>
        <w:spacing w:before="320" w:after="80"/>
        <w:pBdr>
          <w:bottom w:val="single" w:sz="4" w:space="1" w:color="D0DCE8"/>
        </w:pBdr>
      </w:pPr>
      <w:r>
        <w:rPr>
          <w:rFonts w:ascii="Calibri" w:hAnsi="Calibri"/>
          <w:b/>
          <w:color w:val="5B7FA6"/>
          <w:sz w:val="18"/>
        </w:rPr>
        <w:t>WORKING PAPERS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Measuring Scientific Decision-Making in Organizations</w:t>
      </w:r>
    </w:p>
    <w:p>
      <w:pPr>
        <w:spacing w:after="40"/>
      </w:pPr>
      <w:r>
        <w:rPr>
          <w:rFonts w:ascii="Calibri" w:hAnsi="Calibri"/>
          <w:i/>
          <w:color w:val="999999"/>
          <w:sz w:val="19"/>
        </w:rPr>
        <w:t>with Arnaldo Camuffo, Alfonso Gambardella, and Thomaz Teodorovicz</w:t>
      </w:r>
    </w:p>
    <w:p>
      <w:pPr>
        <w:spacing w:after="40"/>
      </w:pPr>
      <w:r>
        <w:rPr>
          <w:rFonts w:ascii="Calibri" w:hAnsi="Calibri"/>
          <w:i/>
          <w:color w:val="999999"/>
          <w:sz w:val="19"/>
        </w:rPr>
        <w:t>24-item survey instrument measuring SDM practices across three dimensions: Causal Reasoning, Evidence Evaluation, and Adaptive Learning. Applied to 3,178 managers across 54 firms. Target: Research Policy (Research Note).</w:t>
      </w:r>
    </w:p>
    <w:p>
      <w:pPr>
        <w:spacing w:after="80"/>
      </w:pP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Heterogeneous Effects of Theory-Based Entrepreneurship Training</w:t>
      </w:r>
    </w:p>
    <w:p>
      <w:pPr>
        <w:spacing w:after="40"/>
      </w:pPr>
      <w:r>
        <w:rPr>
          <w:rFonts w:ascii="Calibri" w:hAnsi="Calibri"/>
          <w:i/>
          <w:color w:val="999999"/>
          <w:sz w:val="19"/>
        </w:rPr>
        <w:t>with Arnaldo Camuffo and Alfonso Gambardella</w:t>
      </w:r>
    </w:p>
    <w:p>
      <w:pPr>
        <w:spacing w:after="40"/>
      </w:pPr>
      <w:r>
        <w:rPr>
          <w:rFonts w:ascii="Calibri" w:hAnsi="Calibri"/>
          <w:i/>
          <w:color w:val="999999"/>
          <w:sz w:val="19"/>
        </w:rPr>
        <w:t>Heterogeneous treatment effects of theory-based training across five RCTs (Italy, Colombia, Netherlands, Spain, UK) using Random Forest and causal inference. In progress.</w:t>
      </w:r>
    </w:p>
    <w:p>
      <w:pPr>
        <w:spacing w:after="80"/>
      </w:pP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Extracting Interpretable Models from Large Language Models for Organizational Data</w:t>
      </w:r>
    </w:p>
    <w:p>
      <w:pPr>
        <w:spacing w:after="40"/>
      </w:pPr>
      <w:r>
        <w:rPr>
          <w:rFonts w:ascii="Calibri" w:hAnsi="Calibri"/>
          <w:i/>
          <w:color w:val="999999"/>
          <w:sz w:val="19"/>
        </w:rPr>
        <w:t>with Said Kazemi</w:t>
      </w:r>
    </w:p>
    <w:p>
      <w:pPr>
        <w:spacing w:after="40"/>
      </w:pPr>
      <w:r>
        <w:rPr>
          <w:rFonts w:ascii="Calibri" w:hAnsi="Calibri"/>
          <w:i/>
          <w:color w:val="999999"/>
          <w:sz w:val="19"/>
        </w:rPr>
        <w:t>Compares classical econometric approaches (LASSO) with LLM-based methods for predicting ordinal organizational variables. Explores linear probing, prompt-ensemble, and linear distillation. In progress.</w:t>
      </w:r>
    </w:p>
    <w:p>
      <w:pPr>
        <w:spacing w:before="320" w:after="80"/>
        <w:pBdr>
          <w:bottom w:val="single" w:sz="4" w:space="1" w:color="D0DCE8"/>
        </w:pBdr>
      </w:pPr>
      <w:r>
        <w:rPr>
          <w:rFonts w:ascii="Calibri" w:hAnsi="Calibri"/>
          <w:b/>
          <w:color w:val="5B7FA6"/>
          <w:sz w:val="18"/>
        </w:rPr>
        <w:t>CONFERENCES ATTENDED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Utah Winter Strategy Seminar — Deer Valley, Utah, January 2025</w:t>
      </w:r>
    </w:p>
    <w:p>
      <w:pPr>
        <w:pStyle w:val="ListBullet"/>
        <w:spacing w:before="0" w:after="60"/>
      </w:pPr>
      <w:r>
        <w:rPr>
          <w:rFonts w:ascii="Calibri" w:hAnsi="Calibri"/>
          <w:sz w:val="22"/>
        </w:rPr>
        <w:t>2nd Annual Bayesian Entrepreneurship Conference — Bocconi University, Milan, Italy, 2025</w:t>
      </w:r>
    </w:p>
    <w:p>
      <w:pPr>
        <w:spacing w:before="320" w:after="80"/>
        <w:pBdr>
          <w:bottom w:val="single" w:sz="4" w:space="1" w:color="D0DCE8"/>
        </w:pBdr>
      </w:pPr>
      <w:r>
        <w:rPr>
          <w:rFonts w:ascii="Calibri" w:hAnsi="Calibri"/>
          <w:b/>
          <w:color w:val="5B7FA6"/>
          <w:sz w:val="18"/>
        </w:rPr>
        <w:t>PUBLICATIONS</w:t>
      </w:r>
    </w:p>
    <w:p>
      <w:pPr>
        <w:spacing w:before="0" w:after="80"/>
      </w:pPr>
      <w:r>
        <w:rPr>
          <w:rFonts w:ascii="Calibri" w:hAnsi="Calibri"/>
          <w:sz w:val="22"/>
        </w:rPr>
        <w:t>No peer-reviewed publications to date. Working papers in preparation for submission (see above).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