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60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N1 IT | Grupo Stefanini</w:t>
      </w:r>
    </w:p>
    <w:p>
      <w:pPr>
        <w:pBdr>
          <w:top w:val="single" w:color="2F6DB5" w:sz="24" w:space="1"/>
        </w:pBdr>
        <w:spacing w:after="300"/>
      </w:pPr>
    </w:p>
    <w:p>
      <w:pPr>
        <w:spacing w:after="200"/>
      </w:pPr>
      <w:r>
        <w:rPr>
          <w:rFonts w:ascii="Arial" w:cs="Arial" w:eastAsia="Arial" w:hAnsi="Arial"/>
          <w:b/>
          <w:bCs/>
          <w:color w:val="0B2A4A"/>
          <w:sz w:val="52"/>
          <w:szCs w:val="52"/>
        </w:rPr>
        <w:t xml:space="preserve">Novo Sistema de Gestão e Medição de Serviços (SLA)</w:t>
      </w:r>
    </w:p>
    <w:p>
      <w:pPr>
        <w:spacing w:after="700"/>
      </w:pPr>
      <w:r>
        <w:rPr>
          <w:rFonts w:ascii="Arial" w:cs="Arial" w:eastAsia="Arial" w:hAnsi="Arial"/>
          <w:b w:val="false"/>
          <w:bCs w:val="false"/>
          <w:color w:val="444444"/>
          <w:sz w:val="28"/>
          <w:szCs w:val="28"/>
        </w:rPr>
        <w:t xml:space="preserve">Documentação do processo para validação do Itaú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Itaú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e Medição de Serviços (SLA)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Sistema que será substituído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Thanos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Elaborado por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N1 IT | Grupo Stefanini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 – para validação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Outubro de 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Prazo de conclusão do projeto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29/01/2027</w:t>
            </w:r>
          </w:p>
        </w:tc>
      </w:tr>
    </w:tbl>
    <w:p>
      <w:pPr>
        <w:spacing w:after="500"/>
      </w:pPr>
    </w:p>
    <w:p>
      <w:pPr>
        <w:spacing w:after="0"/>
      </w:pPr>
      <w:r>
        <w:rPr>
          <w:rFonts w:ascii="Arial" w:cs="Arial" w:eastAsia="Arial" w:hAnsi="Arial"/>
          <w:b w:val="false"/>
          <w:bCs w:val="false"/>
          <w:color w:val="666666"/>
          <w:sz w:val="18"/>
          <w:szCs w:val="18"/>
        </w:rPr>
        <w:t xml:space="preserve">Confidencial | Uso restrito ao Itaú e à Stefanini</w:t>
      </w:r>
    </w:p>
    <w:p>
      <w:r>
        <w:br w:type="page"/>
      </w: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Como ler este documento</w:t>
      </w:r>
    </w:p>
    <w:p>
      <w:pPr>
        <w:spacing w:after="160" w:before="0" w:line="29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Objetivo desta seção: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ajudar você a ler o documento do jeito mais rápido, sem precisar de uma reunião de apresentação.</w:t>
      </w:r>
    </w:p>
    <w:p>
      <w:pPr>
        <w:spacing w:after="120" w:before="0" w:line="290"/>
      </w:pPr>
      <w:r>
        <w:rPr>
          <w:rFonts w:ascii="Arial" w:cs="Arial" w:eastAsia="Arial" w:hAnsi="Arial"/>
          <w:sz w:val="21"/>
          <w:szCs w:val="21"/>
        </w:rPr>
        <w:t xml:space="preserve">Este documento explica como funcionará o novo sistema que vai substituir o Thanos. Ele foi escrito para pessoas de negócio e de tecnologia. Você pode lê-lo do começo ao fim ou ir direto ao que precisa.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438"/>
      </w:tblGrid>
      <w:tr>
        <w:trPr>
          <w:cantSplit/>
          <w:tblHeader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você quer…</w:t>
            </w:r>
          </w:p>
        </w:tc>
        <w:tc>
          <w:tcPr>
            <w:tcW w:type="dxa" w:w="4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Leia a seção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Entender em uma página o que muda</w:t>
            </w:r>
          </w:p>
        </w:tc>
        <w:tc>
          <w:tcPr>
            <w:tcW w:type="dxa" w:w="4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 Resumo executivo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Conferir o significado de um termo ou sigla</w:t>
            </w:r>
          </w:p>
        </w:tc>
        <w:tc>
          <w:tcPr>
            <w:tcW w:type="dxa" w:w="4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 Glossário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 o que melhora em relação ao Thanos</w:t>
            </w:r>
          </w:p>
        </w:tc>
        <w:tc>
          <w:tcPr>
            <w:tcW w:type="dxa" w:w="4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 Como é hoje x como será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 o desenho do novo processo</w:t>
            </w:r>
          </w:p>
        </w:tc>
        <w:tc>
          <w:tcPr>
            <w:tcW w:type="dxa" w:w="4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 Novo fluxograma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Entender cada etapa em detalhe</w:t>
            </w:r>
          </w:p>
        </w:tc>
        <w:tc>
          <w:tcPr>
            <w:tcW w:type="dxa" w:w="4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 Passo a passo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 um caso real de ponta a ponta</w:t>
            </w:r>
          </w:p>
        </w:tc>
        <w:tc>
          <w:tcPr>
            <w:tcW w:type="dxa" w:w="4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 Exemplo prático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Saber quais sistemas se conectam</w:t>
            </w:r>
          </w:p>
        </w:tc>
        <w:tc>
          <w:tcPr>
            <w:tcW w:type="dxa" w:w="4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 Integrações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Conferir segurança, desempenho e auditoria</w:t>
            </w:r>
          </w:p>
        </w:tc>
        <w:tc>
          <w:tcPr>
            <w:tcW w:type="dxa" w:w="4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 Requisitos não funcionais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Saber como será a troca do Thanos</w:t>
            </w:r>
          </w:p>
        </w:tc>
        <w:tc>
          <w:tcPr>
            <w:tcW w:type="dxa" w:w="4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 Migração e convivência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Saber o que o Itaú precisa fazer e quando</w:t>
            </w:r>
          </w:p>
        </w:tc>
        <w:tc>
          <w:tcPr>
            <w:tcW w:type="dxa" w:w="4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 Cronograma e 13. Pontos para validação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Conhecer os riscos e o que faremos</w:t>
            </w:r>
          </w:p>
        </w:tc>
        <w:tc>
          <w:tcPr>
            <w:tcW w:type="dxa" w:w="4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 Riscos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 premissas, limites e pontos abertos</w:t>
            </w:r>
          </w:p>
        </w:tc>
        <w:tc>
          <w:tcPr>
            <w:tcW w:type="dxa" w:w="4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 Premissas, restrições e pontos em aberto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Aprovar o fluxo</w:t>
            </w:r>
          </w:p>
        </w:tc>
        <w:tc>
          <w:tcPr>
            <w:tcW w:type="dxa" w:w="4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 Validação e aceite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F1FA" w:sz="4"/>
              <w:left w:val="single" w:color="2F6DB5" w:sz="24"/>
              <w:bottom w:val="single" w:color="EAF1FA" w:sz="4"/>
              <w:right w:val="single" w:color="EAF1FA" w:sz="4"/>
            </w:tcBorders>
            <w:shd w:fill="EAF1FA" w:color="auto" w:val="clear"/>
            <w:tcMar>
              <w:top w:type="dxa" w:w="100"/>
              <w:left w:type="dxa" w:w="16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6DB5"/>
                <w:sz w:val="21"/>
                <w:szCs w:val="21"/>
              </w:rPr>
              <w:t xml:space="preserve">O que pedimos ao Itaú</w:t>
            </w:r>
          </w:p>
          <w:p>
            <w:pPr>
              <w:spacing w:after="60" w:line="27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Ler as seções 4 e 5 e confirmar se o fluxo representa o processo desejado.</w:t>
            </w:r>
          </w:p>
          <w:p>
            <w:pPr>
              <w:spacing w:after="60" w:line="27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Responder aos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pontos para validação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(seção 13) até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19/11/2026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spacing w:after="60" w:line="27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Assinar o aceite (seção 14) ou registrar ressalvas.</w:t>
            </w:r>
          </w:p>
        </w:tc>
      </w:tr>
    </w:tbl>
    <w:p>
      <w:pPr>
        <w:spacing w:after="120"/>
      </w:pPr>
    </w:p>
    <w:p>
      <w:pPr>
        <w:spacing w:after="120" w:before="0" w:line="2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Convenções:</w:t>
      </w:r>
      <w:r>
        <w:rPr>
          <w:rFonts w:ascii="Arial" w:cs="Arial" w:eastAsia="Arial" w:hAnsi="Arial"/>
          <w:sz w:val="20"/>
          <w:szCs w:val="20"/>
        </w:rPr>
        <w:t xml:space="preserve"> os passos do fluxo têm numeração de 1 a 24. A mesma numeração aparece no fluxograma (seção 4) e no passo a passo (seção 5). Os pontos para validação têm a sigla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</w:t>
      </w:r>
      <w:r>
        <w:rPr>
          <w:rFonts w:ascii="Arial" w:cs="Arial" w:eastAsia="Arial" w:hAnsi="Arial"/>
          <w:sz w:val="20"/>
          <w:szCs w:val="20"/>
        </w:rPr>
        <w:t xml:space="preserve"> e um número (por exemplo, V9).</w:t>
      </w:r>
    </w:p>
    <w:p>
      <w:r>
        <w:br w:type="page"/>
      </w: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1. Resumo executivo</w:t>
      </w:r>
    </w:p>
    <w:p>
      <w:pPr>
        <w:spacing w:after="160" w:before="0" w:line="29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Objetivo desta seção: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mostrar em uma página o que é o novo sistema, por que o Thanos será substituído e o que muda para o Itaú.</w:t>
      </w:r>
    </w:p>
    <w:p>
      <w:pPr>
        <w:pStyle w:val="Heading3"/>
        <w:keepNext/>
        <w:spacing w:after="80" w:before="160"/>
      </w:pPr>
      <w:r>
        <w:rPr>
          <w:rFonts w:ascii="Arial" w:cs="Arial" w:eastAsia="Arial" w:hAnsi="Arial"/>
          <w:b/>
          <w:bCs/>
          <w:color w:val="0B2A4A"/>
          <w:sz w:val="22"/>
          <w:szCs w:val="22"/>
        </w:rPr>
        <w:t xml:space="preserve">O que é</w:t>
      </w:r>
    </w:p>
    <w:p>
      <w:pPr>
        <w:spacing w:after="120" w:before="0" w:line="290"/>
      </w:pPr>
      <w:r>
        <w:rPr>
          <w:rFonts w:ascii="Arial" w:cs="Arial" w:eastAsia="Arial" w:hAnsi="Arial"/>
          <w:sz w:val="21"/>
          <w:szCs w:val="21"/>
        </w:rPr>
        <w:t xml:space="preserve">O novo sistema registra falhas na execução de serviços contratados, avisa o fornecedor, acompanha o tratamento e calcula a pontuação mensal dos fornecedores. Ele faz o mesmo trabalho do Thanos, com mais controle e sem planilhas paralelas.</w:t>
      </w:r>
    </w:p>
    <w:p>
      <w:pPr>
        <w:pStyle w:val="Heading3"/>
        <w:keepNext/>
        <w:spacing w:after="80" w:before="160"/>
      </w:pPr>
      <w:r>
        <w:rPr>
          <w:rFonts w:ascii="Arial" w:cs="Arial" w:eastAsia="Arial" w:hAnsi="Arial"/>
          <w:b/>
          <w:bCs/>
          <w:color w:val="0B2A4A"/>
          <w:sz w:val="22"/>
          <w:szCs w:val="22"/>
        </w:rPr>
        <w:t xml:space="preserve">Por que substituir o Thanos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O envio automático de e-mail ao fornecedor às vezes falha, e o Itaú precisa avisar manualmente.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Consultas e relatórios demoram, e faltam filtros importantes.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A pontuação mensal depende de Excel (PROCV e tabela dinâmica), o que gera retrabalho e risco de erro.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Ocorrências podem ser encerradas sem motivo ou evidência, e ocorrências abertas ficam fora da medição sem aviso.</w:t>
      </w:r>
    </w:p>
    <w:p>
      <w:pPr>
        <w:pStyle w:val="Heading3"/>
        <w:keepNext/>
        <w:spacing w:after="80" w:before="160"/>
      </w:pPr>
      <w:r>
        <w:rPr>
          <w:rFonts w:ascii="Arial" w:cs="Arial" w:eastAsia="Arial" w:hAnsi="Arial"/>
          <w:b/>
          <w:bCs/>
          <w:color w:val="0B2A4A"/>
          <w:sz w:val="22"/>
          <w:szCs w:val="22"/>
        </w:rPr>
        <w:t xml:space="preserve">O que muda para o Itaú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cantSplit/>
          <w:tblHeader/>
        </w:trPr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Hoje</w:t>
            </w:r>
          </w:p>
        </w:tc>
        <w:tc>
          <w:tcPr>
            <w:tcW w:type="dxa" w:w="5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novo sistema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E-mail pode falhar sem ninguém saber</w:t>
            </w:r>
          </w:p>
        </w:tc>
        <w:tc>
          <w:tcPr>
            <w:tcW w:type="dxa" w:w="5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Cada notificação tem status (enviado, entregue, falhou), reenvio automático e alerta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Encerramento sem motivo</w:t>
            </w:r>
          </w:p>
        </w:tc>
        <w:tc>
          <w:tcPr>
            <w:tcW w:type="dxa" w:w="5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Motivo, evidência e responsável obrigatórios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Ocorrências abertas esquecidas</w:t>
            </w:r>
          </w:p>
        </w:tc>
        <w:tc>
          <w:tcPr>
            <w:tcW w:type="dxa" w:w="5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Lembretes e painel de ocorrências abertas e vencidas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Pontuação em Excel</w:t>
            </w:r>
          </w:p>
        </w:tc>
        <w:tc>
          <w:tcPr>
            <w:tcW w:type="dxa" w:w="5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Pontuação calculada pelo sistema, com histórico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Log técnico, difícil de ler</w:t>
            </w:r>
          </w:p>
        </w:tc>
        <w:tc>
          <w:tcPr>
            <w:tcW w:type="dxa" w:w="5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Histórico em linguagem de negócio: quem, quando, o que mudou e por quê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Quadro-resumo</w:t>
            </w:r>
          </w:p>
        </w:tc>
        <w:tc>
          <w:tcPr>
            <w:tcW w:type="dxa" w:w="6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Prazo</w:t>
            </w:r>
          </w:p>
        </w:tc>
        <w:tc>
          <w:tcPr>
            <w:tcW w:type="dxa" w:w="6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Conclusão em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29/01/2027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Entrada em produção (proposta)</w:t>
            </w:r>
          </w:p>
        </w:tc>
        <w:tc>
          <w:tcPr>
            <w:tcW w:type="dxa" w:w="6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21/01/2027, com convivência com o Thanos até 29/01/2027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Fluxo proposto</w:t>
            </w:r>
          </w:p>
        </w:tc>
        <w:tc>
          <w:tcPr>
            <w:tcW w:type="dxa" w:w="6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 passos em 4 fases: acesso, registro, tratamento e medição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Primeira data para o Itaú</w:t>
            </w:r>
          </w:p>
        </w:tc>
        <w:tc>
          <w:tcPr>
            <w:tcW w:type="dxa" w:w="6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19/11/2026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: devolver a validação do fluxo e os pontos da seção 13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2. Glossário</w:t>
      </w:r>
    </w:p>
    <w:p>
      <w:pPr>
        <w:spacing w:after="160" w:before="0" w:line="29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Objetivo desta seção: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explicar os termos e as siglas usados neste documento, em ordem alfabética.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Ação de gestão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Decisão da Gestão de Serviços sobre um fornecedor após a análise mensal: nenhuma ação, orientação ou reunião, advertência, ajuste operacional, escalonamento ou processo de rescisão.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Aberta indevidamente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Status de uma ocorrência registrada por engano. Ela não conta na medição.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Alçada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Limite de decisão de uma pessoa ou cargo. Define quem pode aprovar cada ação.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Analista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Perfil de acesso que cadastra dados, abre, edita e encerra ocorrências.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Auditoria (trilha de)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Registro de quem fez o quê, quando e por quê, para consulta e conferência.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Categoria / Tipo / Item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Níveis que descrevem o serviço contratado. A categoria é o grupo maior, o tipo detalha e o item é o serviço específico em que a ocorrência é aberta.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Centro de Segurança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Equipe do Itaú que observa e registra desvios, principalmente de disponibilidade de postos.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Classificação de SLA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Gravidade do desvio (por exemplo, leve, moderada, grave ou gravíssima), conforme a matriz do Itaú.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Mês em que uma ocorrência conta na medição.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Convivência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Período em que o Thanos e o novo sistema existem ao mesmo tempo, durante a troca.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corte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 em que o sistema fecha o mês e congela os dados para calcular a pontuação.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Encerramento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Ato de finalizar uma ocorrência depois de tratada, informando status final, motivo e evidência.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Evidência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Prova de que algo aconteceu ou foi resolvido (foto, e-mail, documento, registro).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Fornecedor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Empresa contratada pelo Itaú que presta o serviço e recebe as notificações.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Gestão de Serviços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Área do Itaú que analisa a pontuação mensal e decide as ações de gestão.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Gestor / aprovador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Perfil de acesso que aprova pedidos de acesso e pode executar funções administrativas.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Go-live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 em que o novo sistema entra em uso real.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Homologação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Fase de testes em que o Itaú confere se o sistema funciona como combinado, antes de ir para produção.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Número único que identifica cada ocorrência.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Integração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Ligação entre o novo sistema e outro sistema ou fonte de dados.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LGPD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Lei Geral de Proteção de Dados. Regula o uso de dados pessoais.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Log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Registro automático das ações feitas no sistema.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Medição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Cálculo mensal da pontuação dos fornecedores a partir das ocorrências finalizadas.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Notificação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E-mail enviado ao fornecedor para informar uma ocorrência.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Novo sistema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Sistema que substituirá o Thanos neste projeto.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Ocorrência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Registro de um desvio na execução de um serviço contratado.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Operador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Perfil de acesso que registra ocorrências.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Perfil de acesso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Conjunto de permissões de uma pessoa no sistema: Operador, Analista ou Gestor.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Plano de ação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Combinado para corrigir o desvio. Cada ocorrência tem um status do plano de ação.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Polo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Local ou prédio onde o serviço é prestado. É identificado pelo RGI.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Pontuação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Nota calculada por fornecedor, com base nas ocorrências finalizadas e na tabela contratual.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Posição de serviço dentro de um polo, como uma portaria.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Produção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Ambiente real de uso do sistema.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Quadro de saúde do fornecedor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Visão resumida da pontuação e das ocorrências de cada fornecedor.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Rascunho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Versão ainda não salva de um preenchimento. O novo sistema a guarda automaticamente.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Rescisão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Encerramento do contrato com o fornecedor.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RGI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Registro Geral de Imóvel. No processo, identifica de forma única cada prédio ou polo.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Rollback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Volta ao estado anterior (neste caso, voltar a usar o Thanos) se houver problema grave.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Service Level Agreement (acordo de nível de serviço). Define o padrão de serviço que o fornecedor deve cumprir.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SSO / login corporativo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Entrada no sistema com o mesmo acesso usado nos demais sistemas do Itaú.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Situação da ocorrência, como Aberta, Finalizada ou Aberta indevidamente.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Thanos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Sistema atual do Itaú para gestão e medição de serviços (SLA).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Stefanini (N1 IT | Grupo Stefanini)</w:t>
            </w:r>
          </w:p>
        </w:tc>
        <w:tc>
          <w:tcPr>
            <w:tcW w:type="dxa" w:w="6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Empresa que constrói, implanta e sustenta o novo sistema.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3. Como é hoje x como será</w:t>
      </w:r>
    </w:p>
    <w:p>
      <w:pPr>
        <w:spacing w:after="160" w:before="0" w:line="29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Objetivo desta seção: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comparar, ponto a ponto, o Thanos de hoje com o novo sistema e mostrar o ganho de cada mudança.</w:t>
      </w:r>
    </w:p>
    <w:p>
      <w:pPr>
        <w:spacing w:after="120" w:before="0" w:line="290"/>
      </w:pPr>
      <w:r>
        <w:rPr>
          <w:rFonts w:ascii="Arial" w:cs="Arial" w:eastAsia="Arial" w:hAnsi="Arial"/>
          <w:sz w:val="21"/>
          <w:szCs w:val="21"/>
        </w:rPr>
        <w:t xml:space="preserve">A tabela segue a ordem do processo. Itens marcados com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</w:t>
      </w:r>
      <w:r>
        <w:rPr>
          <w:rFonts w:ascii="Arial" w:cs="Arial" w:eastAsia="Arial" w:hAnsi="Arial"/>
          <w:sz w:val="21"/>
          <w:szCs w:val="21"/>
        </w:rPr>
        <w:t xml:space="preserve"> dependem da confirmação do Itaú na seção 13.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700"/>
        <w:gridCol w:w="3338"/>
        <w:gridCol w:w="1900"/>
      </w:tblGrid>
      <w:tr>
        <w:trPr>
          <w:cantSplit/>
          <w:tblHeader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é hoje (Thanos)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será (novo sistema)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Ganho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Pedido de acesso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Formulário fora do sistema; um ponto focal cadastra o pedido.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Pedido feito no próprio sistema, com aprovação do gestor e histórico (V10).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Menos etapas e acesso rastreável.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Cadastros (polos, itens, fornecedores)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Cadastros em vários lugares. Erro de grafia impede cargas.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Listas controladas, validação antes de salvar e carga em lote assistida (V13, V15).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Menos retrabalho e dados padronizados.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Abertura da ocorrência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Pessoa preenche; sessão cai em 30 minutos sem aviso e perde o texto.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Rascunho automático, aviso antes de expirar e campos obrigatórios claros (V24).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Nenhum preenchimento perdido.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Notificação ao fornecedor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Robô envia e-mail; pode falhar sem erro. Itaú avisa manualmente e controla em planilha.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Status do envio, reenvio automático (até 3 vezes) e alerta ao responsável (V6).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Fornecedor sempre avisado, com prova.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Correção de fornecedor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Corrigir não reenvia o aviso. É preciso encerrar e abrir outra ocorrência.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Correção com reenvio controlado e aviso de desconsideração ao fornecedor anterior (V8).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Menos ocorrências duplicadas.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Acompanhamento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Sem lembretes efetivos. Ocorrências abertas ficam esquecidas.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Lembretes por e-mail e painel de ocorrências abertas e vencidas (V1, V4).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Nada fica parado sem ninguém ver.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Encerramento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Pode encerrar sem motivo ou evidência.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Motivo, evidência, responsável e data obrigatórios (V2).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Histórico claro e confiável.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Permissões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Perfis amplos: quem tem permissão edita ou fecha ocorrência de outra pessoa.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Edição e encerramento por responsável, com justificativa nas exceções (V11).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Menos alteração indevida.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Consulta e filtros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Telas lentas; faltam filtros por período, código, prédio e outros.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Filtros por período, ID, polo, prédio, categoria, tipo, item, fornecedor, status e responsável, com paginação.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Resposta rápida e busca completa.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Histórico (log)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Existe, mas é técnico e difícil de ler.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Histórico em linguagem de negócio: quem, quando, o quê, antes e depois.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Auditoria acessível.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Medição e pontuação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Exportação para Excel, PROCV e tabela dinâmica.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Cálculo no sistema, com tabela de pontuação por contrato e vigência (V16, V17).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Fim da planilha paralela e menos erro.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Ocorrências abertas na medição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Só ocorrências finalizadas entram; as abertas somem da análise.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Só as finalizadas pontuam, mas as abertas aparecem em lista no fechamento (V18).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Decisão com visão completa.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Comparação entre fornecedores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Baseada no volume total de ocorrências.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Também por posto, efetivo e criticidade (V19).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Comparação mais justa.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Controles paralelos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E-mail, Excel e filas próprias.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Tudo no sistema: notificação, pendência e histórico.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Uma única fonte de verdade.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Dados pessoais de terceiros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Ficam no campo livre de observação.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Campos próprios e protegidos, com o mínimo necessário (V12).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Aderência à LGPD.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Sustentação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Funções deixaram de funcionar por falta de manutenção.</w:t>
            </w:r>
          </w:p>
        </w:tc>
        <w:tc>
          <w:tcPr>
            <w:tcW w:type="dxa" w:w="3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Sustentação com responsável, canal e prazos acordados (V22).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Sistema mantido e evoluído.</w:t>
            </w:r>
          </w:p>
        </w:tc>
      </w:tr>
    </w:tbl>
    <w:p>
      <w:r>
        <w:br w:type="page"/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300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4. Novo fluxograma do processo</w:t>
      </w:r>
    </w:p>
    <w:p>
      <w:pPr>
        <w:spacing w:after="160" w:before="0" w:line="29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Objetivo desta seção: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mostrar, em desenho, como o processo funcionará no novo sistema. O desenho tem 24 passos numerados, decisões, exceções e a indicação de quem faz cada etapa (Itaú, Stefanini, fornecedor ou sistema).</w:t>
      </w:r>
    </w:p>
    <w:p>
      <w:pPr>
        <w:spacing w:after="120" w:before="0" w:line="290"/>
      </w:pPr>
      <w:r>
        <w:rPr>
          <w:rFonts w:ascii="Arial" w:cs="Arial" w:eastAsia="Arial" w:hAnsi="Arial"/>
          <w:sz w:val="21"/>
          <w:szCs w:val="21"/>
        </w:rPr>
        <w:t xml:space="preserve">Primeiro vem a visão geral. Depois, cada fase aparece em detalhe. Os números dos passos são os mesmos do texto da seção 5.</w:t>
      </w:r>
    </w:p>
    <w:p>
      <w:pPr>
        <w:spacing w:after="80"/>
        <w:jc w:val="center"/>
      </w:pPr>
      <w:r>
        <w:drawing>
          <wp:inline distT="0" distB="0" distL="0" distR="0">
            <wp:extent cx="6572250" cy="2333625"/>
            <wp:effectExtent t="0" r="0" b="0" l="0"/>
            <wp:docPr id="1" name="fig" descr="Figura do documento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Figura 1 – Visão geral: quatro fases do processo.</w:t>
      </w:r>
    </w:p>
    <w:p>
      <w:pPr>
        <w:spacing w:after="80"/>
        <w:jc w:val="center"/>
      </w:pPr>
      <w:r>
        <w:drawing>
          <wp:inline distT="0" distB="0" distL="0" distR="0">
            <wp:extent cx="5715000" cy="1924050"/>
            <wp:effectExtent t="0" r="0" b="0" l="0"/>
            <wp:docPr id="1" name="fig" descr="Figura do documento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Figura 2 – Legenda dos símbolos.</w:t>
      </w:r>
    </w:p>
    <w:p>
      <w:r>
        <w:br w:type="page"/>
      </w:r>
    </w:p>
    <w:p>
      <w:pPr>
        <w:spacing w:after="80"/>
        <w:jc w:val="center"/>
      </w:pPr>
      <w:r>
        <w:drawing>
          <wp:inline distT="0" distB="0" distL="0" distR="0">
            <wp:extent cx="4762500" cy="3981450"/>
            <wp:effectExtent t="0" r="0" b="0" l="0"/>
            <wp:docPr id="1" name="fig" descr="Figura do documento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Figura 3 – Fase A: acesso ao sistema (passos 1 a 3).</w:t>
      </w:r>
    </w:p>
    <w:p>
      <w:pPr>
        <w:spacing w:after="120" w:before="0" w:line="290"/>
      </w:pPr>
      <w:r>
        <w:rPr>
          <w:rFonts w:ascii="Arial" w:cs="Arial" w:eastAsia="Arial" w:hAnsi="Arial"/>
          <w:sz w:val="19"/>
          <w:szCs w:val="19"/>
        </w:rPr>
        <w:t xml:space="preserve">Esta fase é feita uma vez por pessoa. Quem já tem acesso começa a partir da fase B.</w:t>
      </w:r>
    </w:p>
    <w:p>
      <w:r>
        <w:br w:type="page"/>
      </w:r>
    </w:p>
    <w:p>
      <w:pPr>
        <w:spacing w:after="80"/>
        <w:jc w:val="center"/>
      </w:pPr>
      <w:r>
        <w:drawing>
          <wp:inline distT="0" distB="0" distL="0" distR="0">
            <wp:extent cx="8382000" cy="5915025"/>
            <wp:effectExtent t="0" r="0" b="0" l="0"/>
            <wp:docPr id="1" name="fig" descr="Figura do documento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0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Figura 4 – Fase B: registro da ocorrência e notificação ao fornecedor (passos 4 a 13).</w:t>
      </w:r>
    </w:p>
    <w:p>
      <w:r>
        <w:br w:type="page"/>
      </w:r>
    </w:p>
    <w:p>
      <w:pPr>
        <w:spacing w:after="80"/>
        <w:jc w:val="center"/>
      </w:pPr>
      <w:r>
        <w:drawing>
          <wp:inline distT="0" distB="0" distL="0" distR="0">
            <wp:extent cx="8001000" cy="5857875"/>
            <wp:effectExtent t="0" r="0" b="0" l="0"/>
            <wp:docPr id="1" name="fig" descr="Figura do documento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0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Figura 5 – Fase C: tratamento, correção e encerramento (passos 13 a 18). Os quadros tracejados mostram ações automáticas do sistema.</w:t>
      </w:r>
    </w:p>
    <w:p>
      <w:r>
        <w:br w:type="page"/>
      </w:r>
    </w:p>
    <w:p>
      <w:pPr>
        <w:spacing w:after="80"/>
        <w:jc w:val="center"/>
      </w:pPr>
      <w:r>
        <w:drawing>
          <wp:inline distT="0" distB="0" distL="0" distR="0">
            <wp:extent cx="8572500" cy="2857500"/>
            <wp:effectExtent t="0" r="0" b="0" l="0"/>
            <wp:docPr id="1" name="fig" descr="Figura do documento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Figura 6 – Fase D: medição mensal e ação de gestão (passos 19 a 24).</w:t>
      </w:r>
    </w:p>
    <w:p>
      <w:pPr>
        <w:pStyle w:val="Heading3"/>
        <w:keepNext/>
        <w:spacing w:after="80" w:before="160"/>
      </w:pPr>
      <w:r>
        <w:rPr>
          <w:rFonts w:ascii="Arial" w:cs="Arial" w:eastAsia="Arial" w:hAnsi="Arial"/>
          <w:b/>
          <w:bCs/>
          <w:color w:val="0B2A4A"/>
          <w:sz w:val="22"/>
          <w:szCs w:val="22"/>
        </w:rPr>
        <w:t xml:space="preserve">Quem faz o quê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500"/>
        <w:gridCol w:w="7638"/>
      </w:tblGrid>
      <w:tr>
        <w:trPr>
          <w:cantSplit/>
          <w:tblHeader/>
        </w:trPr>
        <w:tc>
          <w:tcPr>
            <w:tcW w:type="dxa" w:w="5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Passos</w:t>
            </w:r>
          </w:p>
        </w:tc>
        <w:tc>
          <w:tcPr>
            <w:tcW w:type="dxa" w:w="7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Papel no processo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Itaú – Solicitante e Gestor aprovador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1, 2</w:t>
            </w:r>
          </w:p>
        </w:tc>
        <w:tc>
          <w:tcPr>
            <w:tcW w:type="dxa" w:w="7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Pede e aprova acessos.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Itaú – Operação (Centro de Segurança, Analista, Gestor)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a 8, 14 a 18</w:t>
            </w:r>
          </w:p>
        </w:tc>
        <w:tc>
          <w:tcPr>
            <w:tcW w:type="dxa" w:w="7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Identifica o desvio, registra, acompanha, corrige e encerra.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Itaú – Gestão de Serviços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 a 24</w:t>
            </w:r>
          </w:p>
        </w:tc>
        <w:tc>
          <w:tcPr>
            <w:tcW w:type="dxa" w:w="7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Analisa a pontuação e decide a ação de gestão.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Fornecedor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7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Recebe a notificação, trata e responde.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Novo sistema (automático)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3, 9 a 11, 19, 20</w:t>
            </w:r>
          </w:p>
        </w:tc>
        <w:tc>
          <w:tcPr>
            <w:tcW w:type="dxa" w:w="7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Salva, notifica, confere entrega, fecha o período e calcula.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Stefanini – Sustentação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 (e apoio ao sistema)</w:t>
            </w:r>
          </w:p>
        </w:tc>
        <w:tc>
          <w:tcPr>
            <w:tcW w:type="dxa" w:w="7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Investiga falhas de envio e mantém o sistema funcionando.</w:t>
            </w:r>
          </w:p>
        </w:tc>
      </w:tr>
    </w:tbl>
    <w:p>
      <w:pPr>
        <w:sectPr>
          <w:headerReference w:type="default" r:id="rId9"/>
          <w:footerReference w:type="default" r:id="rId10"/>
          <w:pgSz w:w="16838" w:h="11906" w:orient="landscape"/>
          <w:pgMar w:top="1100" w:right="850" w:bottom="900" w:left="850" w:header="708" w:footer="708" w:gutter="0"/>
          <w:pgNumType/>
          <w:docGrid w:linePitch="360"/>
        </w:sectPr>
      </w:pP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5. Passo a passo de cada etapa</w:t>
      </w:r>
    </w:p>
    <w:p>
      <w:pPr>
        <w:spacing w:after="160" w:before="0" w:line="29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Objetivo desta seção: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explicar cada passo do fluxograma, com a mesma numeração: o que acontece, quem faz, o que entra, o que sai e o que ocorre em caso de erro ou exceção.</w:t>
      </w:r>
    </w:p>
    <w:p>
      <w:pPr>
        <w:spacing w:after="120" w:before="0" w:line="290"/>
      </w:pPr>
      <w:r>
        <w:rPr>
          <w:rFonts w:ascii="Arial" w:cs="Arial" w:eastAsia="Arial" w:hAnsi="Arial"/>
          <w:sz w:val="21"/>
          <w:szCs w:val="21"/>
        </w:rPr>
        <w:t xml:space="preserve">Cada quadro tem o número e o nome do passo, igual ao fluxograma. A linha “Ponto a validar” indica onde o Itaú precisa confirmar uma regra na seção 13.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Fase A – Acesso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1 – Solicitar acesso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Solicitante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pessoa abre o pedido de acesso no sistema e informa o perfil que precisa: Operador, Analista ou Gestor.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Nome, área, função e perfil desejado.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Pedido registrado e enviado ao gestor aprovador.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Campo obrigatório vazio: o sistema avisa e não envia o pedido.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V10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2 – Aprovar acesso? (decisão)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Gestor aprovador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gestor analisa o pedido e decide. Se aprovar, o pedido segue para a liberação (passo 3). Se recusar, informa o motivo.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Pedido de acesso.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Decisão registrada (Aprovado ou Recusado) com data e nome de quem decidiu.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Pedido recusado: o solicitante recebe o motivo por e-mail e o fluxo termina. Gestor sem resposta em 3 dias úteis: o sistema lembra e depois avisa o superior.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V10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3 – Liberar acesso conforme o perfil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Novo sistema (automático)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sistema cria o acesso com as permissões do perfil aprovado. O usuário entra com o login corporativo do Itaú.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Pedido aprovado.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Usuário ativo com o perfil correto. Concessão registrada no histórico.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Falha na integração de login: o pedido fica pendente e a Stefanini é avisada para corrigir.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V10, V26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Fase B – Registro e notificação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4 – Identificar o desvio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Centro de Segurança ou Analista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Uma pessoa percebe que um serviço contratado não foi cumprido: posto sem profissional, equipamento fora do ar, comportamento inadequado ou documento pendente.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Fato observado e evidência disponível (foto, registro, relato).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Decisão de registrar uma ocorrência.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Dúvida sobre se é um desvio: o caso vai para a operação decidir. O Centro de Segurança só registra o que consegue observar (como disponibilidade).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5 – Abrir a ocorrência e escolher polo, categoria e item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Operação (Operador ou Analista)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pessoa abre uma nova ocorrência e escolhe o polo (local), a categoria e o item do serviço. O sistema mostra só opções ativas e já preenche fornecedor e destinatários.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Polo, categoria e item.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Ocorrência em rascunho, ligada ao fornecedor correto.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Sessão perto de expirar: o sistema avisa e guarda o rascunho automaticamente.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V13, V24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6 – Item cadastrado e ativo? (decisão)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Operação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sistema confere se o item existe e está ativo. Se sim, a pessoa segue para o passo 8. Se não, segue para o passo 7.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Item escolhido.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Caminho Sim (passo 8) ou Não (passo 7).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Nenhum item atende ao caso: a pessoa pede a criação do item (passo 7).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V13, V14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7 – Solicitar cadastro ou ativação do item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Analista ou Gestor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Analista pede, e o Gestor aprova, a criação ou a ativação do item. O pedido fica registrado. Depois da liberação, a pessoa volta ao passo 5.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Descrição do item, categoria, tipo e fornecedor.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Item criado ou ativado e disponível para uso.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Pedido recusado: o motivo fica registrado e a pessoa informada. A ocorrência pode ser registrada em outro item aplicável.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V14, V15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8 – Classificar o SLA e descrever o fato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Operação (Operador ou Analista)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pessoa escolhe a classificação do SLA (por exemplo, leve, moderada, grave ou gravíssima) e o status do plano de ação. Depois descreve o fato e anexa as evidências. A descrição é obrigatória.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Fato observado, evidências, regras de classificação.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Ocorrência completa e pronta para salvar.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Descrição vazia ou classificação ausente: o sistema impede o salvamento e indica o campo. Dados pessoais de terceiros só entram nos campos próprios.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V9, V12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9 – Validar e salvar a ocorrência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Novo sistema (automático)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sistema confere os campos obrigatórios, salva a ocorrência e gera um número de identificação (ID) único. O ID serve para consultar a ocorrência e acompanhar o caso.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Ocorrência completa.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Ocorrência salva com ID, data, hora e autor registrados.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Falha ao salvar: nada se perde, o sistema mantém o rascunho e pede para tentar de novo. Duplicidade provável: o sistema alerta antes de salvar.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10 – Notificar o fornecedor por e-mail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Novo sistema (automático)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Ao salvar, o sistema envia ao fornecedor um e-mail padronizado com os dados da ocorrência. Usa a lista oficial de destinatários e registra o envio.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Ocorrência salva e lista de destinatários.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E-mail enviado e registro do envio no histórico.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Fornecedor sem e-mail válido cadastrado: o sistema alerta o responsável antes de enviar.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V7, V26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11 – Entrega do e-mail confirmada? (decisão)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Novo sistema (automático)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sistema confere se o e-mail foi entregue. Se sim, a ocorrência segue ao fornecedor (passo 13). Se não, entra o tratamento de falha (passo 12).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Retorno do serviço de e-mail.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Status da notificação: Enviado, Entregue ou Falhou.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Sem confirmação de entrega em até 15 minutos: o sistema trata como falha.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12 – Reenviar, alertar o Itaú e investigar a falha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Novo sistema e Stefanini – Sustentação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sistema reenvia o e-mail até 3 vezes. Se continuar sem entrega, alerta o responsável do Itaú e abre um chamado para a Stefanini investigar. Nesse caso, o Itaú contata o fornecedor por e-mail e registra o contato no sistema, para ninguém ficar sem aviso.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Notificação com falha.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Notificação entregue, ou contato manual registrado. Causa da falha documentada.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Falha repetida em vários envios: a Stefanini trata como incidente e informa o Itaú.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V6, V22, V28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13 – Receber a notificação e tratar a ocorrência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Fornecedor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fornecedor lê a notificação, corrige o problema na operação e responde ao Itaú com o que foi feito. Se discordar, pode contestar a ocorrência.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E-mail de notificação.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Resposta do fornecedor, com o que foi feito e evidências.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Sem resposta no prazo: o sistema avisa o responsável interno (passo 14) e pode reenviar o aviso ao fornecedor.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V5, V31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Fase C – Tratamento e encerramento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14 – Acompanhar a ocorrência e registrar o retorno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Responsável interno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responsável acompanha o caso e registra na ocorrência o retorno do fornecedor. O sistema lembra o responsável das ocorrências abertas ou vencidas, por e-mail ou painel.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Resposta do fornecedor e prazos.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Ocorrência atualizada, com histórico do que aconteceu.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Responsável ausente: o substituto assume e recebe os lembretes.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V1, V4, V11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15 – Algum dado foi registrado errado? (decisão)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Responsável interno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responsável confere se há erro na ocorrência: fornecedor, item, destinatário ou descrição. Se houver, segue para o passo 16. Se não, segue para o passo 17.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Ocorrência e retorno do fornecedor.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Caminho Sim (passo 16) ou Não (passo 17).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V8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16 – Corrigir a ocorrência (ou marcá-la como indevida)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Responsável interno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responsável corrige o dado. Se mudar o fornecedor, o item ou o destinatário, o sistema oferece reenviar a notificação. O fornecedor anterior recebe um aviso de desconsideração. Se a ocorrência não deveria existir, o responsável a marca como Aberta indevidamente, e ela deixa de contar na medição.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Dado correto e justificativa.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Ocorrência corrigida, nova notificação enviada e histórico antes/depois.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Correção sem justificativa: o sistema não grava. Perfil sem permissão: o pedido vai ao gestor.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V8, V11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17 – Motivo tratado e com evidência? (decisão)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Responsável interno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responsável decide se o problema foi resolvido e se há evidência. Se sim, segue para o encerramento (passo 18). Se não, a ocorrência continua aberta e volta ao passo 14.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Retorno do fornecedor e evidências.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Caminho Sim (passo 18) ou Não (volta ao passo 14).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Ocorrência aberta passa do prazo: aparece como vencida e entra no painel da Gestão de Serviços. Enquanto aberta, não entra na medição.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V2, V4, V18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18 – Encerrar a ocorrência com status final, motivo e evidência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Responsável interno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responsável escolhe o status final e informa o motivo e a evidência do encerramento. Esses campos são obrigatórios. O sistema registra autor, data e hora e libera a ocorrência para a medição.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Status final, motivo e evidência.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Ocorrência Finalizada, com histórico completo.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Campo obrigatório vazio: o sistema impede o encerramento. Encerramento por outra pessoa exige justificativa registrada.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V2, V3, V11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Fase D – Medição mensal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19 – Fechar o período do mês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Novo sistema (automático)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 data de corte, o sistema fecha o período. Reúne as ocorrências finalizadas do mês e lista as que ainda estão abertas, para a Gestão de Serviços saber o que ficou de fora.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Ocorrências do período e data de corte.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Base do mês congelada e lista de ocorrências abertas.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Ocorrência finalizada depois do corte: entra no mês seguinte, conforme a regra de competência.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V16, V18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20 – Calcular a pontuação de cada fornecedor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Novo sistema (automático)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sistema aplica a tabela de pontuação vigente de cada contrato e calcula a pontuação por fornecedor. Gera também o quadro de saúde dos fornecedores. Substitui a planilha de Excel usada hoje.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Ocorrências finalizadas e tabela de pontuação.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Pontuação por fornecedor e quadro de saúde.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Tabela de pontuação ausente ou vencida: o sistema bloqueia o cálculo e avisa o administrador.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V17, V19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21 – Analisar o quadro de saúde dos fornecedores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Gestão de Serviços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Gestão de Serviços revisa a pontuação, o histórico e as ocorrências ainda abertas de cada fornecedor.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Quadro de saúde e lista de ocorrências abertas.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Conclusão da análise para cada fornecedor.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Dúvida sobre uma ocorrência: a Gestão de Serviços volta à ocorrência e pede ajuste ao responsável.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V18, V19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22 – Há ação de gestão necessária? (decisão)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Gestão de Serviços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Gestão de Serviços decide se o resultado pede ação. Se sim, segue para o passo 23. Se não, vai ao passo 24 e registra “sem ação”.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Conclusão da análise e faixas contratuais.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Caminho Sim (passo 23) ou Não (passo 24).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V17, V20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23 – Definir e aprovar a ação conforme a alçada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Gestão de Serviços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Gestão de Serviços escolhe a ação: orientação ou reunião, advertência, ajuste operacional, escalonamento ou processo de rescisão. A ação é aprovada por quem tem alçada.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Resultado do fornecedor e regras contratuais.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Ação aprovada, com responsável e data.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Aprovação pendente: o sistema lembra o aprovador e mostra a pendência no painel.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V20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9638"/>
            <w:gridSpan w:val="2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 24 – Registrar o resultado e comunicar os envolvidos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Quem faz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– Gestão de Serviços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Gestão de Serviços registra a ação (ou “sem ação”) no sistema e comunica os envolvidos. O ciclo do mês termina.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Ação aprovada ou decisão de não agir.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 que sai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Resultado do mês registrado, com histórico e relatório.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 houver erro ou exceção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Erro no registro: o sistema mantém o rascunho e a Gestão de Serviços repete o passo.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a validar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V20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6. Exemplo prático de ponta a ponta</w:t>
      </w:r>
    </w:p>
    <w:p>
      <w:pPr>
        <w:spacing w:after="160" w:before="0" w:line="29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Objetivo desta seção: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mostrar um caso do dia a dia percorrendo todo o fluxo, do início ao fim, incluindo duas exceções.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F1FA" w:sz="4"/>
              <w:left w:val="single" w:color="2F6DB5" w:sz="24"/>
              <w:bottom w:val="single" w:color="EAF1FA" w:sz="4"/>
              <w:right w:val="single" w:color="EAF1FA" w:sz="4"/>
            </w:tcBorders>
            <w:shd w:fill="EAF1FA" w:color="auto" w:val="clear"/>
            <w:tcMar>
              <w:top w:type="dxa" w:w="100"/>
              <w:left w:type="dxa" w:w="16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6DB5"/>
                <w:sz w:val="21"/>
                <w:szCs w:val="21"/>
              </w:rPr>
              <w:t xml:space="preserve">Aviso</w:t>
            </w:r>
          </w:p>
          <w:p>
            <w:pPr>
              <w:spacing w:after="60" w:line="27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Os nomes, datas e pontos abaixo são fictícios e servem só para ilustrar. A pontuação real depende da tabela contratual do Itaú (V17).</w:t>
            </w:r>
          </w:p>
        </w:tc>
      </w:tr>
    </w:tbl>
    <w:p>
      <w:pPr>
        <w:spacing w:after="120"/>
      </w:pPr>
    </w:p>
    <w:p>
      <w:pPr>
        <w:spacing w:after="120" w:before="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Situação:</w:t>
      </w:r>
      <w:r>
        <w:rPr>
          <w:rFonts w:ascii="Arial" w:cs="Arial" w:eastAsia="Arial" w:hAnsi="Arial"/>
          <w:sz w:val="21"/>
          <w:szCs w:val="21"/>
        </w:rPr>
        <w:t xml:space="preserve"> em 12/01/2027, às 02h40, o Centro de Segurança nota que o posto de portaria da Torre B do Polo Exemplo está sem profissional. O serviço é prestado pelo Fornecedor Exemplo 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7138"/>
      </w:tblGrid>
      <w:tr>
        <w:trPr>
          <w:cantSplit/>
          <w:tblHeader/>
        </w:trPr>
        <w:tc>
          <w:tcPr>
            <w:tcW w:type="dxa" w:w="1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1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Passo</w:t>
            </w:r>
          </w:p>
        </w:tc>
        <w:tc>
          <w:tcPr>
            <w:tcW w:type="dxa" w:w="7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Dez/2026</w:t>
            </w:r>
          </w:p>
        </w:tc>
        <w:tc>
          <w:tcPr>
            <w:tcW w:type="dxa" w:w="1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a 3</w:t>
            </w:r>
          </w:p>
        </w:tc>
        <w:tc>
          <w:tcPr>
            <w:tcW w:type="dxa" w:w="7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Marina, analista do Itaú, pede acesso como Analista. O gestor aprova. O sistema libera o acesso com o login corporativo.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12/01 02h40</w:t>
            </w:r>
          </w:p>
        </w:tc>
        <w:tc>
          <w:tcPr>
            <w:tcW w:type="dxa" w:w="1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João, do Centro de Segurança, vê que o posto está vazio e tem a imagem da câmera como prova.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12/01 02h45</w:t>
            </w:r>
          </w:p>
        </w:tc>
        <w:tc>
          <w:tcPr>
            <w:tcW w:type="dxa" w:w="1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5, 6</w:t>
            </w:r>
          </w:p>
        </w:tc>
        <w:tc>
          <w:tcPr>
            <w:tcW w:type="dxa" w:w="7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João abre uma ocorrência e escolhe polo, categoria “Postos” e item “Portaria Torre B”. O item está ativo.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12/01 02h50</w:t>
            </w:r>
          </w:p>
        </w:tc>
        <w:tc>
          <w:tcPr>
            <w:tcW w:type="dxa" w:w="1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João classifica o desvio como “Grave”, descreve o fato e anexa a imagem. O sistema não deixa salvar sem a descrição.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12/01 02h52</w:t>
            </w:r>
          </w:p>
        </w:tc>
        <w:tc>
          <w:tcPr>
            <w:tcW w:type="dxa" w:w="1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sistema salva e gera o ID 2027-000123.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12/01 02h52</w:t>
            </w:r>
          </w:p>
        </w:tc>
        <w:tc>
          <w:tcPr>
            <w:tcW w:type="dxa" w:w="1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10, 11</w:t>
            </w:r>
          </w:p>
        </w:tc>
        <w:tc>
          <w:tcPr>
            <w:tcW w:type="dxa" w:w="7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sistema envia o e-mail ao Fornecedor Exemplo A. O primeiro envio não tem entrega confirmada.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12/01 03h07</w:t>
            </w:r>
          </w:p>
        </w:tc>
        <w:tc>
          <w:tcPr>
            <w:tcW w:type="dxa" w:w="1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7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Exceção 1: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o sistema reenviou o e-mail e a segunda tentativa foi entregue. O responsável recebe aviso do reenvio e o histórico registra as duas tentativas.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12/01 08h00</w:t>
            </w:r>
          </w:p>
        </w:tc>
        <w:tc>
          <w:tcPr>
            <w:tcW w:type="dxa" w:w="1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7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fornecedor lê a notificação, manda um profissional ao posto e responde por e-mail.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12/01 09h30</w:t>
            </w:r>
          </w:p>
        </w:tc>
        <w:tc>
          <w:tcPr>
            <w:tcW w:type="dxa" w:w="1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14, 15</w:t>
            </w:r>
          </w:p>
        </w:tc>
        <w:tc>
          <w:tcPr>
            <w:tcW w:type="dxa" w:w="7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Marina registra o retorno. Ao conferir, percebe que o posto pertence ao Fornecedor Exemplo B.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12/01 09h40</w:t>
            </w:r>
          </w:p>
        </w:tc>
        <w:tc>
          <w:tcPr>
            <w:tcW w:type="dxa" w:w="1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7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Exceção 2: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Marina corrige o fornecedor e informa o motivo. O sistema avisa o Fornecedor A de que a ocorrência foi desconsiderada e notifica o Fornecedor B. O histórico guarda o antes e o depois.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13/01 10h00</w:t>
            </w:r>
          </w:p>
        </w:tc>
        <w:tc>
          <w:tcPr>
            <w:tcW w:type="dxa" w:w="1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13, 14</w:t>
            </w:r>
          </w:p>
        </w:tc>
        <w:tc>
          <w:tcPr>
            <w:tcW w:type="dxa" w:w="7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Fornecedor B responde com a escala corrigida.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14/01</w:t>
            </w:r>
          </w:p>
        </w:tc>
        <w:tc>
          <w:tcPr>
            <w:tcW w:type="dxa" w:w="1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17, 18</w:t>
            </w:r>
          </w:p>
        </w:tc>
        <w:tc>
          <w:tcPr>
            <w:tcW w:type="dxa" w:w="7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Marina confirma que o motivo foi tratado, anexa a escala como evidência e encerra a ocorrência com status Finalizada.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31/01 (corte)</w:t>
            </w:r>
          </w:p>
        </w:tc>
        <w:tc>
          <w:tcPr>
            <w:tcW w:type="dxa" w:w="1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19, 20</w:t>
            </w:r>
          </w:p>
        </w:tc>
        <w:tc>
          <w:tcPr>
            <w:tcW w:type="dxa" w:w="7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sistema fecha o mês. A ocorrência 2027-000123 entra na pontuação do Fornecedor B. O sistema lista duas ocorrências ainda abertas, que não pontuam. Para este exemplo, o Fornecedor B soma 12 pontos.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Início de fev</w:t>
            </w:r>
          </w:p>
        </w:tc>
        <w:tc>
          <w:tcPr>
            <w:tcW w:type="dxa" w:w="1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 a 24</w:t>
            </w:r>
          </w:p>
        </w:tc>
        <w:tc>
          <w:tcPr>
            <w:tcW w:type="dxa" w:w="7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Gestão de Serviços analisa o quadro. Pela tabela fictícia, 12 pontos pedem “orientação formal”. A ação é aprovada, registrada e comunicada ao fornecedor. O ciclo termina.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7. Integrações com sistemas e fontes de dados do Itaú</w:t>
      </w:r>
    </w:p>
    <w:p>
      <w:pPr>
        <w:spacing w:after="160" w:before="0" w:line="29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Objetivo desta seção: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listar os sistemas e as fontes de dados com que o novo sistema se conectará e explicar para que serve cada ligação.</w:t>
      </w:r>
    </w:p>
    <w:p>
      <w:pPr>
        <w:spacing w:after="120" w:before="0" w:line="290"/>
      </w:pPr>
      <w:r>
        <w:rPr>
          <w:rFonts w:ascii="Arial" w:cs="Arial" w:eastAsia="Arial" w:hAnsi="Arial"/>
          <w:sz w:val="21"/>
          <w:szCs w:val="21"/>
        </w:rPr>
        <w:t xml:space="preserve">Uma integração evita digitar a mesma informação duas vezes e reduz erros. A coluna “Situação” mostra o que já está claro e o que o Itaú precisa confirmar.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2200"/>
        <w:gridCol w:w="2138"/>
      </w:tblGrid>
      <w:tr>
        <w:trPr>
          <w:cantSplit/>
          <w:tblHeader/>
        </w:trP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Integração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que serve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troca</w:t>
            </w:r>
          </w:p>
        </w:tc>
        <w:tc>
          <w:tcPr>
            <w:tcW w:type="dxa" w:w="2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Login corporativo (SSO)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Entrar com o acesso usado no Itaú e aplicar os perfis.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Identidade do usuário e perfil.</w:t>
            </w:r>
          </w:p>
        </w:tc>
        <w:tc>
          <w:tcPr>
            <w:tcW w:type="dxa" w:w="2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 confirmar (V26)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Serviço de e-mail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Enviar notificações, lembretes e avisos, e saber se foram entregues.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E-mail enviado; retorno de entrega.</w:t>
            </w:r>
          </w:p>
        </w:tc>
        <w:tc>
          <w:tcPr>
            <w:tcW w:type="dxa" w:w="2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Em uso no Thanos; a confirmar o remetente (V26)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Cadastro oficial de RGI, polos e postos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Usar uma única fonte para prédios, polos e postos.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Lista de polos, RGI, torres, andares e postos.</w:t>
            </w:r>
          </w:p>
        </w:tc>
        <w:tc>
          <w:tcPr>
            <w:tcW w:type="dxa" w:w="2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 confirmar (V13)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Cadastro de fornecedores e contratos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Preencher fornecedor, destinatários e tabela de pontuação por contrato.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Fornecedores, contatos, contratos e vigência.</w:t>
            </w:r>
          </w:p>
        </w:tc>
        <w:tc>
          <w:tcPr>
            <w:tcW w:type="dxa" w:w="2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 confirmar (V7, V13, V17)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Cadastro de pessoas e documentos de terceiros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Relacionar pessoa, posto e documento quando a ocorrência for de documentação.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Dados mínimos de terceiros.</w:t>
            </w:r>
          </w:p>
        </w:tc>
        <w:tc>
          <w:tcPr>
            <w:tcW w:type="dxa" w:w="2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Depende do escopo de terceiros (V12)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Teams (opcional)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Enviar lembretes além do e-mail.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Mensagem de lembrete.</w:t>
            </w:r>
          </w:p>
        </w:tc>
        <w:tc>
          <w:tcPr>
            <w:tcW w:type="dxa" w:w="2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Opcional; a confirmar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Relatórios e exportação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Levar dados para os relatórios e para a análise da Gestão de Serviços.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Dados de ocorrências e pontuação.</w:t>
            </w:r>
          </w:p>
        </w:tc>
        <w:tc>
          <w:tcPr>
            <w:tcW w:type="dxa" w:w="2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 confirmar a ferramenta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Repositório de logs do Itaú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Guardar o histórico de auditoria no padrão do Itaú.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Registros de auditoria.</w:t>
            </w:r>
          </w:p>
        </w:tc>
        <w:tc>
          <w:tcPr>
            <w:tcW w:type="dxa" w:w="2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 confirmar (V21)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Thanos (origem da migração)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Ler os cadastros e o histórico para levar ao novo sistema.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Cadastros e ocorrências.</w:t>
            </w:r>
          </w:p>
        </w:tc>
        <w:tc>
          <w:tcPr>
            <w:tcW w:type="dxa" w:w="2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Necessário para a migração (V29)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Monitoração de equipamentos e câmeras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Abrir ocorrências automaticamente no futuro.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Fora desta entrega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8. Requisitos não funcionais</w:t>
      </w:r>
    </w:p>
    <w:p>
      <w:pPr>
        <w:spacing w:after="160" w:before="0" w:line="29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Objetivo desta seção: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explicar, em linguagem simples, como o sistema deve se comportar em segurança, desempenho, disponibilidade e auditoria, além de funcionar corretamente.</w:t>
      </w:r>
    </w:p>
    <w:p>
      <w:pPr>
        <w:spacing w:after="120" w:before="0" w:line="290"/>
      </w:pPr>
      <w:r>
        <w:rPr>
          <w:rFonts w:ascii="Arial" w:cs="Arial" w:eastAsia="Arial" w:hAnsi="Arial"/>
          <w:sz w:val="21"/>
          <w:szCs w:val="21"/>
        </w:rPr>
        <w:t xml:space="preserve">As metas abaixo são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propostas da Stefanini</w:t>
      </w:r>
      <w:r>
        <w:rPr>
          <w:rFonts w:ascii="Arial" w:cs="Arial" w:eastAsia="Arial" w:hAnsi="Arial"/>
          <w:sz w:val="21"/>
          <w:szCs w:val="21"/>
        </w:rPr>
        <w:t xml:space="preserve"> e precisam da confirmação do Itaú. Onde o Itaú já tiver um padrão, o padrão do Itaú prevalece.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638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Meta proposta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Segurança de acesso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Só pessoas autorizadas entram. Cada pessoa vê e faz só o que seu perfil permite.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Login corporativo; perfis Operador, Analista e Gestor; revisão periódica dos acessos.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Sessão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 sistema não deixa o acesso aberto sem uso e não faz a pessoa perder o trabalho.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Expira em 30 minutos sem uso, com aviso 5 minutos antes e rascunho salvo (V24).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Proteção dos dados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Os dados ficam protegidos quando trafegam e quando estão guardados.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Criptografia em trânsito e em repouso; dados pessoais só nos campos próprios (V12).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Aderência às políticas do Itaú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 sistema segue as regras de segurança, privacidade e terceiros do Itaú.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Revisão das políticas aplicáveis na fase de desenho e teste de segurança antes da entrada em produção.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Desempenho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As telas respondem rápido, mesmo com ocorrências finalizadas.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Consultas e telas em até 3 segundos em 95% dos acessos, com o volume histórico migrado.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Capacidade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 sistema aguenta o volume atual e o crescimento.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Volume a levantar com o Itaú; teste de carga em homologação.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 sistema está no ar quando as pessoas precisam.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99,5% por mês, em dias úteis, das 7h às 20h (a confirmar).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Cópia de segurança e recuperação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 algo der errado, os dados voltam.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Cópia diária; recuperação em até 4 horas e perda máxima de dados de 24 horas (a confirmar).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Logs e auditoria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Tudo que importa fica registrado e é fácil de ler.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Quem, quando, o quê, antes e depois e motivo, em tela amigável; retenção pelo prazo do Itaú (V21).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Entrega de e-mails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As notificações chegam e há prova disso.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Status por e-mail, 3 tentativas e alerta em caso de falha (V6).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Facilidade de uso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Fácil para quem usa pouco o sistema.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Telas em português, campos obrigatórios claros e funciona nos navegadores corporativos do Itaú.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Sustentação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Alguém cuida do sistema depois da entrega.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Responsável, canal, horários e prazos de atendimento acordados (V22).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9. Estratégia de migração e convivência com o Thanos</w:t>
      </w:r>
    </w:p>
    <w:p>
      <w:pPr>
        <w:spacing w:after="160" w:before="0" w:line="29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Objetivo desta seção: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explicar como a Stefanini levará os dados do Thanos ao novo sistema, como os dois sistemas conviverão e como o Thanos será desligado, sem interromper o trabalho do Itaú.</w:t>
      </w:r>
    </w:p>
    <w:p>
      <w:pPr>
        <w:pStyle w:val="Heading3"/>
        <w:keepNext/>
        <w:spacing w:after="80" w:before="160"/>
      </w:pPr>
      <w:r>
        <w:rPr>
          <w:rFonts w:ascii="Arial" w:cs="Arial" w:eastAsia="Arial" w:hAnsi="Arial"/>
          <w:b/>
          <w:bCs/>
          <w:color w:val="0B2A4A"/>
          <w:sz w:val="22"/>
          <w:szCs w:val="22"/>
        </w:rPr>
        <w:t xml:space="preserve">Etapas da migração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238"/>
        <w:gridCol w:w="2200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será feito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(proposta)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Preparação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Mapear os dados do Thanos, limpar inconsistências e definir o que migrar (V29).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Nov/2026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Cadastros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Levar polos, categorias, tipos, itens, fornecedores e regras de SLA.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Dez/2026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Ensaios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Fazer duas cargas de teste e conferir os totais com o Itaú.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Dez/2026 a jan/2027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4. Corte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Congelar o Thanos para novos registros e fazer a carga final: histórico e ocorrências abertas.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 a 21/01/2027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 Convivência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Novas ocorrências só no novo sistema. O Thanos fica somente para consulta.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 a 28/01/2027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6. Desligamento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aprova, o Thanos é desligado e seus dados são arquivados.</w:t>
            </w:r>
          </w:p>
        </w:tc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29/01/2027</w:t>
            </w:r>
          </w:p>
        </w:tc>
      </w:tr>
    </w:tbl>
    <w:p>
      <w:pPr>
        <w:pStyle w:val="Heading3"/>
        <w:keepNext/>
        <w:spacing w:after="80" w:before="160"/>
      </w:pPr>
      <w:r>
        <w:rPr>
          <w:rFonts w:ascii="Arial" w:cs="Arial" w:eastAsia="Arial" w:hAnsi="Arial"/>
          <w:b/>
          <w:bCs/>
          <w:color w:val="0B2A4A"/>
          <w:sz w:val="22"/>
          <w:szCs w:val="22"/>
        </w:rPr>
        <w:t xml:space="preserve">Como os dois sistemas convivem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Assunto</w:t>
            </w:r>
          </w:p>
        </w:tc>
        <w:tc>
          <w:tcPr>
            <w:tcW w:type="dxa" w:w="6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proposta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Novas ocorrências</w:t>
            </w:r>
          </w:p>
        </w:tc>
        <w:tc>
          <w:tcPr>
            <w:tcW w:type="dxa" w:w="6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Só no novo sistema, a partir do go-live. O Thanos não recebe mais registros.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Ocorrências abertas no Thanos</w:t>
            </w:r>
          </w:p>
        </w:tc>
        <w:tc>
          <w:tcPr>
            <w:tcW w:type="dxa" w:w="6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Migradas na carga final e encerradas no novo sistema (V29).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Consulta ao histórico</w:t>
            </w:r>
          </w:p>
        </w:tc>
        <w:tc>
          <w:tcPr>
            <w:tcW w:type="dxa" w:w="6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Consulta no Thanos durante a convivência e no novo sistema, para o que foi migrado.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Medição de dezembro/2026</w:t>
            </w:r>
          </w:p>
        </w:tc>
        <w:tc>
          <w:tcPr>
            <w:tcW w:type="dxa" w:w="6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Recalculada no novo sistema e comparada com a planilha atual. As diferenças são explicadas ao Itaú antes do aceite.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Notificações</w:t>
            </w:r>
          </w:p>
        </w:tc>
        <w:tc>
          <w:tcPr>
            <w:tcW w:type="dxa" w:w="6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Passam a sair apenas do novo sistema.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Acessos</w:t>
            </w:r>
          </w:p>
        </w:tc>
        <w:tc>
          <w:tcPr>
            <w:tcW w:type="dxa" w:w="6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Usuários do Thanos recebem acesso no novo sistema antes do go-live, por perfil.</w:t>
            </w:r>
          </w:p>
        </w:tc>
      </w:tr>
    </w:tbl>
    <w:p>
      <w:pPr>
        <w:pStyle w:val="Heading3"/>
        <w:keepNext/>
        <w:spacing w:after="80" w:before="160"/>
      </w:pPr>
      <w:r>
        <w:rPr>
          <w:rFonts w:ascii="Arial" w:cs="Arial" w:eastAsia="Arial" w:hAnsi="Arial"/>
          <w:b/>
          <w:bCs/>
          <w:color w:val="0B2A4A"/>
          <w:sz w:val="22"/>
          <w:szCs w:val="22"/>
        </w:rPr>
        <w:t xml:space="preserve">Se algo der errado (volta ao Thanos)</w:t>
      </w:r>
    </w:p>
    <w:p>
      <w:pPr>
        <w:spacing w:after="120" w:before="0" w:line="290"/>
      </w:pPr>
      <w:r>
        <w:rPr>
          <w:rFonts w:ascii="Arial" w:cs="Arial" w:eastAsia="Arial" w:hAnsi="Arial"/>
          <w:sz w:val="21"/>
          <w:szCs w:val="21"/>
        </w:rPr>
        <w:t xml:space="preserve">Se houver falha grave nos primeiros cinco dias úteis, o Itaú e a Stefanini decidem juntos voltar a usar o Thanos. Por isso o Thanos só é desligado depois do aceite do Itaú. Os critérios de volta serão acordados na homologação.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6E0" w:sz="4"/>
              <w:left w:val="single" w:color="B7791F" w:sz="24"/>
              <w:bottom w:val="single" w:color="FFF6E0" w:sz="4"/>
              <w:right w:val="single" w:color="FFF6E0" w:sz="4"/>
            </w:tcBorders>
            <w:shd w:fill="FFF6E0" w:color="auto" w:val="clear"/>
            <w:tcMar>
              <w:top w:type="dxa" w:w="100"/>
              <w:left w:type="dxa" w:w="16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791F"/>
                <w:sz w:val="21"/>
                <w:szCs w:val="21"/>
              </w:rPr>
              <w:t xml:space="preserve">Atenção ao prazo</w:t>
            </w:r>
          </w:p>
          <w:p>
            <w:pPr>
              <w:spacing w:after="60" w:line="27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convivência tem apenas oito dias entre o go-live (21/01) e o desligamento (29/01). O primeiro fechamento mensal real do novo sistema só acontece no fim de janeiro. Por isso a medição de dezembro será recalculada em paralelo. Confirme este desenho no ponto V30.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10. Cronograma macro até 29/01/2027</w:t>
      </w:r>
    </w:p>
    <w:p>
      <w:pPr>
        <w:spacing w:after="160" w:before="0" w:line="29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Objetivo desta seção: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mostrar as grandes etapas do projeto até 29/01/2027 e destacar as datas em que o Itaú precisa validar ou fornecer informações.</w:t>
      </w:r>
    </w:p>
    <w:p>
      <w:pPr>
        <w:spacing w:after="120" w:before="0" w:line="290"/>
      </w:pPr>
      <w:r>
        <w:rPr>
          <w:rFonts w:ascii="Arial" w:cs="Arial" w:eastAsia="Arial" w:hAnsi="Arial"/>
          <w:sz w:val="21"/>
          <w:szCs w:val="21"/>
        </w:rPr>
        <w:t xml:space="preserve">As datas são propostas e devem ser confirmadas na validação. Linhas em destaque exigem ação do Itaú.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38"/>
        <w:gridCol w:w="2000"/>
      </w:tblGrid>
      <w:tr>
        <w:trPr>
          <w:cantSplit/>
          <w:tblHeader/>
        </w:trPr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Marco ou atividade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05/11/2026</w:t>
            </w:r>
          </w:p>
        </w:tc>
        <w:tc>
          <w:tcPr>
            <w:tcW w:type="dxa" w:w="5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Envio desta documentação ao Itaú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Stefanini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19/11/2026</w:t>
            </w:r>
          </w:p>
        </w:tc>
        <w:tc>
          <w:tcPr>
            <w:tcW w:type="dxa" w:w="5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Itaú devolve a validação do fluxo e as respostas dos pontos da seção 13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26/11/2026</w:t>
            </w:r>
          </w:p>
        </w:tc>
        <w:tc>
          <w:tcPr>
            <w:tcW w:type="dxa" w:w="5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Itaú entrega os insumos: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destinatários por fornecedor, matriz de classificação, tabela de pontuação, cadastros oficiais, acessos aos ambientes e contatos técnicos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30/11/2026</w:t>
            </w:r>
          </w:p>
        </w:tc>
        <w:tc>
          <w:tcPr>
            <w:tcW w:type="dxa" w:w="5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Aceite do fluxo e congelamento do escopo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 e Stefanini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30/11 a 18/12</w:t>
            </w:r>
          </w:p>
        </w:tc>
        <w:tc>
          <w:tcPr>
            <w:tcW w:type="dxa" w:w="5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Construção, etapa 1: acesso, cadastros, ocorrência e notificação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Stefanini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21/12/2026</w:t>
            </w:r>
          </w:p>
        </w:tc>
        <w:tc>
          <w:tcPr>
            <w:tcW w:type="dxa" w:w="5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Demonstração da etapa 1 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validação intermediária do Itaú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04/01 a 15/01/2027</w:t>
            </w:r>
          </w:p>
        </w:tc>
        <w:tc>
          <w:tcPr>
            <w:tcW w:type="dxa" w:w="5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Construção, etapa 2: tratamento, encerramento, medição, relatórios e migração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Stefanini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12/01 a 20/01/2027</w:t>
            </w:r>
          </w:p>
        </w:tc>
        <w:tc>
          <w:tcPr>
            <w:tcW w:type="dxa" w:w="5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Homologação pelo Itaú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com ocorrências reais de amostra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 a 21/01/2027</w:t>
            </w:r>
          </w:p>
        </w:tc>
        <w:tc>
          <w:tcPr>
            <w:tcW w:type="dxa" w:w="5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Carga final do Thanos e entrada em produção (go-live)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Stefanini e Itaú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 a 28/01/2027</w:t>
            </w:r>
          </w:p>
        </w:tc>
        <w:tc>
          <w:tcPr>
            <w:tcW w:type="dxa" w:w="5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Convivência e operação assistida; recálculo da medição de dezembro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Stefanini e Itaú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28/01/2027</w:t>
            </w:r>
          </w:p>
        </w:tc>
        <w:tc>
          <w:tcPr>
            <w:tcW w:type="dxa" w:w="5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Itaú aprova o desligamento do Thanos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Itaú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29/01/2027</w:t>
            </w:r>
          </w:p>
        </w:tc>
        <w:tc>
          <w:tcPr>
            <w:tcW w:type="dxa" w:w="5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Encerramento do projeto e desligamento do Thanos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Stefanini e Itaú</w:t>
            </w:r>
          </w:p>
        </w:tc>
      </w:tr>
    </w:tbl>
    <w:p>
      <w:pPr>
        <w:spacing w:after="100"/>
      </w:pPr>
    </w:p>
    <w:p>
      <w:pPr>
        <w:spacing w:after="120" w:before="0" w:line="2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Atenção:</w:t>
      </w:r>
      <w:r>
        <w:rPr>
          <w:rFonts w:ascii="Arial" w:cs="Arial" w:eastAsia="Arial" w:hAnsi="Arial"/>
          <w:sz w:val="20"/>
          <w:szCs w:val="20"/>
        </w:rPr>
        <w:t xml:space="preserve"> o fim do ano reduz a disponibilidade de pessoas. Pedimos que o Itaú indique, até 19/11, quem valida e aprova durante o recesso de fim de ano.</w:t>
      </w:r>
    </w:p>
    <w:p>
      <w:r>
        <w:br w:type="page"/>
      </w: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11. Riscos</w:t>
      </w:r>
    </w:p>
    <w:p>
      <w:pPr>
        <w:spacing w:after="160" w:before="0" w:line="29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Objetivo desta seção: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apresentar os principais riscos do projeto, o impacto de cada um e como responderemos: mitigar (reduzir), aceitar, transferir ou evitar.</w:t>
      </w:r>
    </w:p>
    <w:p>
      <w:pPr>
        <w:spacing w:after="120" w:before="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Probabilidade e impacto:</w:t>
      </w:r>
      <w:r>
        <w:rPr>
          <w:rFonts w:ascii="Arial" w:cs="Arial" w:eastAsia="Arial" w:hAnsi="Arial"/>
          <w:sz w:val="21"/>
          <w:szCs w:val="21"/>
        </w:rPr>
        <w:t xml:space="preserve"> A = alto, M = médio, B = baixo.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1100"/>
        <w:gridCol w:w="1100"/>
        <w:gridCol w:w="3838"/>
      </w:tblGrid>
      <w:tr>
        <w:trPr>
          <w:cantSplit/>
          <w:tblHeader/>
        </w:trPr>
        <w:tc>
          <w:tcPr>
            <w:tcW w:type="dxa" w:w="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Prob. / Impacto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3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R1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 prazo é curto (cerca de 13 semanas) para o escopo.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 / A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Mitigar</w:t>
            </w:r>
          </w:p>
        </w:tc>
        <w:tc>
          <w:tcPr>
            <w:tcW w:type="dxa" w:w="3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Entregar por etapas, congelar o escopo em 30/11 e tratar o que não for essencial como evolução.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R2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Atraso do Itaú em validações e insumos.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 / A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Mitigar</w:t>
            </w:r>
          </w:p>
        </w:tc>
        <w:tc>
          <w:tcPr>
            <w:tcW w:type="dxa" w:w="3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Datas de marco no cronograma, lembretes e escalonamento ao gestor do Itaú.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R3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Regras ainda não confirmadas (status, encerramento, pontuação).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 / A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Mitigar</w:t>
            </w:r>
          </w:p>
        </w:tc>
        <w:tc>
          <w:tcPr>
            <w:tcW w:type="dxa" w:w="3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Seção 13 com prazo de resposta e reunião de esclarecimento, se preciso.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R4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Dados do Thanos com erros ou duplicidades.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 / M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Mitigar</w:t>
            </w:r>
          </w:p>
        </w:tc>
        <w:tc>
          <w:tcPr>
            <w:tcW w:type="dxa" w:w="3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Limpeza prévia, duas cargas de teste e conferência de totais.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R5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Liberação tardia de acessos, ambientes e integrações (login, e-mail, cadastros).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 / A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Transferir</w:t>
            </w:r>
          </w:p>
        </w:tc>
        <w:tc>
          <w:tcPr>
            <w:tcW w:type="dxa" w:w="3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Responsabilidade do Itaú, com contato técnico indicado até 26/11. Sem a liberação, o prazo da integração se move.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R6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Provedor de e-mail bloqueia ou atrasa mensagens.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 / M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Mitigar</w:t>
            </w:r>
          </w:p>
        </w:tc>
        <w:tc>
          <w:tcPr>
            <w:tcW w:type="dxa" w:w="3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Remetente oficial do Itaú, testes de entrega e alerta de falha.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R7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Fornecedores demoram a responder ou resistem ao novo e-mail.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 / B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Aceitar</w:t>
            </w:r>
          </w:p>
        </w:tc>
        <w:tc>
          <w:tcPr>
            <w:tcW w:type="dxa" w:w="3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Comunicação do Itaú aos fornecedores e lembretes automáticos. O risco é aceito, pois depende do fornecedor.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R8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Convivência curta e primeiro fechamento só após 29/01.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 / M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Mitigar</w:t>
            </w:r>
          </w:p>
        </w:tc>
        <w:tc>
          <w:tcPr>
            <w:tcW w:type="dxa" w:w="3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Recalcular dezembro/2026 em paralelo e comparar com a planilha atual.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R9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Pessoas-chave indisponíveis no recesso de fim de ano.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 / M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Aceitar</w:t>
            </w:r>
          </w:p>
        </w:tc>
        <w:tc>
          <w:tcPr>
            <w:tcW w:type="dxa" w:w="3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Indicar substitutos até 19/11. Se faltarem, o cronograma é revisto.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R10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Dependência de uma só pessoa do Itaú para as regras.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 / M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Mitigar</w:t>
            </w:r>
          </w:p>
        </w:tc>
        <w:tc>
          <w:tcPr>
            <w:tcW w:type="dxa" w:w="3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Nomear um segundo validador e registrar as decisões.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R11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Dados pessoais de terceiros fora do padrão da LGPD.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 / A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Mitigar</w:t>
            </w:r>
          </w:p>
        </w:tc>
        <w:tc>
          <w:tcPr>
            <w:tcW w:type="dxa" w:w="3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Campos próprios, mínimo necessário e validação com Privacidade do Itaú (V12).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R12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Lentidão com o volume histórico.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 / A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Mitigar</w:t>
            </w:r>
          </w:p>
        </w:tc>
        <w:tc>
          <w:tcPr>
            <w:tcW w:type="dxa" w:w="3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Teste de carga em homologação e ajuste antes do go-live.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R13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Falha de serviços de terceiros (hospedagem, e-mail).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 / A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Transferir</w:t>
            </w:r>
          </w:p>
        </w:tc>
        <w:tc>
          <w:tcPr>
            <w:tcW w:type="dxa" w:w="3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Prazos de atendimento acordados em contrato com os provedores.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R14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Pedidos novos fora do escopo durante o projeto.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 / M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Evitar</w:t>
            </w:r>
          </w:p>
        </w:tc>
        <w:tc>
          <w:tcPr>
            <w:tcW w:type="dxa" w:w="3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Controle de mudanças: cada pedido é avaliado e, se aprovado, entra por escopo e prazo acordados.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12. Premissas, restrições e pontos em aberto</w:t>
      </w:r>
    </w:p>
    <w:p>
      <w:pPr>
        <w:spacing w:after="160" w:before="0" w:line="29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Objetivo desta seção: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registrar as condições assumidas, os limites do projeto e o que ainda não está definido, para que todos partam do mesmo entendimento.</w:t>
      </w:r>
    </w:p>
    <w:p>
      <w:pPr>
        <w:pStyle w:val="Heading3"/>
        <w:keepNext/>
        <w:spacing w:after="80" w:before="160"/>
      </w:pPr>
      <w:r>
        <w:rPr>
          <w:rFonts w:ascii="Arial" w:cs="Arial" w:eastAsia="Arial" w:hAnsi="Arial"/>
          <w:b/>
          <w:bCs/>
          <w:color w:val="0B2A4A"/>
          <w:sz w:val="22"/>
          <w:szCs w:val="22"/>
        </w:rPr>
        <w:t xml:space="preserve">Premissas (o que consideramos verdadeiro)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O processo desenhado representa o que foi demonstrado nas reuniões de 29 e 30/09/2026.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O Itaú indicará validadores com autoridade para decidir.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Os cadastros e as regras de pontuação serão fornecidos até 26/11/2026.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O Itaú liberará acessos e ambientes a tempo.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O Itaú fornecerá o login corporativo e o serviço de e-mail.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As datas e as metas deste documento são propostas até a aprovação do Itaú.</w:t>
      </w:r>
    </w:p>
    <w:p>
      <w:pPr>
        <w:pStyle w:val="Heading3"/>
        <w:keepNext/>
        <w:spacing w:after="80" w:before="160"/>
      </w:pPr>
      <w:r>
        <w:rPr>
          <w:rFonts w:ascii="Arial" w:cs="Arial" w:eastAsia="Arial" w:hAnsi="Arial"/>
          <w:b/>
          <w:bCs/>
          <w:color w:val="0B2A4A"/>
          <w:sz w:val="22"/>
          <w:szCs w:val="22"/>
        </w:rPr>
        <w:t xml:space="preserve">Restrições (o que limita o projeto)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Prazo final de 29/01/2027.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Fim de ano com menos pessoas disponíveis.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Itens fora do escopo desta entrega: módulo de atendimento técnico, detecção automática por câmeras e integração com sistemas de terceiros (V23).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Itens que só entram se o Itaú confirmar e o prazo permitir: módulo de ocorrências por pessoa (documentação de terceiros) e indicadores comparáveis avançados (V12, V19).</w:t>
      </w:r>
    </w:p>
    <w:p>
      <w:pPr>
        <w:pStyle w:val="Heading3"/>
        <w:keepNext/>
        <w:spacing w:after="80" w:before="160"/>
      </w:pPr>
      <w:r>
        <w:rPr>
          <w:rFonts w:ascii="Arial" w:cs="Arial" w:eastAsia="Arial" w:hAnsi="Arial"/>
          <w:b/>
          <w:bCs/>
          <w:color w:val="0B2A4A"/>
          <w:sz w:val="22"/>
          <w:szCs w:val="22"/>
        </w:rPr>
        <w:t xml:space="preserve">Pontos em aberto</w:t>
      </w:r>
    </w:p>
    <w:p>
      <w:pPr>
        <w:spacing w:after="120" w:before="0" w:line="290"/>
      </w:pPr>
      <w:r>
        <w:rPr>
          <w:rFonts w:ascii="Arial" w:cs="Arial" w:eastAsia="Arial" w:hAnsi="Arial"/>
          <w:sz w:val="21"/>
          <w:szCs w:val="21"/>
        </w:rPr>
        <w:t xml:space="preserve">Todos os pontos em aberto estão na seção 13, numerados de V1 a V31. Eles definem o fluxo final.</w:t>
      </w:r>
    </w:p>
    <w:p>
      <w:r>
        <w:br w:type="page"/>
      </w: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13. Pontos para validação do Itaú</w:t>
      </w:r>
    </w:p>
    <w:p>
      <w:pPr>
        <w:spacing w:after="160" w:before="0" w:line="29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Objetivo desta seção: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listar as decisões e regras que o Itaú precisa confirmar. Para cada ponto, mostramos a proposta da Stefanini.</w:t>
      </w:r>
    </w:p>
    <w:p>
      <w:pPr>
        <w:spacing w:after="120" w:before="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Como responder:</w:t>
      </w:r>
      <w:r>
        <w:rPr>
          <w:rFonts w:ascii="Arial" w:cs="Arial" w:eastAsia="Arial" w:hAnsi="Arial"/>
          <w:sz w:val="21"/>
          <w:szCs w:val="21"/>
        </w:rPr>
        <w:t xml:space="preserve"> escreva Concordo, Ajustar (com o ajuste) ou Outra decisão na última coluna.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Prazo: 19/11/2026.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450"/>
        <w:gridCol w:w="2550"/>
        <w:gridCol w:w="2550"/>
        <w:gridCol w:w="880"/>
        <w:gridCol w:w="1648"/>
      </w:tblGrid>
      <w:tr>
        <w:trPr>
          <w:cantSplit/>
          <w:tblHeader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Proposta da Stefanini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o Itaú precisa confirmar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Passos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Resposta do Itaú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Responsável pelo acompanhamento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ocorrência tem um responsável interno nomeado na abertura (quem abriu, por padrão) e um substituto para ausências.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Quem é o responsável formal e quem assume na ausência?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Critério de encerramento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 encerramento exige status final, motivo e evidência. A lista de evidências aceitas varia por tipo de ocorrência.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Quais evidências e condições provam que cada tipo de ocorrência foi tratada?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V3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Lista de status e efeito na medição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Status propostos: Aberta, Em tratamento, Finalizada e Aberta indevidamente. Só Finalizada entra na pontuação. Aberta indevidamente nunca pontua.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os status, quem pode usar cada um e o efeito de cada um na medição.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14, 16, 18, 19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V4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Prazo para tratar e encerrar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 sistema aceita um prazo por categoria/SLA. Ocorrência vencida gera alerta ao responsável e aparece no painel.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Existe prazo por categoria/SLA? O atraso gera consequência (por exemplo, pontuação)?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14, 17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V5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Canal de resposta do fornecedor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 fornecedor responde por e-mail. O responsável interno registra o retorno na ocorrência. Alternativa: link seguro para o fornecedor responder direto no sistema.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Qual é o canal oficial de resposta, o conteúdo mínimo esperado e se o fornecedor pode ter acesso ao sistema?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13, 14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V6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Comprovação de entrega do e-mail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 sistema reenvia até 3 vezes (intervalos de 5, 15 e 60 minutos) e alerta o responsável se a entrega não for confirmada.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o número de tentativas, os intervalos e a contingência manual.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 a 12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V7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Lista oficial de destinatários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fornecedor tem destinatários principais e em cópia, por categoria e contrato. O Itaú indica quem atualiza a lista.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Fornecer a lista oficial e definir quem a mantém e com que frequência.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V8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Correção de ocorrência aberta com erro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Ao corrigir fornecedor, destinatário ou item, o sistema oferece reenviar a notificação. Se o fornecedor mudar, o anterior recebe um aviso de desconsideração.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Aprovar este procedimento e o texto do aviso de desconsideração.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15, 16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V9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Matriz de classificação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 sistema oferece a matriz de severidade como lista fechada (por exemplo, leve, moderada, grave e gravíssima) por categoria e fornecedor.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Fornecer a matriz completa (disponibilidade, operacional e comportamental) e os valores de “plano de ação”.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V10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Fluxo de acesso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Pedido feito no próprio sistema, aprovação pelo gestor, perfis Operador, Analista e Gestor, e revisão periódica dos acessos.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formulário, aprovadores, prazo de atendimento, periodicidade da revisão e regra de revogação.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a 3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V11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Quem pode editar e encerrar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Só o responsável da ocorrência (ou o gestor) edita e encerra. Todo caso fora disso exige justificativa registrada.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se outros perfis podem editar ou encerrar ocorrências de terceiros e em quais exceções.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14 a 18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V12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Dados pessoais de terceiros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Dados pessoais ficam em campos próprios e protegidos, com o mínimo necessário. A observação livre não recebe documentos de pessoas.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Quais dados de terceiros podem constar na ocorrência, com quais controles e por quanto tempo?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V13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Fonte oficial dos cadastros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 novo sistema lê, sempre que possível, o cadastro oficial de RGI, polos, postos, fornecedores e contratos, sem tabelas paralelas.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Indicar o sistema oficial de cada cadastro e o responsável por ele.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5, 6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V14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Governança dos cadastros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Analista cria e altera itens. Gestor ativa e inativa. Mudanças ficam registradas.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Definir quem cria, altera, ativa e inativa cada cadastro e como aprova mudanças.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6, 7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V15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Carga em lote de cadastros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 novo sistema inclui carga em lote com modelo de planilha, validação prévia e relatório de erros.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se a carga em lote faz parte do escopo de entrega e o formato do modelo.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V16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Data de corte e competência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Corte mensal em data fixa. Cada ocorrência pontua na competência do mês de seu encerramento.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a data de corte, a regra de competência e o tratamento de ocorrência encerrada após o corte.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V17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Tabela de pontuação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Pesos, faixas, ações correspondentes e vigência ficam configurados por contrato, sem alteração de código.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Fornecer a tabela vigente de cada contrato e indicar diferenças entre contratos.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V18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Ocorrências abertas no fechamento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fechamento, o sistema lista as ocorrências ainda abertas do período para a Gestão de Serviços. Elas não pontuam até serem finalizadas.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que só ocorrências finalizadas pontuam e se casos abertos há muito tempo devem ter tratamento especial.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19, 21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V19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Indicadores comparáveis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Além do total, o quadro mostra ocorrências por posto, por efetivo e por criticidade.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Escolher quais comparações a Gestão de Serviços quer ver.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20, 21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V20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Alçadas das ações de gestão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 sistema registra quem aprovou cada ação (orientação, advertência, ajuste, escalonamento, rescisão).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quem aprova cada tipo de ação e quais evidências são exigidas.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V21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Retenção e histórico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 sistema guarda ocorrências, logs e e-mails pelo prazo definido pelo Itaú e arquiva o restante.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Informar o prazo de retenção de ocorrências, logs, relatórios e e-mails.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Todos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V22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Sustentação após a entrega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Stefanini monitora falhas de envio e atende incidentes. Prazos de atendimento serão acordados.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o responsável pelo produto no Itaú, os horários de atendimento e os prazos de resposta.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V23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Módulo de atendimento técnico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Não faz parte do novo sistema nesta entrega.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que o módulo será descontinuado ou ficará fora do novo sistema.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V24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Sessão e segurança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Sessão expira após 30 minutos sem uso, com aviso 5 minutos antes e salvamento automático do rascunho.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o tempo de inatividade, o aviso e o salvamento temporário.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5, 8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V25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Amostra real para validação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Três ocorrências reais (indisponibilidade, comportamento e documentação) percorrem o fluxo em homologação.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Indicar as três ocorrências e a pessoa que valida cada resultado.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Todos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V26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Autenticação e e-mail corporativos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Login pelo acesso corporativo do Itaú. E-mails saem de um remetente oficial do Itaú.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Indicar o serviço de login, o serviço de e-mail e o contato técnico responsável por cada um.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3, 10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V27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Hospedagem e ambientes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Ambientes de desenvolvimento, homologação e produção seguem as regras do Itaú.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Informar onde o sistema será hospedado e quais requisitos de infraestrutura e de segurança se aplicam.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V28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Papel da Stefanini na operação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Stefanini faz a sustentação (monitoramento, correções, evolução). A operação diária do processo fica com o Itaú.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esta divisão de responsabilidades e o horário de atendimento.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V29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Migração do histórico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Migrar cadastros e ocorrências dos últimos 24 meses, mais todas as ocorrências abertas no dia do corte.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quanto histórico migrar e como tratar ocorrências abertas na data do corte.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Migração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V30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Critério de desligamento do Thanos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 Thanos passa a somente consulta no corte e é desligado em 29/01/2027 após o aceite do Itaú.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o que significa “conclusão em 29/01/2027” (entrada em produção ou desligamento) e o critério de aceite.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Migração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56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V31</w:t>
            </w:r>
          </w:p>
        </w:tc>
        <w:tc>
          <w:tcPr>
            <w:tcW w:type="dxa" w:w="14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Contestação do fornecedor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 fornecedor pode contestar uma ocorrência. A contestação fica registrada e o responsável decide antes do encerramento.</w:t>
            </w:r>
          </w:p>
        </w:tc>
        <w:tc>
          <w:tcPr>
            <w:tcW w:type="dxa" w:w="25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Existe processo de contestação hoje? Quem decide e em que prazo?</w:t>
            </w:r>
          </w:p>
        </w:tc>
        <w:tc>
          <w:tcPr>
            <w:tcW w:type="dxa" w:w="88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13, 14</w:t>
            </w:r>
          </w:p>
        </w:tc>
        <w:tc>
          <w:tcPr>
            <w:tcW w:type="dxa" w:w="16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14. Validação e aceite</w:t>
      </w:r>
    </w:p>
    <w:p>
      <w:pPr>
        <w:spacing w:after="160" w:before="0" w:line="29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Objetivo desta seção: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registrar a decisão do Itaú sobre o fluxo apresentado neste documento.</w:t>
      </w:r>
    </w:p>
    <w:p>
      <w:pPr>
        <w:spacing w:after="120" w:before="0" w:line="290"/>
      </w:pPr>
      <w:r>
        <w:rPr>
          <w:rFonts w:ascii="Arial" w:cs="Arial" w:eastAsia="Arial" w:hAnsi="Arial"/>
          <w:sz w:val="21"/>
          <w:szCs w:val="21"/>
        </w:rPr>
        <w:t xml:space="preserve">Ao assinar, o Itaú declara que leu as seções 4 e 5 e que o fluxo representa o processo desejado, com as ressalvas indicadas abaixo e as respostas aos pontos da seção 13.</w:t>
      </w:r>
    </w:p>
    <w:p>
      <w:pPr>
        <w:pStyle w:val="Heading3"/>
        <w:keepNext/>
        <w:spacing w:after="80" w:before="160"/>
      </w:pPr>
      <w:r>
        <w:rPr>
          <w:rFonts w:ascii="Arial" w:cs="Arial" w:eastAsia="Arial" w:hAnsi="Arial"/>
          <w:b/>
          <w:bCs/>
          <w:color w:val="0B2A4A"/>
          <w:sz w:val="22"/>
          <w:szCs w:val="22"/>
        </w:rPr>
        <w:t xml:space="preserve">Decisão</w:t>
      </w:r>
    </w:p>
    <w:p>
      <w:pPr>
        <w:spacing w:after="120" w:before="0" w:line="290"/>
      </w:pPr>
      <w:r>
        <w:rPr>
          <w:rFonts w:ascii="Arial" w:cs="Arial" w:eastAsia="Arial" w:hAnsi="Arial"/>
          <w:sz w:val="21"/>
          <w:szCs w:val="21"/>
        </w:rPr>
        <w:t xml:space="preserve">☐ Aprovado        ☐ Aprovado com ressalvas        ☐ Não aprovado</w:t>
      </w:r>
    </w:p>
    <w:p>
      <w:pPr>
        <w:pStyle w:val="Heading3"/>
        <w:keepNext/>
        <w:spacing w:after="80" w:before="160"/>
      </w:pPr>
      <w:r>
        <w:rPr>
          <w:rFonts w:ascii="Arial" w:cs="Arial" w:eastAsia="Arial" w:hAnsi="Arial"/>
          <w:b/>
          <w:bCs/>
          <w:color w:val="0B2A4A"/>
          <w:sz w:val="22"/>
          <w:szCs w:val="22"/>
        </w:rPr>
        <w:t xml:space="preserve">Ressalvas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</w:rPr>
              <w:t xml:space="preserve"> </w:t>
            </w:r>
          </w:p>
        </w:tc>
      </w:tr>
    </w:tbl>
    <w:p>
      <w:pPr>
        <w:pStyle w:val="Heading3"/>
        <w:keepNext/>
        <w:spacing w:after="80" w:before="160"/>
      </w:pPr>
      <w:r>
        <w:rPr>
          <w:rFonts w:ascii="Arial" w:cs="Arial" w:eastAsia="Arial" w:hAnsi="Arial"/>
          <w:b/>
          <w:bCs/>
          <w:color w:val="0B2A4A"/>
          <w:sz w:val="22"/>
          <w:szCs w:val="22"/>
        </w:rPr>
        <w:t xml:space="preserve">Assinaturas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19"/>
        <w:gridCol w:w="3719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Itaú</w:t>
            </w: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 1</w:t>
            </w: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 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Cargo / área</w:t>
            </w: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Assinatura</w:t>
            </w: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19"/>
        <w:gridCol w:w="3719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Stefanini</w:t>
            </w: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 1</w:t>
            </w: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 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Cargo / área</w:t>
            </w: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Assinatura</w:t>
            </w: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  <w:tc>
          <w:tcPr>
            <w:tcW w:type="dxa" w:w="37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</w:p>
        </w:tc>
      </w:tr>
    </w:tbl>
    <w:sectPr>
      <w:headerReference w:type="default" r:id="rId11"/>
      <w:footerReference w:type="default" r:id="rId12"/>
      <w:pgSz w:w="11906" w:h="16838" w:orient="portrait"/>
      <w:pgMar w:top="1300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66666"/>
        <w:sz w:val="16"/>
        <w:szCs w:val="16"/>
      </w:rPr>
      <w:t xml:space="preserve">Confidencial | Itaú e Stefanini</w:t>
    </w:r>
    <w:r>
      <w:rPr>
        <w:rFonts w:ascii="Arial" w:cs="Arial" w:eastAsia="Arial" w:hAnsi="Arial"/>
        <w:color w:val="666666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5138"/>
      </w:tabs>
    </w:pPr>
    <w:r>
      <w:rPr>
        <w:rFonts w:ascii="Arial" w:cs="Arial" w:eastAsia="Arial" w:hAnsi="Arial"/>
        <w:color w:val="666666"/>
        <w:sz w:val="16"/>
        <w:szCs w:val="16"/>
      </w:rPr>
      <w:t xml:space="preserve">Confidencial | Itaú e Stefanini</w:t>
    </w:r>
    <w:r>
      <w:rPr>
        <w:rFonts w:ascii="Arial" w:cs="Arial" w:eastAsia="Arial" w:hAnsi="Arial"/>
        <w:color w:val="666666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66666"/>
        <w:sz w:val="16"/>
        <w:szCs w:val="16"/>
      </w:rPr>
      <w:t xml:space="preserve">Confidencial | Itaú e Stefanini</w:t>
    </w:r>
    <w:r>
      <w:rPr>
        <w:rFonts w:ascii="Arial" w:cs="Arial" w:eastAsia="Arial" w:hAnsi="Arial"/>
        <w:color w:val="666666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F6DB5" w:sz="6" w:space="3"/>
      </w:pBdr>
      <w:tabs>
        <w:tab w:val="right" w:pos="9638"/>
      </w:tabs>
    </w:pPr>
    <w:r>
      <w:rPr>
        <w:rFonts w:ascii="Arial" w:cs="Arial" w:eastAsia="Arial" w:hAnsi="Arial"/>
        <w:b/>
        <w:bCs/>
        <w:color w:val="0B2A4A"/>
        <w:sz w:val="17"/>
        <w:szCs w:val="17"/>
      </w:rPr>
      <w:t xml:space="preserve">N1 IT | Grupo Stefanini</w:t>
    </w:r>
    <w:r>
      <w:rPr>
        <w:rFonts w:ascii="Arial" w:cs="Arial" w:eastAsia="Arial" w:hAnsi="Arial"/>
        <w:color w:val="666666"/>
        <w:sz w:val="17"/>
        <w:szCs w:val="17"/>
      </w:rPr>
      <w:t xml:space="preserve">	Novo Sistema de Gestão e Medição de Serviços (SLA)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F6DB5" w:sz="6" w:space="3"/>
      </w:pBdr>
      <w:tabs>
        <w:tab w:val="right" w:pos="15138"/>
      </w:tabs>
    </w:pPr>
    <w:r>
      <w:rPr>
        <w:rFonts w:ascii="Arial" w:cs="Arial" w:eastAsia="Arial" w:hAnsi="Arial"/>
        <w:b/>
        <w:bCs/>
        <w:color w:val="0B2A4A"/>
        <w:sz w:val="17"/>
        <w:szCs w:val="17"/>
      </w:rPr>
      <w:t xml:space="preserve">N1 IT | Grupo Stefanini</w:t>
    </w:r>
    <w:r>
      <w:rPr>
        <w:rFonts w:ascii="Arial" w:cs="Arial" w:eastAsia="Arial" w:hAnsi="Arial"/>
        <w:color w:val="666666"/>
        <w:sz w:val="17"/>
        <w:szCs w:val="17"/>
      </w:rPr>
      <w:t xml:space="preserve">	Novo Sistema de Gestão e Medição de Serviços (SLA)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F6DB5" w:sz="6" w:space="3"/>
      </w:pBdr>
      <w:tabs>
        <w:tab w:val="right" w:pos="9638"/>
      </w:tabs>
    </w:pPr>
    <w:r>
      <w:rPr>
        <w:rFonts w:ascii="Arial" w:cs="Arial" w:eastAsia="Arial" w:hAnsi="Arial"/>
        <w:b/>
        <w:bCs/>
        <w:color w:val="0B2A4A"/>
        <w:sz w:val="17"/>
        <w:szCs w:val="17"/>
      </w:rPr>
      <w:t xml:space="preserve">N1 IT | Grupo Stefanini</w:t>
    </w:r>
    <w:r>
      <w:rPr>
        <w:rFonts w:ascii="Arial" w:cs="Arial" w:eastAsia="Arial" w:hAnsi="Arial"/>
        <w:color w:val="666666"/>
        <w:sz w:val="17"/>
        <w:szCs w:val="17"/>
      </w:rPr>
      <w:t xml:space="preserve">	Novo Sistema de Gestão e Medição de Serviços (SLA)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Arial" w:cs="Arial" w:eastAsia="Arial" w:hAnsi="Arial"/>
      <w:b/>
      <w:bCs/>
      <w:color w:val="0B2A4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F6D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0B2A4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c6ee77d4dad993d3420b90a3889677c937687b98.png"/><Relationship Id="rId14" Type="http://schemas.openxmlformats.org/officeDocument/2006/relationships/image" Target="media/cacfb7d96b030401254676e3a532d02ad0d86cac.png"/><Relationship Id="rId15" Type="http://schemas.openxmlformats.org/officeDocument/2006/relationships/image" Target="media/4c8a26452dfe89a4d3af1b7774747ce47df8d7f9.png"/><Relationship Id="rId16" Type="http://schemas.openxmlformats.org/officeDocument/2006/relationships/image" Target="media/cee168472770f55222e250e72727a989068b3726.png"/><Relationship Id="rId17" Type="http://schemas.openxmlformats.org/officeDocument/2006/relationships/image" Target="media/8633f48a663f7a9c5c15d880f9d120fe14c099c8.png"/><Relationship Id="rId18" Type="http://schemas.openxmlformats.org/officeDocument/2006/relationships/image" Target="media/feca52822f964298463bc3189d88bbc46d263b01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Novo Sistema de Gestão e Medição de Serviços (SLA)</dc:title>
  <dc:creator>N1 IT | Grupo Stefanini</dc:creator>
  <cp:lastModifiedBy>Un-named</cp:lastModifiedBy>
  <cp:revision>1</cp:revision>
  <dcterms:created xsi:type="dcterms:W3CDTF">2026-10-28T17:53:22.207Z</dcterms:created>
  <dcterms:modified xsi:type="dcterms:W3CDTF">2026-10-28T17:53:22.208Z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