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footer+xml" PartName="/word/footer5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spacing w:after="300"/>
      </w:pPr>
      <w:r>
        <w:rPr>
          <w:rFonts w:ascii="Arial" w:cs="Arial" w:eastAsia="Arial" w:hAnsi="Arial"/>
          <w:b/>
          <w:bCs/>
          <w:color w:val="2F6DB5"/>
          <w:sz w:val="30"/>
          <w:szCs w:val="30"/>
        </w:rPr>
        <w:t xml:space="preserve">N1 IT | Grupo Stefanini</w:t>
      </w:r>
    </w:p>
    <w:p>
      <w:pPr>
        <w:spacing w:after="50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Grupo Stefanini · Documento corporativo</w:t>
      </w:r>
    </w:p>
    <w:p>
      <w:pPr>
        <w:pBdr>
          <w:top w:val="single" w:color="2F6DB5" w:sz="24" w:space="1"/>
        </w:pBdr>
        <w:spacing w:after="300"/>
      </w:pPr>
    </w:p>
    <w:p>
      <w:pPr>
        <w:spacing w:after="240"/>
      </w:pPr>
      <w:r>
        <w:rPr>
          <w:rFonts w:ascii="Arial" w:cs="Arial" w:eastAsia="Arial" w:hAnsi="Arial"/>
          <w:b/>
          <w:bCs/>
          <w:color w:val="0B2A4A"/>
          <w:sz w:val="56"/>
          <w:szCs w:val="56"/>
        </w:rPr>
        <w:t xml:space="preserve">Relatório interno de validação</w:t>
      </w:r>
    </w:p>
    <w:p>
      <w:pPr>
        <w:spacing w:after="900"/>
      </w:pPr>
      <w:r>
        <w:rPr>
          <w:rFonts w:ascii="Arial" w:cs="Arial" w:eastAsia="Arial" w:hAnsi="Arial"/>
          <w:b w:val="false"/>
          <w:bCs w:val="false"/>
          <w:color w:val="444444"/>
          <w:sz w:val="28"/>
          <w:szCs w:val="28"/>
        </w:rPr>
        <w:t xml:space="preserve">Análise do documento As Is e do fluxograma do Thanos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Documento analisado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 As Is – Gestão e Medição de Serviços (SLA) – SIGMES, versão 1.0, outubro de 2026 (10 páginas)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do levantamento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Reuniões de 29 e 30/09/2026; key user: Eduardo Dalben Pozze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Finalidade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Alinhamento da equipe Stefanini. Não enviar ao Itaú.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da análise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28/10/2026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Projeto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Substituição do Thanos – conclusão prevista em 29/01/2027</w:t>
            </w:r>
          </w:p>
        </w:tc>
      </w:tr>
    </w:tbl>
    <w:p>
      <w:pPr>
        <w:spacing w:after="500"/>
      </w:pP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Confidencial | Uso interno Stefanini</w:t>
      </w:r>
    </w:p>
    <w:p>
      <w:r>
        <w:br w:type="page"/>
      </w: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1. Parecer geral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Objetivo:</w:t>
      </w:r>
      <w:r>
        <w:rPr>
          <w:rFonts w:ascii="Arial" w:cs="Arial" w:eastAsia="Arial" w:hAnsi="Arial"/>
          <w:sz w:val="21"/>
          <w:szCs w:val="21"/>
        </w:rPr>
        <w:t xml:space="preserve"> dar à equipe uma visão rápida da qualidade do As Is e dos riscos de construir o novo sistema sobre ele.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Conclusão:</w:t>
      </w:r>
      <w:r>
        <w:rPr>
          <w:rFonts w:ascii="Arial" w:cs="Arial" w:eastAsia="Arial" w:hAnsi="Arial"/>
          <w:sz w:val="21"/>
          <w:szCs w:val="21"/>
        </w:rPr>
        <w:t xml:space="preserve"> o As Is é bom como levantamento de dores e regras (23 regras de negócio e 24 pendências já listadas), mas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ainda não está validado</w:t>
      </w:r>
      <w:r>
        <w:rPr>
          <w:rFonts w:ascii="Arial" w:cs="Arial" w:eastAsia="Arial" w:hAnsi="Arial"/>
          <w:sz w:val="21"/>
          <w:szCs w:val="21"/>
        </w:rPr>
        <w:t xml:space="preserve">. Dá para desenhar o fluxo novo, desde que as decisões abertas sejam confirmadas pelo Itaú até 19/11/2026. Construir antes disso traz risco alto de retrabalho.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rPr>
          <w:cantSplit/>
          <w:tblHeader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Critério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Avaliação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Completo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Faltam volumes, tabela de pontuação, matriz de classificação, lista de status, campos da ocorrência, layout do e-mail e inventário de integrações.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Coerente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Há divergências entre o texto (pág. 4–5) e a figura (pág. 6), e sobre quem encerra a ocorrência.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Atualizado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Sim, com ressalva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É de outubro/2026 e retrata o processo demonstrado, mas o próprio documento diz que não foi validado (pág. 8 e 10).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Pronto para desenhar o To Be</w:t>
            </w:r>
          </w:p>
        </w:tc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Condicional</w:t>
            </w:r>
          </w:p>
        </w:tc>
        <w:tc>
          <w:tcPr>
            <w:tcW w:type="dxa" w:w="5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Depende das decisões V3, V9, V16, V17 e V18 (seção 4).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4"/>
              <w:left w:val="single" w:color="B42318" w:sz="24"/>
              <w:bottom w:val="single" w:color="FDECEA" w:sz="4"/>
              <w:right w:val="single" w:color="FDECEA" w:sz="4"/>
            </w:tcBorders>
            <w:shd w:fill="FDECEA" w:color="auto" w:val="clear"/>
            <w:tcMar>
              <w:top w:type="dxa" w:w="100"/>
              <w:left w:type="dxa" w:w="16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2318"/>
                <w:sz w:val="21"/>
                <w:szCs w:val="21"/>
              </w:rPr>
              <w:t xml:space="preserve">Os 5 pontos mais urgentes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é o Thanos?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As Is chama o sistema de SIGMES “hospedado na plataforma Thanos” (pág. 1) e nunca cita o Power Automate. A figura (pág. 6) usa “Sistema Signes/Thanos”. Confirmar a arquitetura real antes de planejar a migração.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Quem encerra a ocorrência?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 texto diz que é o responsável interno (pág. 5, etapa 13 e RN-13). A figura mostra o fornecedor “atualizando/finalizando” (pág. 6).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 de pontuação ausente.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Não há pesos, faixas nem exemplos (RN-17, RN-18; PV-17).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 e classificação sem lista.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“Finalizada”, “aberta indevidamente”, “leve a gravíssima” e “status do plano de ação” não estão definidos (RN-06, RN-16; PV-03, PV-09).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Competência da medição.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Corte, competência e reabertura não existem (PV-16).</w:t>
            </w:r>
          </w:p>
        </w:tc>
      </w:tr>
    </w:tbl>
    <w:p>
      <w:pPr>
        <w:spacing w:after="120"/>
      </w:pP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Como ler a numeração de página:</w:t>
      </w:r>
      <w:r>
        <w:rPr>
          <w:rFonts w:ascii="Arial" w:cs="Arial" w:eastAsia="Arial" w:hAnsi="Arial"/>
          <w:sz w:val="21"/>
          <w:szCs w:val="21"/>
        </w:rPr>
        <w:t xml:space="preserve"> as páginas citadas são as do PDF (1 a 10). O PDF não tem número impresso nas páginas.</w:t>
      </w:r>
    </w:p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300" w:right="1134" w:bottom="1134" w:left="1134" w:header="708" w:footer="708" w:gutter="0"/>
          <w:pgNumType/>
          <w:titlePg/>
          <w:docGrid w:linePitch="360"/>
        </w:sectPr>
      </w:pP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2. Validação do documento atual: achados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Objetivo:</w:t>
      </w:r>
      <w:r>
        <w:rPr>
          <w:rFonts w:ascii="Arial" w:cs="Arial" w:eastAsia="Arial" w:hAnsi="Arial"/>
          <w:sz w:val="21"/>
          <w:szCs w:val="21"/>
        </w:rPr>
        <w:t xml:space="preserve"> listar lacunas, inconsistências, regras ambíguas e pontos que dependem de confirmação, com a página de cada trecho.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Severidade:</w:t>
      </w:r>
      <w:r>
        <w:rPr>
          <w:rFonts w:ascii="Arial" w:cs="Arial" w:eastAsia="Arial" w:hAnsi="Arial"/>
          <w:sz w:val="21"/>
          <w:szCs w:val="21"/>
        </w:rPr>
        <w:t xml:space="preserve"> A = alta (bloqueia o desenho ou o prazo), M = média, B = baixa.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250"/>
        <w:gridCol w:w="720"/>
        <w:gridCol w:w="3350"/>
        <w:gridCol w:w="4300"/>
        <w:gridCol w:w="3950"/>
        <w:gridCol w:w="948"/>
      </w:tblGrid>
      <w:tr>
        <w:trPr>
          <w:cantSplit/>
          <w:tblHeader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Pág.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Trecho citado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Problema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Ação sugerida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Sev.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I-01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1, 4, 6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“SIGMES, hospedado na plataforma Thanos” (pág. 1); raia “Sistema Signes/Thanos” (pág. 6); “índices de banco” (pág. 4); “robô” (pág. 7)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PDF nunca cita o Power Automate. Os termos Thanos, SIGMES e “Signes” aparecem como se fossem a mesma coisa. Descreve um sistema com banco de dados, logs e módulos, não só um fluxo.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 que existe hoje: plataforma, banco, onde roda o robô de e-mail, quem o mantém. Padronizar o nome.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I-02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5, 6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 13: “Responsável interno… encerrar a ocorrência” (pág. 5); RN-13 (pág. 7). Figura: fornecedor “Atualizar/finalizar ocorrência” (pág. 6)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Texto e figura discordam sobre quem finaliza. O papel do fornecedor diz só “recebimento por e-mail” (pág. 2).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Definir se o fornecedor acessa o sistema. Assumimos que não (V5).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I-03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Figura: seta tracejada de “Notificar via e-mail” (fornecedor) para “Extrair relatório mensal” (Gestão de Serviços)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figura liga a resposta do fornecedor ao início da extração mensal. No texto (etapa 14, pág. 5) a extração é mensal e feita pela Gestão. Falta um evento de início por tempo.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Corrigir no To Be: início mensal por data de corte (passo 19).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I-04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5, 6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Etapas 5 e 8 (pág. 5) x raias da figura (pág. 6)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 figura, “Classificar SLA e preencher observação” e “Notificar fornecedor por e-mail” (manual) estão na raia do Sistema. O texto os atribui ao Usuário.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Padronizar raias no To Be.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I-05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5, 6, 8, 9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 16–17 (pág. 5): inclui “ajuste operacional”; RN-18 (pág. 8); PV-19 cita “perda de postos” (pág. 10). Figura: 4 saídas, sem “ajuste operacional” e com “Escalonamento/Rescisão” juntos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gateway “O resultado exige ação?” não existe na figura. Há um gateway sem rótulo (“Ação com Fornecedor”). Os conjuntos de ações dos três trechos não coincidem.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Fechar a lista de ações com o Itaú (V20).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I-06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4, 6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Seção 4.1, fluxo de acesso (pág. 4)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 fluxo de acesso está no texto, mas não na figura. Aparece o “ponto focal”, que não está nos papéis (pág. 2). Quando recusado, não há aviso ao solicitante. Revisão e revogação de acesso não existem (PV-10).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Incluir fase de acesso no To Be (passos 1–3).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I-07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4–5, 8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 3–4 (pág. 4); RN-20 “itens inativos deixam de aparecer” (pág. 8)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 itens inativos não aparecem na lista, a pessoa não “seleciona” o item para depois descobrir que está inativo. A lógica da decisão (etapa 4) não bate com RN-20.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To Be, o sistema só lista itens ativos e oferece “pedir cadastro” (passos 6–7).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I-08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Ambiguidade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RN-05: “Evita que um fornecedor classifique diretamente ocorrência contra outro fornecedor” (pág. 7)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frase supõe que fornecedores registram ocorrências. Os papéis dizem que fornecedor só recebe e trata (pág. 2).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se algum fornecedor acessa o sistema (V5).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I-09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5, 7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 5: “classificação de SLA, status do plano de ação” (pág. 5); RN-06 (pág. 7)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Os valores de classificação (leve, moderada, grave, gravíssima) e de “status do plano de ação” dependem de um “de-para” que não está no documento.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Obter a matriz completa (V9; PV-09).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I-10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7, 8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RN-13, RN-15, RN-16 (pág. 7); PV-03 (pág. 8)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“Status final”, “finalizada” e “aberta indevidamente” são usados sem lista de status. Não se sabe se “indevida” é um tipo de “finalizada”.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Obter a lista e o efeito de cada status (V3).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I-11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3, 4, 7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Oportunidade “Gestão de pendências”: “Independente das pendencias resolvidas ou não, ter as pontuações validas com o histórico” (pág. 3). RN-15: só finalizadas entram (pág. 7)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frase da pág. 3 parece fora de contexto, contém erro de digitação e contradiz RN-15 se for lida ao pé da letra (pontuar mesmo aberta).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a intenção. Assumimos RN-15 e lista de abertas no fechamento (V18).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I-12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Ambiguidade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RN-11 e RN-16 (pág. 7); PV-08 (pág. 9)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“Solicitar desconsideração quando aplicável”: a quem, como e em que prazo? Não se diz se a ocorrência “indevida” entra na medição.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Definir o procedimento (V8).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I-13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5, 7, 9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Etapa 14 “Mensalmente” (pág. 5); RN-15 (pág. 7); PV-16 (pág. 9)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 data de corte, regra de competência, reabertura ou tratamento de ocorrência encerrada após o corte. Fato em um mês e encerramento em outro: qual mês pontua?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Definir com o Itaú (V16).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I-14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8, 9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RN-17, RN-18 (pág. 8); PV-17 (pág. 9)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há tabela de pontuação, pesos, faixas, vigência nem exemplo de cálculo. A ação de gestão depende de “faixas contratuais vigentes”.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Obter a tabela por contrato (V17).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I-15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3–5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Dor 2 “vários minutos” (pág. 3); “Dor 1”; oportunidades de desempenho (pág. 4)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há números: ocorrências por mês, fornecedores, usuários, polos, itens, tamanho do histórico, tempo real das telas, taxa de falha de e-mail. Sem isso não dá para fixar metas de desempenho e capacidade.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Pedir os volumes ao Itaú e medir o Thanos.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I-16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4, 7, 9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“Base única e integrações” (pág. 4); RN-02, RN-03 (pág. 6); PV-13 (pág. 9)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há inventário de sistemas: e-mail (qual serviço), login, fonte do RGI, cadastro de fornecedores, Teams, relatórios.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Levantar com a arquitetura do Itaú (V13, V26).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I-17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6, 7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RN-02 “carga horária” (pág. 6); RN-03 (pág. 6)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hierarquia polo, prédio, torre, andar, posto e local e o papel da “carga horária” não estão explicados.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Pedir modelo de dados e exemplos reais.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I-18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RN-09, RN-10 (pág. 7)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há modelo do e-mail, lista de campos da ocorrência, nem como se tratam anexos e evidências (que aparecem em RN-05 e na Dor 5).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Pedir o e-mail atual e o formulário de ocorrência.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I-19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 (compliance)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3, 10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Dor 8 “Dados pessoais e documentos ficam nas observações” (pág. 3); PV-12 (pág. 10)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Risco de LGPD. Não há regra sobre quais dados, quem vê e por quanto tempo.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Envolver Privacidade/Jurídico do Itaú (V12, V21).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I-20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6–8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Nenhum trecho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há fluxo para o fornecedor contestar uma ocorrência, nem para a ausência de resposta, e-mail inválido, ocorrência duplicada ou ausência do responsável.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Incluímos contestação no To Be (V31). Confirmar se o processo existe.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I-21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Ambiguidade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Dor 1: “pode não apresentar erro e ainda assim não entregar o e-mail” (pág. 3)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causa da falha não foi investigada (robô, serviço de e-mail, antispam). Sem causa, o novo sistema pode repetir o problema.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Pedir logs e um caso real de falha.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I-22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Ambiguidade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Dor 4: “não há lembretes efetivos” (pág. 3)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se sabe se existem lembretes que não funcionam ou se não existem.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 que existe hoje.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I-23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7, 8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RN-14 (pág. 7); RN-20 (pág. 8); PV-11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Permissões amplas “criadas para investigação” e regras de inativação cujo efeito sobre ocorrências abertas não está definido.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Definir segregação de funções (V11) e efeito da inativação (V14).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I-24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 8–9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Papéis (pág. 2); PV-10, PV-14 (pág. 9)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“Administrador do SIGMES” e “Gestão de Acessos” aparecem nas pendências, mas não nos papéis. “Responsável interno” (etapas 10–13) não é papel definido.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Fechar a lista de papéis (V1, V11).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I-25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Inconsistência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 3–4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Escopo “Redesenho To Be… fora” (pág. 2); seção 3 e “hub” (págs. 3–4, 10)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seção 3 já propõe solução. O termo “hub” (“métricas dentro do hub”, “novo hub”) não é definido. A seção 3 não liga cada oportunidade a uma dor. Quase tudo é “Alta”.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Usar a seção 3 só como insumo. Definir “hub”.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I-26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8, 10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RN-23 (pág. 8); PV-22 (pág. 10)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Módulo de atendimento técnico “construído, mas não usado”, com “sistema próprio do fornecedor” sem identificação.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como fora de escopo (V23).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I-27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Roteiro (pág. 10); Fontes (pág. 10); PV-24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Só duas gravações de reunião e nenhuma amostra real. O fluxo nunca foi testado com casos reais. O key user é uma só pessoa.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Planejar homologação com amostra real (V25).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I-28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Forma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1, 4, 10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Capa e rodapés (págs. 1–10); etapa 2 “7.” (pág. 4); roteiro “8–12” (pág. 10)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Sem histórico de versões, aprovadores ou data de validação. A numeração continua erradamente entre listas. PDF sem número de página.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Corrigir se o As Is for reenviado.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6F4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I-29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2–3, 9–10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Dor 15 (pág. 3); PV-21 (pág. 10)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se sabe quem mantém o Thanos hoje nem quem será o dono do novo produto. Impacta migração e desligamento.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Confirmar o dono e a equipe de suporte (V22).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I-30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Dependência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8–9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RN-19, PV-15 (págs. 8–9)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 carga em lote “existe, mas não é confiável”. Não se sabe se entra no escopo nem qual é o formato.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Definir escopo (V15).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3CD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6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I-31</w:t>
            </w:r>
          </w:p>
        </w:tc>
        <w:tc>
          <w:tcPr>
            <w:tcW w:type="dxa" w:w="12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Lacuna</w:t>
            </w:r>
          </w:p>
        </w:tc>
        <w:tc>
          <w:tcPr>
            <w:tcW w:type="dxa" w:w="72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—</w:t>
            </w:r>
          </w:p>
        </w:tc>
        <w:tc>
          <w:tcPr>
            <w:tcW w:type="dxa" w:w="33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Nenhum trecho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Não há dados para migração: quanto histórico, formato, qualidade, ocorrências abertas e regra de desligamento do Thanos.</w:t>
            </w:r>
          </w:p>
        </w:tc>
        <w:tc>
          <w:tcPr>
            <w:tcW w:type="dxa" w:w="395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Definir com o Itaú (V29, V30).</w:t>
            </w:r>
          </w:p>
        </w:tc>
        <w:tc>
          <w:tcPr>
            <w:tcW w:type="dxa" w:w="94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DE2E0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2.1 Resumo dos achados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</w:tblGrid>
      <w:tr>
        <w:trPr>
          <w:cantSplit/>
          <w:tblHeader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Média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Baixa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2.2 Pendências do As Is (PV-01 a PV-24) e como serão tratadas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O As Is lista 24 pendências (págs. 8–10). Quase todas viram ponto para validação do Itaú no documento enviado ao cliente.</w:t>
      </w:r>
    </w:p>
    <w:p>
      <w:pPr>
        <w:spacing w:after="100" w:before="0" w:line="290"/>
      </w:pPr>
      <w:r>
        <w:rPr>
          <w:rFonts w:ascii="Arial" w:cs="Arial" w:eastAsia="Arial" w:hAnsi="Arial"/>
          <w:sz w:val="21"/>
          <w:szCs w:val="21"/>
        </w:rPr>
        <w:t xml:space="preserve">Pontos novos que a Stefanini acrescentou (V26 a V31): login e e-mail, hospedagem, papel da Stefanini, migração do histórico, desligamento do Thanos e contestação.</w:t>
      </w:r>
    </w:p>
    <w:tbl>
      <w:tblPr>
        <w:tblW w:type="dxa" w:w="151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00"/>
        <w:gridCol w:w="6038"/>
      </w:tblGrid>
      <w:tr>
        <w:trPr>
          <w:cantSplit/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Pendência do As Is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Ponto para validação no documento do Itaú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PV-01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Responsável pelo acompanhamento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PV-02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Critério de encerramento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PV-03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Status e efeitos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V3, V18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PV-04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Prazo para encerramento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PV-05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Retorno do fornecedor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PV-06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Confirmação de entrega do e-mail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PV-07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Lista de destinatários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PV-08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Procedimento de correção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V8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PV-09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Matriz de classificação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PV-10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Critérios de acesso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PV-11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Segregação de funções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PV-12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Dados pessoais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PV-13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Cadastro mestre e fonte oficial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PV-14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Governança cadastral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PV-15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Carga em lote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PV-16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Periodicidade e corte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PV-17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Tabela de pontuação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V17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PV-18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Indicadores normalizados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V19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PV-19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Aprovação das ações de gestão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PV-20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Retenção e histórico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PV-21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Sustentação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V22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PV-22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Escopo do atendimento técnico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PV-23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Timeout e segurança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V24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PV-24</w:t>
            </w:r>
          </w:p>
        </w:tc>
        <w:tc>
          <w:tcPr>
            <w:tcW w:type="dxa" w:w="6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Amostra de validação</w:t>
            </w:r>
          </w:p>
        </w:tc>
        <w:tc>
          <w:tcPr>
            <w:tcW w:type="dxa" w:w="6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V25</w:t>
            </w:r>
          </w:p>
        </w:tc>
      </w:tr>
    </w:tbl>
    <w:p>
      <w:pPr>
        <w:sectPr>
          <w:headerReference w:type="default" r:id="rId11"/>
          <w:headerReference w:type="first" r:id="rId12"/>
          <w:footerReference w:type="default" r:id="rId13"/>
          <w:footerReference w:type="first" r:id="rId14"/>
          <w:pgSz w:w="16838" w:h="11906" w:orient="landscape"/>
          <w:pgMar w:top="1100" w:right="850" w:bottom="900" w:left="850" w:header="708" w:footer="708" w:gutter="0"/>
          <w:pgNumType/>
          <w:docGrid w:linePitch="360"/>
        </w:sectPr>
      </w:pPr>
    </w:p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3. Análise do fluxograma original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Objetivo:</w:t>
      </w:r>
      <w:r>
        <w:rPr>
          <w:rFonts w:ascii="Arial" w:cs="Arial" w:eastAsia="Arial" w:hAnsi="Arial"/>
          <w:sz w:val="21"/>
          <w:szCs w:val="21"/>
        </w:rPr>
        <w:t xml:space="preserve"> avaliar etapas, decisões, integrações, entradas e saídas e tratamento de exceções do fluxo atual e apontar o que o novo sistema deve resolver.</w:t>
      </w:r>
    </w:p>
    <w:p>
      <w:pPr>
        <w:spacing w:after="80"/>
        <w:jc w:val="center"/>
      </w:pPr>
      <w:r>
        <w:drawing>
          <wp:inline distT="0" distB="0" distL="0" distR="0">
            <wp:extent cx="5905500" cy="3600450"/>
            <wp:effectExtent t="0" r="0" b="0" l="0"/>
            <wp:docPr id="1" name="fig" descr="Figura do documento" title="Fig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Figura 1 – Fluxograma As Is (pág. 6 do documento original).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3.1 O que o fluxograma contém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Quantidade e descrição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Piscinas e raias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piscinas: Processo 1 (raias Centro de Segurança/Analista, Sistema Signes/Thanos, Gestão de Serviços) e Fornecedor.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Eventos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de início (“Ocorrência identificada”) e 1 de fim (“Ação da gestão registrada”). Não há evento de início mensal.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Atividades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16: acessar o sistema, selecionar polo/categoria/item, cadastrar/ativar item, classificar SLA, salvar, enviar e-mail automático, notificar por e-mail (manual), receber e tratar, atualizar/finalizar, notificar via e-mail, extrair relatório, aplicar PROCV, e 4 ações de gestão.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Decisões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4: item cadastrado e ativo; e-mail enviado; ocorrência tratada; ação com fornecedor (sem rótulo claro).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Entradas e saídas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Entrada: fato observado. Saída: ação de gestão registrada. As entradas e saídas de cada etapa não aparecem na figura. Estão só no texto (págs. 4–5).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Integrações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Só duas: e-mail automático e Excel (manual). Cadastro mestre e log existem no texto, mas não na figura.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EAF1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Exceções tratadas</w:t>
            </w:r>
          </w:p>
        </w:tc>
        <w:tc>
          <w:tcPr>
            <w:tcW w:type="dxa" w:w="7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3: item inativo, falha de e-mail e ocorrência não tratada (fica aberta).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3.2 Divergências entre figura e texto</w:t>
      </w:r>
    </w:p>
    <w:p>
      <w:pPr>
        <w:spacing w:after="120" w:before="0" w:line="290"/>
      </w:pPr>
      <w:r>
        <w:rPr>
          <w:rFonts w:ascii="Arial" w:cs="Arial" w:eastAsia="Arial" w:hAnsi="Arial"/>
          <w:sz w:val="21"/>
          <w:szCs w:val="21"/>
        </w:rPr>
        <w:t xml:space="preserve">Ver achados I-02 a I-06 da seção 2. Resumo: quem finaliza, raias de duas atividades, seta do fornecedor para o relatório, gateway de ação sem rótulo e fluxo de acesso ausente.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3.3 Gargalos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Notificação:</w:t>
      </w:r>
      <w:r>
        <w:rPr>
          <w:rFonts w:ascii="Arial" w:cs="Arial" w:eastAsia="Arial" w:hAnsi="Arial"/>
          <w:sz w:val="21"/>
          <w:szCs w:val="21"/>
        </w:rPr>
        <w:t xml:space="preserve"> quando o e-mail falha, tudo para até alguém avisar manualmente, e não há prova de entrega.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Cadastro de item:</w:t>
      </w:r>
      <w:r>
        <w:rPr>
          <w:rFonts w:ascii="Arial" w:cs="Arial" w:eastAsia="Arial" w:hAnsi="Arial"/>
          <w:sz w:val="21"/>
          <w:szCs w:val="21"/>
        </w:rPr>
        <w:t xml:space="preserve"> sem item ativo não se abre a ocorrência. Depende do Analista ou do Gestor, sem prazo.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Fornecedor sem prazo:</w:t>
      </w:r>
      <w:r>
        <w:rPr>
          <w:rFonts w:ascii="Arial" w:cs="Arial" w:eastAsia="Arial" w:hAnsi="Arial"/>
          <w:sz w:val="21"/>
          <w:szCs w:val="21"/>
        </w:rPr>
        <w:t xml:space="preserve"> o laço “ocorrência tratada? Não” não tem limite de tempo nem lembrete.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Fechamento mensal:</w:t>
      </w:r>
      <w:r>
        <w:rPr>
          <w:rFonts w:ascii="Arial" w:cs="Arial" w:eastAsia="Arial" w:hAnsi="Arial"/>
          <w:sz w:val="21"/>
          <w:szCs w:val="21"/>
        </w:rPr>
        <w:t xml:space="preserve"> depende de extração, PROCV e tabela dinâmica feitas à mão.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Desempenho:</w:t>
      </w:r>
      <w:r>
        <w:rPr>
          <w:rFonts w:ascii="Arial" w:cs="Arial" w:eastAsia="Arial" w:hAnsi="Arial"/>
          <w:sz w:val="21"/>
          <w:szCs w:val="21"/>
        </w:rPr>
        <w:t xml:space="preserve"> telas e consultas levam minutos (Dor 2, pág. 3).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Abertura individual:</w:t>
      </w:r>
      <w:r>
        <w:rPr>
          <w:rFonts w:ascii="Arial" w:cs="Arial" w:eastAsia="Arial" w:hAnsi="Arial"/>
          <w:sz w:val="21"/>
          <w:szCs w:val="21"/>
        </w:rPr>
        <w:t xml:space="preserve"> documentos de terceiros são registrados um a um (Dor 9).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3.4 Redundâncias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Notificação automática e manual, com controle paralelo.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Dados digitados no sistema e de novo em Excel, e-mail e filas próprias (Dor 14).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Correção de fornecedor por encerramento e nova abertura (RN-11).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Cadastros em vários lugares com padronização manual (Dor 11).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Extração e consolidação mensal que o sistema poderia calcular.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3.5 Etapas manuais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3238"/>
      </w:tblGrid>
      <w:tr>
        <w:trPr>
          <w:cantSplit/>
          <w:tblHeader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hoje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novo fluxo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Notificação em caso de falha (etapa 8)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Reenvio automático e alerta (passos 11–12)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Controle paralelo de notificações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(planilha e e-mail)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 dentro do sistema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Extração mensal (etapa 14)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Fechamento automático (passo 19)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PROCV e tabela dinâmica (etapa 15)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Cálculo automático (passo 20)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Correção de fornecedor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Sim (encerrar e abrir outra)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Correção com reenvio (passo 16)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Lembrete de pendência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Não existe efetivo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Lembretes automáticos (passo 14)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Cadastro e carga em lote</w:t>
            </w:r>
          </w:p>
        </w:tc>
        <w:tc>
          <w:tcPr>
            <w:tcW w:type="dxa" w:w="2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Parcialmente manual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Carga assistida (passo 7)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3.6 Exceções que o fluxo atual não cobre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Dado errado na ocorrência (além de fornecedor).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Contestação do fornecedor.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Fornecedor que não responde.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E-mail inválido ou sem destinatário.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Responsável ausente.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Sessão expirada no meio do preenchimento (Dor 12).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Ocorrência aberta no dia do corte e encerrada depois.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Reabertura de ocorrência finalizada.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Ocorrência duplicada.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Recusa de acesso comunicada ao solicitante.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3.7 Limitações da plataforma atual que o novo sistema deve resolver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FF6E0" w:sz="4"/>
              <w:left w:val="single" w:color="B7791F" w:sz="24"/>
              <w:bottom w:val="single" w:color="FFF6E0" w:sz="4"/>
              <w:right w:val="single" w:color="FFF6E0" w:sz="4"/>
            </w:tcBorders>
            <w:shd w:fill="FFF6E0" w:color="auto" w:val="clear"/>
            <w:tcMar>
              <w:top w:type="dxa" w:w="100"/>
              <w:left w:type="dxa" w:w="16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7791F"/>
                <w:sz w:val="21"/>
                <w:szCs w:val="21"/>
              </w:rPr>
              <w:t xml:space="preserve">Atenção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tabela abaixo mistura evidências do As Is com limitações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conhecidas do Power Automate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que usamos como hipótese porque o PDF não confirma a plataforma (achado I-01). Validar com a equipe que mantém o Thanos antes de usar em reunião.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38"/>
      </w:tblGrid>
      <w:tr>
        <w:trPr>
          <w:cantSplit/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Evidência no As Is ou hipótese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 novo sistema responde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Falha silenciosa de fluxos e de e-mail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Dor 1 (pág. 3). Hipótese: fluxo falha sem alerta e envia por conta ou conector sujeito a limites.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Fila de notificações com status, tentativas e alertas; remetente corporativo.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Dependência de conexão de uma pessoa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Hipótese: conexões em nome de um usuário expiram e quebram o fluxo.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Conta de serviço e monitoramento.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Histórico de execução curto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Hipótese: o histórico de execuções fica poucos dias. Dificulta investigar o que aconteceu.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Auditoria própria e retenção definida pelo Itaú.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Consultas e filtros lentos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Dores 2 e 3 (pág. 3). Hipótese: limites de listas e de consulta.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Banco de dados com índices, paginação e filtros.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Regras de cálculo difíceis de manter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Dor 13 (pág. 3). Pontuação em Excel.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Pontuação parametrizada por contrato e vigência.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Sessão e rascunho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Dor 12; RN-21 (págs. 3, 8).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Aviso, renovação e rascunho automático.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dono e sem evolução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Dor 15; PV-21 (págs. 3, 10).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Sustentação com dono, canal e prazos.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Dados pessoais em campo livre</w:t>
            </w:r>
          </w:p>
        </w:tc>
        <w:tc>
          <w:tcPr>
            <w:tcW w:type="dxa" w:w="3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Dor 8; PV-12.</w:t>
            </w:r>
          </w:p>
        </w:tc>
        <w:tc>
          <w:tcPr>
            <w:tcW w:type="dxa" w:w="3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Campos próprios, mínimos e protegidos.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3.8 Dores do As Is e como o novo fluxo as resolve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838"/>
        <w:gridCol w:w="1600"/>
      </w:tblGrid>
      <w:tr>
        <w:trPr>
          <w:cantSplit/>
          <w:tblHeader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Dor (pág. 3)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Resposta no novo fluxo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Instabilidade no e-mail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Status, reenvio automático e alerta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a 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e 3 Lentidão e filtros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Filtros completos e paginação (requisito)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Abertas fora dos indicadores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Lembretes, painel e lista de abertas no fechamento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14, 17, 19, 21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Encerramento sem justificativa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Motivo e evidência obrigatórios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 Permissões amplas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Edição e encerramento pelo responsável; exceções justificadas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 a 18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 Correção não reenvia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Reenvio controlado e aviso de desconsideração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15, 16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e 9 Terceiros, abertura individual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Fora da entrega base; a confirmar (V12)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e 11 Carga em lote e cadastros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Carga assistida e listas controladas (V15)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6, 7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 Timeout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Aviso e rascunho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5, 8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 Medição fora do sistema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Cálculo automático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19, 20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 Controles paralelos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Tudo no sistema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 a 24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 Sem sustentação</w:t>
            </w:r>
          </w:p>
        </w:tc>
        <w:tc>
          <w:tcPr>
            <w:tcW w:type="dxa" w:w="4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Sustentação Stefanini (V22)</w:t>
            </w:r>
          </w:p>
        </w:tc>
        <w:tc>
          <w:tcPr>
            <w:tcW w:type="dxa" w:w="1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</w:tr>
    </w:tbl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4. Decisões de desenho adotadas e riscos para o time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Objetivo:</w:t>
      </w:r>
      <w:r>
        <w:rPr>
          <w:rFonts w:ascii="Arial" w:cs="Arial" w:eastAsia="Arial" w:hAnsi="Arial"/>
          <w:sz w:val="21"/>
          <w:szCs w:val="21"/>
        </w:rPr>
        <w:t xml:space="preserve"> registrar as hipóteses que usamos no novo fluxo e que podem mudar com a resposta do Itaú.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3438"/>
      </w:tblGrid>
      <w:tr>
        <w:trPr>
          <w:cantSplit/>
          <w:tblHeader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 adotada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0B2A4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 o Itaú discordar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fornecedor não acessa o sistema; responde por e-mail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 As Is diz “recebimento por e-mail” (pág. 2)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Criar acesso ou link seguro para o fornecedor (V5). Aumenta o escopo.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Só ocorrências finalizadas pontuam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RN-15 (pág. 7)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abertas pontuarem, muda o passo 19 e o cálculo.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Competência = mês do encerramento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 regra no As Is; é o critério mais simples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Mudar o passo 19 (V16).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tentativas de reenvio (5, 15 e 60 minutos)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Proposta nossa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Ajustar parâmetros (V6).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Papel da Stefanini: sustentação e investigação de falhas de envio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Proposta nossa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Rever custos e equipe (V28).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Go-live em 21/01 e desligamento em 29/01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 data de 29/01 não diz se é go-live ou desligamento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3F4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for go-live, não há convivência; se for desligamento, o prazo é muito apertado (V30).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Módulo de terceiros, indicadores avançados e carga em lote ficam condicionados ao prazo</w:t>
            </w:r>
          </w:p>
        </w:tc>
        <w:tc>
          <w:tcPr>
            <w:tcW w:type="dxa" w:w="2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Média prioridade no As Is (pág. 4); prazo de 13 semanas</w:t>
            </w:r>
          </w:p>
        </w:tc>
        <w:tc>
          <w:tcPr>
            <w:tcW w:type="dxa" w:w="34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50" w:line="25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 o Itaú exigir, replanejar ou reduzir outro escopo.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DECEA" w:sz="4"/>
              <w:left w:val="single" w:color="B42318" w:sz="24"/>
              <w:bottom w:val="single" w:color="FDECEA" w:sz="4"/>
              <w:right w:val="single" w:color="FDECEA" w:sz="4"/>
            </w:tcBorders>
            <w:shd w:fill="FDECEA" w:color="auto" w:val="clear"/>
            <w:tcMar>
              <w:top w:type="dxa" w:w="100"/>
              <w:left w:type="dxa" w:w="16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42318"/>
                <w:sz w:val="21"/>
                <w:szCs w:val="21"/>
              </w:rPr>
              <w:t xml:space="preserve">Riscos de prazo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Restam cerca de 13 semanas até 29/01/2027, com recesso de fim de ano no meio.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primeiro fechamento mensal real no novo sistema ocorre depois do desligamento. Propusemos recalcular dezembro em paralelo.</w:t>
            </w:r>
          </w:p>
          <w:p>
            <w:pPr>
              <w:spacing w:after="60" w:line="27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Sem as respostas do Itaú até 19/11/2026, o congelamento do escopo em 30/11 fica em risco.</w:t>
            </w:r>
          </w:p>
        </w:tc>
      </w:tr>
    </w:tbl>
    <w:p>
      <w:pPr>
        <w:pStyle w:val="Heading1"/>
        <w:keepNext/>
        <w:pBdr>
          <w:bottom w:val="single" w:color="2F6DB5" w:sz="8" w:space="4"/>
        </w:pBdr>
        <w:spacing w:after="160" w:before="120"/>
      </w:pPr>
      <w:r>
        <w:rPr>
          <w:rFonts w:ascii="Arial" w:cs="Arial" w:eastAsia="Arial" w:hAnsi="Arial"/>
          <w:b/>
          <w:bCs/>
          <w:color w:val="0B2A4A"/>
          <w:sz w:val="34"/>
          <w:szCs w:val="34"/>
        </w:rPr>
        <w:t xml:space="preserve">5. Dúvidas a esclarecer com o Itaú</w:t>
      </w:r>
    </w:p>
    <w:p>
      <w:pPr>
        <w:spacing w:after="120" w:before="0" w:line="29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Objetivo:</w:t>
      </w:r>
      <w:r>
        <w:rPr>
          <w:rFonts w:ascii="Arial" w:cs="Arial" w:eastAsia="Arial" w:hAnsi="Arial"/>
          <w:sz w:val="21"/>
          <w:szCs w:val="21"/>
        </w:rPr>
        <w:t xml:space="preserve"> reunir as perguntas que precisam de resposta antes de concluir a documentação. Estão em ordem de prioridade.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Plataforma e nomes:</w:t>
      </w:r>
      <w:r>
        <w:rPr>
          <w:rFonts w:ascii="Arial" w:cs="Arial" w:eastAsia="Arial" w:hAnsi="Arial"/>
          <w:sz w:val="21"/>
          <w:szCs w:val="21"/>
        </w:rPr>
        <w:t xml:space="preserve"> o Thanos é o SIGMES? Roda em Power Automate, em banco próprio ou em outra plataforma? Quem o mantém? (I-01)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Quem encerra a ocorrência:</w:t>
      </w:r>
      <w:r>
        <w:rPr>
          <w:rFonts w:ascii="Arial" w:cs="Arial" w:eastAsia="Arial" w:hAnsi="Arial"/>
          <w:sz w:val="21"/>
          <w:szCs w:val="21"/>
        </w:rPr>
        <w:t xml:space="preserve"> o responsável interno ou o fornecedor? O fornecedor acessa o sistema? (I-02, V5)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Pontuação:</w:t>
      </w:r>
      <w:r>
        <w:rPr>
          <w:rFonts w:ascii="Arial" w:cs="Arial" w:eastAsia="Arial" w:hAnsi="Arial"/>
          <w:sz w:val="21"/>
          <w:szCs w:val="21"/>
        </w:rPr>
        <w:t xml:space="preserve"> podemos receber a tabela vigente de cada contrato, com um exemplo de cálculo real? (V17)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 e classificação:</w:t>
      </w:r>
      <w:r>
        <w:rPr>
          <w:rFonts w:ascii="Arial" w:cs="Arial" w:eastAsia="Arial" w:hAnsi="Arial"/>
          <w:sz w:val="21"/>
          <w:szCs w:val="21"/>
        </w:rPr>
        <w:t xml:space="preserve"> qual a lista completa de status e a matriz de severidade? (V3, V9)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Medição:</w:t>
      </w:r>
      <w:r>
        <w:rPr>
          <w:rFonts w:ascii="Arial" w:cs="Arial" w:eastAsia="Arial" w:hAnsi="Arial"/>
          <w:sz w:val="21"/>
          <w:szCs w:val="21"/>
        </w:rPr>
        <w:t xml:space="preserve"> qual a data de corte e a regra de competência? Ocorrências abertas pontuam? (V16, V18)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Prazo final:</w:t>
      </w:r>
      <w:r>
        <w:rPr>
          <w:rFonts w:ascii="Arial" w:cs="Arial" w:eastAsia="Arial" w:hAnsi="Arial"/>
          <w:sz w:val="21"/>
          <w:szCs w:val="21"/>
        </w:rPr>
        <w:t xml:space="preserve"> 29/01/2027 é entrada em produção ou desligamento do Thanos? (V30)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Volumes:</w:t>
      </w:r>
      <w:r>
        <w:rPr>
          <w:rFonts w:ascii="Arial" w:cs="Arial" w:eastAsia="Arial" w:hAnsi="Arial"/>
          <w:sz w:val="21"/>
          <w:szCs w:val="21"/>
        </w:rPr>
        <w:t xml:space="preserve"> quantas ocorrências por mês, fornecedores, usuários, polos e itens, e qual o tamanho do histórico? (I-15)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Integrações:</w:t>
      </w:r>
      <w:r>
        <w:rPr>
          <w:rFonts w:ascii="Arial" w:cs="Arial" w:eastAsia="Arial" w:hAnsi="Arial"/>
          <w:sz w:val="21"/>
          <w:szCs w:val="21"/>
        </w:rPr>
        <w:t xml:space="preserve"> qual o serviço de login, o serviço de e-mail e a fonte oficial de RGI, polos e fornecedores? (V13, V26)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E-mail:</w:t>
      </w:r>
      <w:r>
        <w:rPr>
          <w:rFonts w:ascii="Arial" w:cs="Arial" w:eastAsia="Arial" w:hAnsi="Arial"/>
          <w:sz w:val="21"/>
          <w:szCs w:val="21"/>
        </w:rPr>
        <w:t xml:space="preserve"> qual a causa conhecida das falhas e qual o modelo do e-mail atual? (I-21, I-18)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Dados pessoais:</w:t>
      </w:r>
      <w:r>
        <w:rPr>
          <w:rFonts w:ascii="Arial" w:cs="Arial" w:eastAsia="Arial" w:hAnsi="Arial"/>
          <w:sz w:val="21"/>
          <w:szCs w:val="21"/>
        </w:rPr>
        <w:t xml:space="preserve"> quais dados de terceiros podem ser registrados e por quanto tempo? Privacidade já foi envolvida? (V12, V21)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Contestação e exceções:</w:t>
      </w:r>
      <w:r>
        <w:rPr>
          <w:rFonts w:ascii="Arial" w:cs="Arial" w:eastAsia="Arial" w:hAnsi="Arial"/>
          <w:sz w:val="21"/>
          <w:szCs w:val="21"/>
        </w:rPr>
        <w:t xml:space="preserve"> existe processo quando o fornecedor discorda ou não responde? (V31)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Amostra real:</w:t>
      </w:r>
      <w:r>
        <w:rPr>
          <w:rFonts w:ascii="Arial" w:cs="Arial" w:eastAsia="Arial" w:hAnsi="Arial"/>
          <w:sz w:val="21"/>
          <w:szCs w:val="21"/>
        </w:rPr>
        <w:t xml:space="preserve"> quais três ocorrências reais usaremos para validar o fluxo? (V25)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Pessoas:</w:t>
      </w:r>
      <w:r>
        <w:rPr>
          <w:rFonts w:ascii="Arial" w:cs="Arial" w:eastAsia="Arial" w:hAnsi="Arial"/>
          <w:sz w:val="21"/>
          <w:szCs w:val="21"/>
        </w:rPr>
        <w:t xml:space="preserve"> quem valida pelo Itaú além do key user e quem substitui no recesso? (R9, R10)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Escopo:</w:t>
      </w:r>
      <w:r>
        <w:rPr>
          <w:rFonts w:ascii="Arial" w:cs="Arial" w:eastAsia="Arial" w:hAnsi="Arial"/>
          <w:sz w:val="21"/>
          <w:szCs w:val="21"/>
        </w:rPr>
        <w:t xml:space="preserve"> módulo de terceiros, carga em lote e indicadores avançados entram nesta entrega? (V12, V15, V19)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Migração:</w:t>
      </w:r>
      <w:r>
        <w:rPr>
          <w:rFonts w:ascii="Arial" w:cs="Arial" w:eastAsia="Arial" w:hAnsi="Arial"/>
          <w:sz w:val="21"/>
          <w:szCs w:val="21"/>
        </w:rPr>
        <w:t xml:space="preserve"> quanto histórico migrar e o que fazer com ocorrências abertas no corte? (V29)</w:t>
      </w:r>
    </w:p>
    <w:p>
      <w:pPr>
        <w:pStyle w:val="ListParagraph"/>
        <w:numPr>
          <w:ilvl w:val="0"/>
          <w:numId w:val="3"/>
        </w:numPr>
        <w:spacing w:after="70" w:line="2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Hospedagem e segurança:</w:t>
      </w:r>
      <w:r>
        <w:rPr>
          <w:rFonts w:ascii="Arial" w:cs="Arial" w:eastAsia="Arial" w:hAnsi="Arial"/>
          <w:sz w:val="21"/>
          <w:szCs w:val="21"/>
        </w:rPr>
        <w:t xml:space="preserve"> onde o sistema será hospedado e quais políticas do Itaú se aplicam? (V27)</w:t>
      </w:r>
    </w:p>
    <w:p>
      <w:pPr>
        <w:pStyle w:val="Heading2"/>
        <w:keepNext/>
        <w:spacing w:after="100" w:before="240"/>
      </w:pPr>
      <w:r>
        <w:rPr>
          <w:rFonts w:ascii="Arial" w:cs="Arial" w:eastAsia="Arial" w:hAnsi="Arial"/>
          <w:b/>
          <w:bCs/>
          <w:color w:val="2F6DB5"/>
          <w:sz w:val="26"/>
          <w:szCs w:val="26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Alinhar este relatório com a equipe e fechar as dúvidas 1 a 6 em reunião rápida com o key user.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Revisar e enviar ao Itaú a documentação do novo sistema (arquivo separado).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Receber as respostas até 19/11/2026 e atualizar o fluxo e os passos.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Arial" w:cs="Arial" w:eastAsia="Arial" w:hAnsi="Arial"/>
          <w:sz w:val="21"/>
          <w:szCs w:val="21"/>
        </w:rPr>
        <w:t xml:space="preserve">Registrar o resultado das validações e congelar o escopo em 30/11/2026.</w:t>
      </w:r>
    </w:p>
    <w:sectPr>
      <w:headerReference w:type="default" r:id="rId15"/>
      <w:headerReference w:type="first" r:id="rId16"/>
      <w:footerReference w:type="default" r:id="rId17"/>
      <w:footerReference w:type="first" r:id="rId18"/>
      <w:pgSz w:w="11906" w:h="16838" w:orient="portrait"/>
      <w:pgMar w:top="13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| Uso interno Stefanini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51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| Uso interno Stefanini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Confidencial | Uso interno Stefanini</w:t>
    </w:r>
    <w:r>
      <w:rPr>
        <w:rFonts w:ascii="Arial" w:cs="Arial" w:eastAsia="Arial" w:hAnsi="Arial"/>
        <w:color w:val="666666"/>
        <w:sz w:val="16"/>
        <w:szCs w:val="16"/>
      </w:rPr>
      <w:t xml:space="preserve">	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DB5" w:sz="6" w:space="3"/>
      </w:pBdr>
      <w:tabs>
        <w:tab w:val="right" w:pos="9638"/>
      </w:tabs>
    </w:pPr>
    <w:r>
      <w:rPr>
        <w:rFonts w:ascii="Arial" w:cs="Arial" w:eastAsia="Arial" w:hAnsi="Arial"/>
        <w:b/>
        <w:bCs/>
        <w:color w:val="0B2A4A"/>
        <w:sz w:val="17"/>
        <w:szCs w:val="17"/>
      </w:rPr>
      <w:t xml:space="preserve">N1 IT | Grupo Stefanini</w:t>
    </w:r>
    <w:r>
      <w:rPr>
        <w:rFonts w:ascii="Arial" w:cs="Arial" w:eastAsia="Arial" w:hAnsi="Arial"/>
        <w:color w:val="666666"/>
        <w:sz w:val="17"/>
        <w:szCs w:val="17"/>
      </w:rPr>
      <w:t xml:space="preserve">	Relatório interno de validação – Thanos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DB5" w:sz="6" w:space="3"/>
      </w:pBdr>
      <w:tabs>
        <w:tab w:val="right" w:pos="15138"/>
      </w:tabs>
    </w:pPr>
    <w:r>
      <w:rPr>
        <w:rFonts w:ascii="Arial" w:cs="Arial" w:eastAsia="Arial" w:hAnsi="Arial"/>
        <w:b/>
        <w:bCs/>
        <w:color w:val="0B2A4A"/>
        <w:sz w:val="17"/>
        <w:szCs w:val="17"/>
      </w:rPr>
      <w:t xml:space="preserve">N1 IT | Grupo Stefanini</w:t>
    </w:r>
    <w:r>
      <w:rPr>
        <w:rFonts w:ascii="Arial" w:cs="Arial" w:eastAsia="Arial" w:hAnsi="Arial"/>
        <w:color w:val="666666"/>
        <w:sz w:val="17"/>
        <w:szCs w:val="17"/>
      </w:rPr>
      <w:t xml:space="preserve">	Relatório interno de validação – Thanos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6DB5" w:sz="6" w:space="3"/>
      </w:pBdr>
      <w:tabs>
        <w:tab w:val="right" w:pos="9638"/>
      </w:tabs>
    </w:pPr>
    <w:r>
      <w:rPr>
        <w:rFonts w:ascii="Arial" w:cs="Arial" w:eastAsia="Arial" w:hAnsi="Arial"/>
        <w:b/>
        <w:bCs/>
        <w:color w:val="0B2A4A"/>
        <w:sz w:val="17"/>
        <w:szCs w:val="17"/>
      </w:rPr>
      <w:t xml:space="preserve">N1 IT | Grupo Stefanini</w:t>
    </w:r>
    <w:r>
      <w:rPr>
        <w:rFonts w:ascii="Arial" w:cs="Arial" w:eastAsia="Arial" w:hAnsi="Arial"/>
        <w:color w:val="666666"/>
        <w:sz w:val="17"/>
        <w:szCs w:val="17"/>
      </w:rPr>
      <w:t xml:space="preserve">	Relatório interno de validação – Thanos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0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F6D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B2A4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header" Target="header4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image" Target="media/f2a3c6ba36406930053484feb33acaef8036abef.jp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interno de validação – Thanos</dc:title>
  <dc:creator>N1 IT | Grupo Stefanini</dc:creator>
  <cp:lastModifiedBy>Un-named</cp:lastModifiedBy>
  <cp:revision>1</cp:revision>
  <dcterms:created xsi:type="dcterms:W3CDTF">2026-10-28T18:10:17.185Z</dcterms:created>
  <dcterms:modified xsi:type="dcterms:W3CDTF">2026-10-28T18:10:17.185Z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