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jc w:val="center"/>
        <w:rPr>
          <w:rFonts w:ascii="Arial" w:cs="Arial" w:eastAsia="Arial" w:hAnsi="Arial"/>
          <w:color w:val="2e3440"/>
          <w:sz w:val="34"/>
          <w:szCs w:val="34"/>
        </w:rPr>
      </w:pPr>
      <w:bookmarkStart w:colFirst="0" w:colLast="0" w:name="_49mb7ez7qwbt" w:id="0"/>
      <w:bookmarkEnd w:id="0"/>
      <w:r w:rsidDel="00000000" w:rsidR="00000000" w:rsidRPr="00000000">
        <w:rPr>
          <w:rFonts w:ascii="Arial" w:cs="Arial" w:eastAsia="Arial" w:hAnsi="Arial"/>
          <w:color w:val="2e3440"/>
          <w:sz w:val="34"/>
          <w:szCs w:val="34"/>
          <w:rtl w:val="0"/>
        </w:rPr>
        <w:t xml:space="preserve">Self Assessment Evaluation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b w:val="1"/>
          <w:bCs w:val="1"/>
          <w:color w:val="2e3440"/>
          <w:sz w:val="26"/>
          <w:szCs w:val="26"/>
        </w:rPr>
      </w:pPr>
      <w:bookmarkStart w:colFirst="0" w:colLast="0" w:name="_31jxsqx1z6j4" w:id="1"/>
      <w:bookmarkEnd w:id="1"/>
      <w:r w:rsidDel="00000000" w:rsidR="00000000" w:rsidRPr="00000000">
        <w:rPr>
          <w:rFonts w:ascii="Arial" w:cs="Arial" w:eastAsia="Arial" w:hAnsi="Arial"/>
          <w:b w:val="1"/>
          <w:bCs w:val="1"/>
          <w:color w:val="2e3440"/>
          <w:sz w:val="26"/>
          <w:szCs w:val="26"/>
          <w:rtl w:val="0"/>
        </w:rPr>
        <w:t xml:space="preserve">Self Assessment Report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1. Knowledge Dimensions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**Facts**</w:t>
        <w:br w:type="textWrapping"/>
        <w:t xml:space="preserve">* **[False Knowledge]**: "I think the time limit is 30 days."</w:t>
        <w:br w:type="textWrapping"/>
        <w:t xml:space="preserve">* **[Know-Don't Know]**: "I am not sure if the landlord has to send a written notice or just return the money."</w:t>
        <w:br w:type="textWrapping"/>
        <w:t xml:space="preserve">* **[Know-Know]**: "I know landlords have to return deposits after you move out."</w:t>
        <w:br w:type="textWrapping"/>
        <w:t xml:space="preserve">* **Most Critical Gap**: The student needs to understand that landlords in Arizona are required to return security deposits within **14 business days** and provide an itemized list of deductions.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**Strategies**</w:t>
        <w:br w:type="textWrapping"/>
        <w:t xml:space="preserve">* **[Know-Know]**: "I could send a demand letter or take him to small claims court."</w:t>
        <w:br w:type="textWrapping"/>
        <w:t xml:space="preserve">* **[Know-Don't Know]**: "I do not know if there are penalties if the landlord misses the deadline."</w:t>
        <w:br w:type="textWrapping"/>
        <w:t xml:space="preserve">* **Most Critical Gap**: The student should understand that Arizona law allows for penalties if the landlord fails to return the security deposit within the required timeframe.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**Procedures**</w:t>
        <w:br w:type="textWrapping"/>
        <w:t xml:space="preserve">* **[Know-Don't Know]**: "I do not know what the letter needs to include."</w:t>
        <w:br w:type="textWrapping"/>
        <w:t xml:space="preserve">* **[Know-Don't Know]**: "I do not know whether it needs to be sent certified mail."</w:t>
        <w:br w:type="textWrapping"/>
        <w:t xml:space="preserve">* **[Omission]**: The student did not mention the requirement for an itemized list of deductions or the timeline for the landlord's response.</w:t>
        <w:br w:type="textWrapping"/>
        <w:t xml:space="preserve">* **Most Critical Gap**: The student needs to understand the specific contents required in the letter to effectively dispute the security deposit deductions.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**Rationales**</w:t>
        <w:br w:type="textWrapping"/>
        <w:t xml:space="preserve">* **[Know-Don't Know]**: "I am not sure why the itemized list matters legally."</w:t>
        <w:br w:type="textWrapping"/>
        <w:t xml:space="preserve">* **[Omission]**: The importance of documenting the condition of the rental property at move-out is not fully explained.</w:t>
        <w:br w:type="textWrapping"/>
        <w:t xml:space="preserve">* **[Omission]**: The potential consequences if the landlord never sends the itemized list are not addressed.</w:t>
        <w:br w:type="textWrapping"/>
        <w:t xml:space="preserve">* **Most Critical Gap**: The student needs to understand the legal significance of the itemized list and the implications of not receiving it.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2. Priority &amp; Scoring Summary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**Top Dimension**: Rationales</w:t>
        <w:br w:type="textWrapping"/>
        <w:t xml:space="preserve">* **Top Label in Top Dimension**: Omission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**Dimension Scores**</w:t>
      </w:r>
    </w:p>
    <w:tbl>
      <w:tblPr>
        <w:tblStyle w:val="Table1"/>
        <w:tblW w:w="4155.0" w:type="dxa"/>
        <w:jc w:val="left"/>
        <w:tblBorders>
          <w:top w:color="d8dee9" w:space="0" w:sz="7" w:val="single"/>
          <w:left w:color="d8dee9" w:space="0" w:sz="7" w:val="single"/>
          <w:bottom w:color="d8dee9" w:space="0" w:sz="7" w:val="single"/>
          <w:right w:color="d8dee9" w:space="0" w:sz="7" w:val="single"/>
          <w:insideH w:color="d8dee9" w:space="0" w:sz="7" w:val="single"/>
          <w:insideV w:color="d8dee9" w:space="0" w:sz="7" w:val="single"/>
        </w:tblBorders>
        <w:tblLayout w:type="fixed"/>
        <w:tblLook w:val="0600"/>
      </w:tblPr>
      <w:tblGrid>
        <w:gridCol w:w="1590"/>
        <w:gridCol w:w="2565"/>
        <w:tblGridChange w:id="0">
          <w:tblGrid>
            <w:gridCol w:w="1590"/>
            <w:gridCol w:w="2565"/>
          </w:tblGrid>
        </w:tblGridChange>
      </w:tblGrid>
      <w:tr>
        <w:trPr>
          <w:cantSplit w:val="0"/>
          <w:trHeight w:val="480" w:hRule="atLeast"/>
          <w:tblHeader w:val="0"/>
        </w:trPr>
        <w:tc>
          <w:tcPr>
            <w:tcBorders>
              <w:top w:color="d8dee9" w:space="0" w:sz="7" w:val="single"/>
              <w:left w:color="d8dee9" w:space="0" w:sz="7" w:val="single"/>
              <w:bottom w:color="d8dee9" w:space="0" w:sz="7" w:val="single"/>
              <w:right w:color="d8dee9" w:space="0" w:sz="7" w:val="single"/>
            </w:tcBorders>
            <w:shd w:fill="e5e9f0" w:val="clear"/>
            <w:tcMar>
              <w:top w:w="80.0" w:type="dxa"/>
              <w:left w:w="80.0" w:type="dxa"/>
              <w:bottom w:w="80.0" w:type="dxa"/>
              <w:right w:w="80.0" w:type="dxa"/>
            </w:tcMar>
            <w:vAlign w:val="center"/>
          </w:tcPr>
          <w:p w:rsidR="00000000" w:rsidDel="00000000" w:rsidP="00000000" w:rsidRDefault="00000000" w:rsidRPr="00000000" w14:paraId="0000000B">
            <w:pPr>
              <w:spacing w:after="300" w:before="300" w:lineRule="auto"/>
              <w:rPr>
                <w:rFonts w:ascii="Arial" w:cs="Arial" w:eastAsia="Arial" w:hAnsi="Arial"/>
              </w:rPr>
            </w:pPr>
            <w:r w:rsidDel="00000000" w:rsidR="00000000" w:rsidRPr="00000000">
              <w:rPr>
                <w:rFonts w:ascii="Arial" w:cs="Arial" w:eastAsia="Arial" w:hAnsi="Arial"/>
                <w:color w:val="2e3440"/>
                <w:rtl w:val="0"/>
              </w:rPr>
              <w:t xml:space="preserve">Dimension</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shd w:fill="e5e9f0" w:val="clear"/>
            <w:tcMar>
              <w:top w:w="80.0" w:type="dxa"/>
              <w:left w:w="80.0" w:type="dxa"/>
              <w:bottom w:w="80.0" w:type="dxa"/>
              <w:right w:w="80.0" w:type="dxa"/>
            </w:tcMar>
            <w:vAlign w:val="center"/>
          </w:tcPr>
          <w:p w:rsidR="00000000" w:rsidDel="00000000" w:rsidP="00000000" w:rsidRDefault="00000000" w:rsidRPr="00000000" w14:paraId="0000000C">
            <w:pPr>
              <w:spacing w:after="300" w:before="300" w:lineRule="auto"/>
              <w:rPr>
                <w:rFonts w:ascii="Arial" w:cs="Arial" w:eastAsia="Arial" w:hAnsi="Arial"/>
              </w:rPr>
            </w:pPr>
            <w:r w:rsidDel="00000000" w:rsidR="00000000" w:rsidRPr="00000000">
              <w:rPr>
                <w:rFonts w:ascii="Arial" w:cs="Arial" w:eastAsia="Arial" w:hAnsi="Arial"/>
                <w:color w:val="2e3440"/>
                <w:rtl w:val="0"/>
              </w:rPr>
              <w:t xml:space="preserve">Score</w:t>
            </w:r>
            <w:r w:rsidDel="00000000" w:rsidR="00000000" w:rsidRPr="00000000">
              <w:rPr>
                <w:rtl w:val="0"/>
              </w:rPr>
            </w:r>
          </w:p>
        </w:tc>
      </w:tr>
      <w:tr>
        <w:trPr>
          <w:cantSplit w:val="0"/>
          <w:trHeight w:val="605.92529296875" w:hRule="atLeast"/>
          <w:tblHeader w:val="0"/>
        </w:trPr>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0D">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**Rationales**</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0E">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0.8</w:t>
            </w:r>
            <w:r w:rsidDel="00000000" w:rsidR="00000000" w:rsidRPr="00000000">
              <w:rPr>
                <w:rtl w:val="0"/>
              </w:rPr>
            </w:r>
          </w:p>
        </w:tc>
      </w:tr>
      <w:tr>
        <w:trPr>
          <w:cantSplit w:val="0"/>
          <w:trHeight w:val="420" w:hRule="atLeast"/>
          <w:tblHeader w:val="0"/>
        </w:trPr>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0F">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**Procedures**</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0">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0.7</w:t>
            </w:r>
            <w:r w:rsidDel="00000000" w:rsidR="00000000" w:rsidRPr="00000000">
              <w:rPr>
                <w:rtl w:val="0"/>
              </w:rPr>
            </w:r>
          </w:p>
        </w:tc>
      </w:tr>
      <w:tr>
        <w:trPr>
          <w:cantSplit w:val="0"/>
          <w:trHeight w:val="420" w:hRule="atLeast"/>
          <w:tblHeader w:val="0"/>
        </w:trPr>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1">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**Facts**</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2">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0.6</w:t>
            </w:r>
            <w:r w:rsidDel="00000000" w:rsidR="00000000" w:rsidRPr="00000000">
              <w:rPr>
                <w:rtl w:val="0"/>
              </w:rPr>
            </w:r>
          </w:p>
        </w:tc>
      </w:tr>
      <w:tr>
        <w:trPr>
          <w:cantSplit w:val="0"/>
          <w:trHeight w:val="420" w:hRule="atLeast"/>
          <w:tblHeader w:val="0"/>
        </w:trPr>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3">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**Strategies**</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4">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0.2</w:t>
            </w:r>
            <w:r w:rsidDel="00000000" w:rsidR="00000000" w:rsidRPr="00000000">
              <w:rPr>
                <w:rtl w:val="0"/>
              </w:rPr>
            </w:r>
          </w:p>
        </w:tc>
      </w:tr>
    </w:tbl>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 **Knowledge State Counts**</w:t>
      </w:r>
    </w:p>
    <w:tbl>
      <w:tblPr>
        <w:tblStyle w:val="Table2"/>
        <w:tblW w:w="8460.0" w:type="dxa"/>
        <w:jc w:val="left"/>
        <w:tblBorders>
          <w:top w:color="d8dee9" w:space="0" w:sz="7" w:val="single"/>
          <w:left w:color="d8dee9" w:space="0" w:sz="7" w:val="single"/>
          <w:bottom w:color="d8dee9" w:space="0" w:sz="7" w:val="single"/>
          <w:right w:color="d8dee9" w:space="0" w:sz="7" w:val="single"/>
          <w:insideH w:color="d8dee9" w:space="0" w:sz="7" w:val="single"/>
          <w:insideV w:color="d8dee9" w:space="0" w:sz="7" w:val="single"/>
        </w:tblBorders>
        <w:tblLayout w:type="fixed"/>
        <w:tblLook w:val="0600"/>
      </w:tblPr>
      <w:tblGrid>
        <w:gridCol w:w="1590"/>
        <w:gridCol w:w="2055"/>
        <w:gridCol w:w="2115"/>
        <w:gridCol w:w="1485"/>
        <w:gridCol w:w="1215"/>
        <w:tblGridChange w:id="0">
          <w:tblGrid>
            <w:gridCol w:w="1590"/>
            <w:gridCol w:w="2055"/>
            <w:gridCol w:w="2115"/>
            <w:gridCol w:w="1485"/>
            <w:gridCol w:w="1215"/>
          </w:tblGrid>
        </w:tblGridChange>
      </w:tblGrid>
      <w:tr>
        <w:trPr>
          <w:cantSplit w:val="0"/>
          <w:trHeight w:val="480" w:hRule="atLeast"/>
          <w:tblHeader w:val="0"/>
        </w:trPr>
        <w:tc>
          <w:tcPr>
            <w:tcBorders>
              <w:top w:color="d8dee9" w:space="0" w:sz="7" w:val="single"/>
              <w:left w:color="d8dee9" w:space="0" w:sz="7" w:val="single"/>
              <w:bottom w:color="d8dee9" w:space="0" w:sz="7" w:val="single"/>
              <w:right w:color="d8dee9" w:space="0" w:sz="7" w:val="single"/>
            </w:tcBorders>
            <w:shd w:fill="e5e9f0" w:val="clear"/>
            <w:tcMar>
              <w:top w:w="80.0" w:type="dxa"/>
              <w:left w:w="80.0" w:type="dxa"/>
              <w:bottom w:w="80.0" w:type="dxa"/>
              <w:right w:w="80.0" w:type="dxa"/>
            </w:tcMar>
            <w:vAlign w:val="center"/>
          </w:tcPr>
          <w:p w:rsidR="00000000" w:rsidDel="00000000" w:rsidP="00000000" w:rsidRDefault="00000000" w:rsidRPr="00000000" w14:paraId="00000016">
            <w:pPr>
              <w:spacing w:after="300" w:before="300" w:lineRule="auto"/>
              <w:rPr>
                <w:rFonts w:ascii="Arial" w:cs="Arial" w:eastAsia="Arial" w:hAnsi="Arial"/>
              </w:rPr>
            </w:pPr>
            <w:r w:rsidDel="00000000" w:rsidR="00000000" w:rsidRPr="00000000">
              <w:rPr>
                <w:rFonts w:ascii="Arial" w:cs="Arial" w:eastAsia="Arial" w:hAnsi="Arial"/>
                <w:color w:val="2e3440"/>
                <w:rtl w:val="0"/>
              </w:rPr>
              <w:t xml:space="preserve">Dimension</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shd w:fill="e5e9f0" w:val="clear"/>
            <w:tcMar>
              <w:top w:w="80.0" w:type="dxa"/>
              <w:left w:w="80.0" w:type="dxa"/>
              <w:bottom w:w="80.0" w:type="dxa"/>
              <w:right w:w="80.0" w:type="dxa"/>
            </w:tcMar>
            <w:vAlign w:val="center"/>
          </w:tcPr>
          <w:p w:rsidR="00000000" w:rsidDel="00000000" w:rsidP="00000000" w:rsidRDefault="00000000" w:rsidRPr="00000000" w14:paraId="00000017">
            <w:pPr>
              <w:spacing w:after="300" w:before="300" w:lineRule="auto"/>
              <w:rPr>
                <w:rFonts w:ascii="Arial" w:cs="Arial" w:eastAsia="Arial" w:hAnsi="Arial"/>
              </w:rPr>
            </w:pPr>
            <w:r w:rsidDel="00000000" w:rsidR="00000000" w:rsidRPr="00000000">
              <w:rPr>
                <w:rFonts w:ascii="Arial" w:cs="Arial" w:eastAsia="Arial" w:hAnsi="Arial"/>
                <w:color w:val="2e3440"/>
                <w:rtl w:val="0"/>
              </w:rPr>
              <w:t xml:space="preserve">False Knowledge</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shd w:fill="e5e9f0" w:val="clear"/>
            <w:tcMar>
              <w:top w:w="80.0" w:type="dxa"/>
              <w:left w:w="80.0" w:type="dxa"/>
              <w:bottom w:w="80.0" w:type="dxa"/>
              <w:right w:w="80.0" w:type="dxa"/>
            </w:tcMar>
            <w:vAlign w:val="center"/>
          </w:tcPr>
          <w:p w:rsidR="00000000" w:rsidDel="00000000" w:rsidP="00000000" w:rsidRDefault="00000000" w:rsidRPr="00000000" w14:paraId="00000018">
            <w:pPr>
              <w:spacing w:after="300" w:before="300" w:lineRule="auto"/>
              <w:rPr>
                <w:rFonts w:ascii="Arial" w:cs="Arial" w:eastAsia="Arial" w:hAnsi="Arial"/>
              </w:rPr>
            </w:pPr>
            <w:r w:rsidDel="00000000" w:rsidR="00000000" w:rsidRPr="00000000">
              <w:rPr>
                <w:rFonts w:ascii="Arial" w:cs="Arial" w:eastAsia="Arial" w:hAnsi="Arial"/>
                <w:color w:val="2e3440"/>
                <w:rtl w:val="0"/>
              </w:rPr>
              <w:t xml:space="preserve">Know-Don't Know</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shd w:fill="e5e9f0" w:val="clear"/>
            <w:tcMar>
              <w:top w:w="80.0" w:type="dxa"/>
              <w:left w:w="80.0" w:type="dxa"/>
              <w:bottom w:w="80.0" w:type="dxa"/>
              <w:right w:w="80.0" w:type="dxa"/>
            </w:tcMar>
            <w:vAlign w:val="center"/>
          </w:tcPr>
          <w:p w:rsidR="00000000" w:rsidDel="00000000" w:rsidP="00000000" w:rsidRDefault="00000000" w:rsidRPr="00000000" w14:paraId="00000019">
            <w:pPr>
              <w:spacing w:after="300" w:before="300" w:lineRule="auto"/>
              <w:rPr>
                <w:rFonts w:ascii="Arial" w:cs="Arial" w:eastAsia="Arial" w:hAnsi="Arial"/>
              </w:rPr>
            </w:pPr>
            <w:r w:rsidDel="00000000" w:rsidR="00000000" w:rsidRPr="00000000">
              <w:rPr>
                <w:rFonts w:ascii="Arial" w:cs="Arial" w:eastAsia="Arial" w:hAnsi="Arial"/>
                <w:color w:val="2e3440"/>
                <w:rtl w:val="0"/>
              </w:rPr>
              <w:t xml:space="preserve">Know-Know</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shd w:fill="e5e9f0" w:val="clear"/>
            <w:tcMar>
              <w:top w:w="80.0" w:type="dxa"/>
              <w:left w:w="80.0" w:type="dxa"/>
              <w:bottom w:w="80.0" w:type="dxa"/>
              <w:right w:w="80.0" w:type="dxa"/>
            </w:tcMar>
            <w:vAlign w:val="center"/>
          </w:tcPr>
          <w:p w:rsidR="00000000" w:rsidDel="00000000" w:rsidP="00000000" w:rsidRDefault="00000000" w:rsidRPr="00000000" w14:paraId="0000001A">
            <w:pPr>
              <w:spacing w:after="300" w:before="300" w:lineRule="auto"/>
              <w:rPr>
                <w:rFonts w:ascii="Arial" w:cs="Arial" w:eastAsia="Arial" w:hAnsi="Arial"/>
              </w:rPr>
            </w:pPr>
            <w:r w:rsidDel="00000000" w:rsidR="00000000" w:rsidRPr="00000000">
              <w:rPr>
                <w:rFonts w:ascii="Arial" w:cs="Arial" w:eastAsia="Arial" w:hAnsi="Arial"/>
                <w:color w:val="2e3440"/>
                <w:rtl w:val="0"/>
              </w:rPr>
              <w:t xml:space="preserve">Omission</w:t>
            </w:r>
            <w:r w:rsidDel="00000000" w:rsidR="00000000" w:rsidRPr="00000000">
              <w:rPr>
                <w:rtl w:val="0"/>
              </w:rPr>
            </w:r>
          </w:p>
        </w:tc>
      </w:tr>
      <w:tr>
        <w:trPr>
          <w:cantSplit w:val="0"/>
          <w:trHeight w:val="420" w:hRule="atLeast"/>
          <w:tblHeader w:val="0"/>
        </w:trPr>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B">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**Facts**</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C">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1</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D">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1</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E">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1</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1F">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w:t>
            </w:r>
            <w:r w:rsidDel="00000000" w:rsidR="00000000" w:rsidRPr="00000000">
              <w:rPr>
                <w:rtl w:val="0"/>
              </w:rPr>
            </w:r>
          </w:p>
        </w:tc>
      </w:tr>
      <w:tr>
        <w:trPr>
          <w:cantSplit w:val="0"/>
          <w:trHeight w:val="420" w:hRule="atLeast"/>
          <w:tblHeader w:val="0"/>
        </w:trPr>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0">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**Strategies**</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1">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2">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1</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3">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1</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4">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w:t>
            </w:r>
            <w:r w:rsidDel="00000000" w:rsidR="00000000" w:rsidRPr="00000000">
              <w:rPr>
                <w:rtl w:val="0"/>
              </w:rPr>
            </w:r>
          </w:p>
        </w:tc>
      </w:tr>
      <w:tr>
        <w:trPr>
          <w:cantSplit w:val="0"/>
          <w:trHeight w:val="420" w:hRule="atLeast"/>
          <w:tblHeader w:val="0"/>
        </w:trPr>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5">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**Procedures**</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6">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7">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2</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8">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9">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1</w:t>
            </w:r>
            <w:r w:rsidDel="00000000" w:rsidR="00000000" w:rsidRPr="00000000">
              <w:rPr>
                <w:rtl w:val="0"/>
              </w:rPr>
            </w:r>
          </w:p>
        </w:tc>
      </w:tr>
      <w:tr>
        <w:trPr>
          <w:cantSplit w:val="0"/>
          <w:trHeight w:val="420" w:hRule="atLeast"/>
          <w:tblHeader w:val="0"/>
        </w:trPr>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A">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**Rationales**</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B">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C">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1</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D">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0</w:t>
            </w:r>
            <w:r w:rsidDel="00000000" w:rsidR="00000000" w:rsidRPr="00000000">
              <w:rPr>
                <w:rtl w:val="0"/>
              </w:rPr>
            </w:r>
          </w:p>
        </w:tc>
        <w:tc>
          <w:tcPr>
            <w:tcBorders>
              <w:top w:color="d8dee9" w:space="0" w:sz="7" w:val="single"/>
              <w:left w:color="d8dee9" w:space="0" w:sz="7" w:val="single"/>
              <w:bottom w:color="d8dee9" w:space="0" w:sz="7" w:val="single"/>
              <w:right w:color="d8dee9" w:space="0" w:sz="7" w:val="single"/>
            </w:tcBorders>
            <w:tcMar>
              <w:top w:w="80.0" w:type="dxa"/>
              <w:left w:w="80.0" w:type="dxa"/>
              <w:bottom w:w="80.0" w:type="dxa"/>
              <w:right w:w="80.0" w:type="dxa"/>
            </w:tcMar>
            <w:vAlign w:val="center"/>
          </w:tcPr>
          <w:p w:rsidR="00000000" w:rsidDel="00000000" w:rsidP="00000000" w:rsidRDefault="00000000" w:rsidRPr="00000000" w14:paraId="0000002E">
            <w:pPr>
              <w:spacing w:after="300" w:before="300" w:lineRule="auto"/>
              <w:rPr>
                <w:rFonts w:ascii="Arial" w:cs="Arial" w:eastAsia="Arial" w:hAnsi="Arial"/>
              </w:rPr>
            </w:pPr>
            <w:r w:rsidDel="00000000" w:rsidR="00000000" w:rsidRPr="00000000">
              <w:rPr>
                <w:rFonts w:ascii="Arial" w:cs="Arial" w:eastAsia="Arial" w:hAnsi="Arial"/>
                <w:color w:val="70728f"/>
                <w:rtl w:val="0"/>
              </w:rPr>
              <w:t xml:space="preserve">2</w:t>
            </w:r>
            <w:r w:rsidDel="00000000" w:rsidR="00000000" w:rsidRPr="00000000">
              <w:rPr>
                <w:rtl w:val="0"/>
              </w:rPr>
            </w:r>
          </w:p>
        </w:tc>
      </w:tr>
    </w:tbl>
    <w:p w:rsidR="00000000" w:rsidDel="00000000" w:rsidP="00000000" w:rsidRDefault="00000000" w:rsidRPr="00000000" w14:paraId="0000002F">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b w:val="1"/>
          <w:bCs w:val="1"/>
          <w:color w:val="2e3440"/>
          <w:sz w:val="26"/>
          <w:szCs w:val="26"/>
        </w:rPr>
      </w:pPr>
      <w:bookmarkStart w:colFirst="0" w:colLast="0" w:name="_84pwmrhxbda7" w:id="2"/>
      <w:bookmarkEnd w:id="2"/>
      <w:r w:rsidDel="00000000" w:rsidR="00000000" w:rsidRPr="00000000">
        <w:rPr>
          <w:rFonts w:ascii="Arial" w:cs="Arial" w:eastAsia="Arial" w:hAnsi="Arial"/>
          <w:b w:val="1"/>
          <w:bCs w:val="1"/>
          <w:color w:val="2e3440"/>
          <w:sz w:val="26"/>
          <w:szCs w:val="26"/>
          <w:rtl w:val="0"/>
        </w:rPr>
        <w:t xml:space="preserve">Question 1</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b w:val="1"/>
          <w:bCs w:val="1"/>
          <w:color w:val="2e3440"/>
        </w:rPr>
      </w:pPr>
      <w:r w:rsidDel="00000000" w:rsidR="00000000" w:rsidRPr="00000000">
        <w:rPr>
          <w:rFonts w:ascii="Arial" w:cs="Arial" w:eastAsia="Arial" w:hAnsi="Arial"/>
          <w:b w:val="1"/>
          <w:bCs w:val="1"/>
          <w:color w:val="2e3440"/>
          <w:rtl w:val="0"/>
        </w:rPr>
        <w:t xml:space="preserve">What are my rights regarding the security deposit, and what should I do next?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In Arizona, you have specific rights regarding your security deposit:\n\n1. **Return Timeline**: Your landlord must return your security deposit within 14 business days after you move out, provided you have returned the keys and given a forwarding address.\n\n2. **Itemized Deductions**: If the landlord deducts any amount for damages, they must provide an itemized list of these deductions along with any remaining balance of the deposit.\n\n3. **Legal Consequences**: If the landlord fails to comply with these requirements, you may be entitled to recover the deposit amount plus damages up to twice the deposit amount.\n\n**Next Steps**:\n- **Write a Request**: Send a written request to your landlord asking for the return of your deposit and an itemized list of any deductions. Keep a copy for your records.\n- **Consider Legal Action**: If the landlord does not respond or comply, you may consider filing a claim in small claims court to recover your deposit.\n\nWould you like guidance on drafting a request letter or information about the small claims process?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i w:val="1"/>
          <w:iCs w:val="1"/>
          <w:color w:val="4c566a"/>
        </w:rPr>
      </w:pPr>
      <w:r w:rsidDel="00000000" w:rsidR="00000000" w:rsidRPr="00000000">
        <w:rPr>
          <w:rFonts w:ascii="Arial" w:cs="Arial" w:eastAsia="Arial" w:hAnsi="Arial"/>
          <w:i w:val="1"/>
          <w:iCs w:val="1"/>
          <w:color w:val="4c566a"/>
          <w:rtl w:val="0"/>
        </w:rPr>
        <w:t xml:space="preserve">Notes:  Response mentions the14-day timeline, itemized list requirement, and landlord penalties converting all the Critical Gaps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b w:val="1"/>
          <w:bCs w:val="1"/>
          <w:color w:val="2e3440"/>
          <w:sz w:val="26"/>
          <w:szCs w:val="26"/>
        </w:rPr>
      </w:pPr>
      <w:bookmarkStart w:colFirst="0" w:colLast="0" w:name="_75cpxdf6e8zx" w:id="3"/>
      <w:bookmarkEnd w:id="3"/>
      <w:r w:rsidDel="00000000" w:rsidR="00000000" w:rsidRPr="00000000">
        <w:rPr>
          <w:rFonts w:ascii="Arial" w:cs="Arial" w:eastAsia="Arial" w:hAnsi="Arial"/>
          <w:b w:val="1"/>
          <w:bCs w:val="1"/>
          <w:color w:val="2e3440"/>
          <w:sz w:val="26"/>
          <w:szCs w:val="26"/>
          <w:rtl w:val="0"/>
        </w:rPr>
        <w:t xml:space="preserve">Question 2</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b w:val="1"/>
          <w:bCs w:val="1"/>
          <w:color w:val="2e3440"/>
        </w:rPr>
      </w:pPr>
      <w:r w:rsidDel="00000000" w:rsidR="00000000" w:rsidRPr="00000000">
        <w:rPr>
          <w:rFonts w:ascii="Arial" w:cs="Arial" w:eastAsia="Arial" w:hAnsi="Arial"/>
          <w:b w:val="1"/>
          <w:bCs w:val="1"/>
          <w:color w:val="2e3440"/>
          <w:rtl w:val="0"/>
        </w:rPr>
        <w:t xml:space="preserve">My landlord missed the 30-day deadline - what can I do?</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In Arizona, your landlord is required to return your security deposit within 14 business days, not 30 days, after you move out and provide a forwarding address. Since your landlord has missed this deadline, here are some steps you can consider:\n\n1. **Send a Written Request**: Write a formal letter to your landlord requesting the return of your security deposit and an itemized list of any deductions. Make sure to include:\n - Your new address for correspondence.\n - A reminder of the 14-day requirement under Arizona law.\n - A request for the full deposit or an explanation of any deductions.\n\n2. **Keep Records**: Document all communications with your landlord. This includes keeping copies of letters, emails, and any other correspondence.\n\n3. **Consider Small Claims Court**: If your landlord does not respond or refuses to comply, you may file a claim in small claims court. Arizona law allows you to potentially recover the deposit plus damages up to twice the deposit amount if the landlord fails to comply.\n\n4. **Seek Legal Assistance**: If the situation becomes complex or you need further guidance, consider consulting with a legal professional who can provide advice specific to your case.\n\nWould you like more detailed guidance on drafting the letter or information about the small claims process?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i w:val="1"/>
          <w:iCs w:val="1"/>
          <w:color w:val="4c566a"/>
          <w:rtl w:val="0"/>
        </w:rPr>
        <w:t xml:space="preserve">Notes: Response corrects users</w:t>
      </w:r>
      <w:r w:rsidDel="00000000" w:rsidR="00000000" w:rsidRPr="00000000">
        <w:rPr>
          <w:rFonts w:ascii="Arial" w:cs="Arial" w:eastAsia="Arial" w:hAnsi="Arial"/>
          <w:color w:val="4c566a"/>
          <w:rtl w:val="0"/>
        </w:rPr>
        <w:t xml:space="preserve"> False Knowledge: "I think the time limit is 30 days."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b w:val="1"/>
          <w:bCs w:val="1"/>
          <w:color w:val="2e3440"/>
          <w:sz w:val="26"/>
          <w:szCs w:val="26"/>
        </w:rPr>
      </w:pPr>
      <w:bookmarkStart w:colFirst="0" w:colLast="0" w:name="_o4vucfbn5ple" w:id="4"/>
      <w:bookmarkEnd w:id="4"/>
      <w:r w:rsidDel="00000000" w:rsidR="00000000" w:rsidRPr="00000000">
        <w:rPr>
          <w:rFonts w:ascii="Arial" w:cs="Arial" w:eastAsia="Arial" w:hAnsi="Arial"/>
          <w:b w:val="1"/>
          <w:bCs w:val="1"/>
          <w:color w:val="2e3440"/>
          <w:sz w:val="26"/>
          <w:szCs w:val="26"/>
          <w:rtl w:val="0"/>
        </w:rPr>
        <w:t xml:space="preserve">Question 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b w:val="1"/>
          <w:bCs w:val="1"/>
          <w:color w:val="2e3440"/>
        </w:rPr>
      </w:pPr>
      <w:r w:rsidDel="00000000" w:rsidR="00000000" w:rsidRPr="00000000">
        <w:rPr>
          <w:rFonts w:ascii="Arial" w:cs="Arial" w:eastAsia="Arial" w:hAnsi="Arial"/>
          <w:b w:val="1"/>
          <w:bCs w:val="1"/>
          <w:color w:val="2e3440"/>
          <w:rtl w:val="0"/>
        </w:rPr>
        <w:t xml:space="preserve">Is there any penalty if the landlord doesn't return the deposit on time?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Yes, in Arizona, if a landlord does not return the security deposit within the required 14 business days after you move out and provide a forwarding address, there are potential penalties. You may be entitled to recover the amount of the deposit plus damages in an amount equal to twice the deposit amount. This is designed to encourage landlords to comply with the law and ensure tenants receive their deposits back in a timely manner.\n\nHere’s what you can consider doing next:\n\n1. **Send a Written Demand**: If you haven't already, send a formal written demand to your landlord requesting the return of your security deposit and an itemized list of any deductions. Include a reminder of the 14-day requirement and state that you are aware of your rights under Arizona law.\n\n2. **Consider Legal Action**: If the landlord still does not comply, you may file a claim in small claims court to recover your deposit and any additional damages you are entitled to under the law.\n\nWould you like more information on how to proceed with small claims court or how to draft a demand letter?</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60" w:lineRule="auto"/>
        <w:rPr>
          <w:rFonts w:ascii="Arial" w:cs="Arial" w:eastAsia="Arial" w:hAnsi="Arial"/>
          <w:b w:val="1"/>
          <w:bCs w:val="1"/>
          <w:color w:val="2e3440"/>
          <w:sz w:val="26"/>
          <w:szCs w:val="26"/>
        </w:rPr>
      </w:pPr>
      <w:bookmarkStart w:colFirst="0" w:colLast="0" w:name="_rihdol9jq5ke" w:id="5"/>
      <w:bookmarkEnd w:id="5"/>
      <w:r w:rsidDel="00000000" w:rsidR="00000000" w:rsidRPr="00000000">
        <w:rPr>
          <w:rFonts w:ascii="Arial" w:cs="Arial" w:eastAsia="Arial" w:hAnsi="Arial"/>
          <w:b w:val="1"/>
          <w:bCs w:val="1"/>
          <w:color w:val="2e3440"/>
          <w:sz w:val="26"/>
          <w:szCs w:val="26"/>
          <w:rtl w:val="0"/>
        </w:rPr>
        <w:t xml:space="preserve">Question 4</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b w:val="1"/>
          <w:bCs w:val="1"/>
          <w:color w:val="2e3440"/>
        </w:rPr>
      </w:pPr>
      <w:r w:rsidDel="00000000" w:rsidR="00000000" w:rsidRPr="00000000">
        <w:rPr>
          <w:rFonts w:ascii="Arial" w:cs="Arial" w:eastAsia="Arial" w:hAnsi="Arial"/>
          <w:b w:val="1"/>
          <w:bCs w:val="1"/>
          <w:color w:val="2e3440"/>
          <w:rtl w:val="0"/>
        </w:rPr>
        <w:t xml:space="preserve">Can I take my landlord to small claims court?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color w:val="4c566a"/>
        </w:rPr>
      </w:pPr>
      <w:r w:rsidDel="00000000" w:rsidR="00000000" w:rsidRPr="00000000">
        <w:rPr>
          <w:rFonts w:ascii="Arial" w:cs="Arial" w:eastAsia="Arial" w:hAnsi="Arial"/>
          <w:color w:val="4c566a"/>
          <w:rtl w:val="0"/>
        </w:rPr>
        <w:t xml:space="preserve">Yes, you can take your landlord to small claims court in Arizona if they have not returned your security deposit within the required timeframe. Here’s a brief overview of the process:\n\n1. **Determine Eligibility**: Small claims court is designed for disputes involving relatively small amounts of money. In Arizona, the limit for small claims is $3,500.\n\n2. **Prepare Your Case**: Gather all relevant documentation, such as:\n   - Your lease agreement.\n   - Any communication with your landlord regarding the deposit.\n   - A copy of your written request for the deposit return.\n   - Proof of the date you moved out and provided a forwarding address.\n\n3. **File a Claim**: You will need to file a complaint with the small claims division of the Justice Court in the precinct where the rental property is located. There is a filing fee, which varies by location.\n\n4. **Serve the Landlord**: After filing, you must serve the landlord with a copy of the complaint. This can typically be done through a process server or the sheriff's office.\n\n5. **Attend the Hearing**: Be prepared to present your case at the hearing. Bring all your evidence and be ready to explain why you are entitled to the return of your deposit and any additional damages.\n\nIf you win, the court may order your landlord to pay the deposit plus any applicable damages. \n\nWould you like more detailed information on any of these steps?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rPr>
          <w:rFonts w:ascii="Arial" w:cs="Arial" w:eastAsia="Arial" w:hAnsi="Arial"/>
          <w:i w:val="1"/>
          <w:iCs w:val="1"/>
          <w:color w:val="4c566a"/>
        </w:rPr>
      </w:pPr>
      <w:r w:rsidDel="00000000" w:rsidR="00000000" w:rsidRPr="00000000">
        <w:rPr>
          <w:rFonts w:ascii="Arial" w:cs="Arial" w:eastAsia="Arial" w:hAnsi="Arial"/>
          <w:i w:val="1"/>
          <w:iCs w:val="1"/>
          <w:color w:val="4c566a"/>
          <w:rtl w:val="0"/>
        </w:rPr>
        <w:t xml:space="preserve">Response show that the Most Critical Gap items are clearly addressed: 14-day timeline, itemized list requirement, and landlord penalties and facts already known are not re-explained. e.g.  Know-Know: “I could send a demand letter or take him to small claims court”</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tillium Web" w:cs="Titillium Web" w:eastAsia="Titillium Web" w:hAnsi="Titillium Web"/>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45818e"/>
      <w:sz w:val="24"/>
      <w:szCs w:val="24"/>
    </w:rPr>
  </w:style>
  <w:style w:type="paragraph" w:styleId="Heading2">
    <w:name w:val="heading 2"/>
    <w:basedOn w:val="Normal"/>
    <w:next w:val="Normal"/>
    <w:pPr>
      <w:keepNext w:val="1"/>
      <w:keepLines w:val="1"/>
    </w:pPr>
    <w:rPr>
      <w:b w:val="1"/>
      <w:bCs w:val="1"/>
      <w:color w:val="8e7cc3"/>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741b47"/>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