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60" w:lineRule="auto"/>
        <w:rPr>
          <w:rFonts w:ascii="Arial" w:cs="Arial" w:eastAsia="Arial" w:hAnsi="Arial"/>
          <w:b w:val="1"/>
          <w:bCs w:val="1"/>
          <w:color w:val="2e3440"/>
          <w:sz w:val="26"/>
          <w:szCs w:val="26"/>
        </w:rPr>
      </w:pPr>
      <w:bookmarkStart w:colFirst="0" w:colLast="0" w:name="_8ypqr1k1c96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60" w:lineRule="auto"/>
        <w:rPr/>
      </w:pPr>
      <w:bookmarkStart w:colFirst="0" w:colLast="0" w:name="_f04xdyqze3mj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60" w:lineRule="auto"/>
        <w:rPr>
          <w:rFonts w:ascii="Arial" w:cs="Arial" w:eastAsia="Arial" w:hAnsi="Arial"/>
          <w:b w:val="1"/>
          <w:bCs w:val="1"/>
          <w:color w:val="2e3440"/>
          <w:sz w:val="26"/>
          <w:szCs w:val="26"/>
        </w:rPr>
      </w:pPr>
      <w:bookmarkStart w:colFirst="0" w:colLast="0" w:name="_rvhab4gn0zuy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sz w:val="26"/>
          <w:szCs w:val="26"/>
          <w:rtl w:val="0"/>
        </w:rPr>
        <w:t xml:space="preserve">Phase 1: Learning Goal &amp; Content Generation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The system initiates personalization once the user enters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Learning Goal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LLM1 (Categorizer):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Defines the domain and branch based on the goal.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LLM2 (Architect):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Generates the Knowledge Base, Chain-of-Thought (CoT) prompts, RAG data, and few-shot examples.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LLM3 (Reviewer):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Validates and reviews the contents generated by LLM2.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LLM4 (Example Generator):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Creates specific reference examples for the user's self-assessment.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60" w:lineRule="auto"/>
        <w:rPr>
          <w:rFonts w:ascii="Arial" w:cs="Arial" w:eastAsia="Arial" w:hAnsi="Arial"/>
          <w:b w:val="1"/>
          <w:bCs w:val="1"/>
          <w:color w:val="2e3440"/>
          <w:sz w:val="26"/>
          <w:szCs w:val="26"/>
        </w:rPr>
      </w:pPr>
      <w:bookmarkStart w:colFirst="0" w:colLast="0" w:name="_2tx8gyuo6ueo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sz w:val="26"/>
          <w:szCs w:val="26"/>
          <w:rtl w:val="0"/>
        </w:rPr>
        <w:t xml:space="preserve">Phase 2: Self-Assessment Framework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Users perform a self-assessment by defining a problem and providing details across four dimensions: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Facts: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Basic definitions and phenomena.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Strategies: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The high-level approach to solving the problem.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Procedure: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The specific step-by-step process.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Rationales: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The deep reasoning behind the chosen procedures/strategies.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rFonts w:ascii="Arial" w:cs="Arial" w:eastAsia="Arial" w:hAnsi="Arial"/>
          <w:b w:val="1"/>
          <w:bCs w:val="1"/>
          <w:color w:val="2e3440"/>
          <w:sz w:val="26"/>
          <w:szCs w:val="26"/>
        </w:rPr>
      </w:pPr>
      <w:bookmarkStart w:colFirst="0" w:colLast="0" w:name="_ufmgc6ac32vf" w:id="4"/>
      <w:bookmarkEnd w:id="4"/>
      <w:r w:rsidDel="00000000" w:rsidR="00000000" w:rsidRPr="00000000">
        <w:rPr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sz w:val="26"/>
          <w:szCs w:val="26"/>
          <w:rtl w:val="0"/>
        </w:rPr>
        <w:t xml:space="preserve">Logic &amp; Labeling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The system evaluates the user's input against the LLM-generated knowledge base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Few-Shot Calibrators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CoT Checklists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Label Glossary: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1"/>
          <w:iCs w:val="1"/>
          <w:color w:val="4c566a"/>
          <w:rtl w:val="0"/>
        </w:rPr>
        <w:t xml:space="preserve">Know-know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(Correct)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c566a"/>
          <w:rtl w:val="0"/>
        </w:rPr>
        <w:t xml:space="preserve">Know-don't know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(Admitted gap)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c566a"/>
          <w:rtl w:val="0"/>
        </w:rPr>
        <w:t xml:space="preserve">False knowledge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(Incorrect)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c566a"/>
          <w:rtl w:val="0"/>
        </w:rPr>
        <w:t xml:space="preserve">Omission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(Missing info)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c566a"/>
          <w:rtl w:val="0"/>
        </w:rPr>
        <w:t xml:space="preserve">Irrelevant knowledge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(Off-topic)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Self-Assessment Report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identifying the student's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Most Critical Gap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. This report is store</w:t>
      </w:r>
      <w:r w:rsidDel="00000000" w:rsidR="00000000" w:rsidRPr="00000000">
        <w:rPr>
          <w:rtl w:val="0"/>
        </w:rPr>
        <w:t xml:space="preserve">d in the d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atabase and fed into the active session.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60" w:lineRule="auto"/>
        <w:rPr>
          <w:rFonts w:ascii="Arial" w:cs="Arial" w:eastAsia="Arial" w:hAnsi="Arial"/>
          <w:b w:val="1"/>
          <w:bCs w:val="1"/>
          <w:color w:val="2e3440"/>
          <w:sz w:val="26"/>
          <w:szCs w:val="26"/>
        </w:rPr>
      </w:pPr>
      <w:bookmarkStart w:colFirst="0" w:colLast="0" w:name="_o2k2awpo2wuu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sz w:val="26"/>
          <w:szCs w:val="26"/>
          <w:rtl w:val="0"/>
        </w:rPr>
        <w:t xml:space="preserve">Phase 3: Chatbot Implementation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The interaction phase utilizes a dual-LLM setup: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LLM1 (Tutor):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Responds directly to student questions.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Arial" w:cs="Arial" w:eastAsia="Arial" w:hAnsi="Arial"/>
          <w:color w:val="4c566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3440"/>
          <w:rtl w:val="0"/>
        </w:rPr>
        <w:t xml:space="preserve">LLM2 (Evaluator):</w:t>
      </w:r>
      <w:r w:rsidDel="00000000" w:rsidR="00000000" w:rsidRPr="00000000">
        <w:rPr>
          <w:rFonts w:ascii="Arial" w:cs="Arial" w:eastAsia="Arial" w:hAnsi="Arial"/>
          <w:color w:val="4c566a"/>
          <w:rtl w:val="0"/>
        </w:rPr>
        <w:t xml:space="preserve"> Continuously monitors and checks the student's understanding throughout the conversation.</w:t>
      </w:r>
    </w:p>
    <w:p w:rsidR="00000000" w:rsidDel="00000000" w:rsidP="00000000" w:rsidRDefault="00000000" w:rsidRPr="00000000" w14:paraId="0000001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/>
      </w:pPr>
      <w:bookmarkStart w:colFirst="0" w:colLast="0" w:name="_4otmq9wqq22d" w:id="6"/>
      <w:bookmarkEnd w:id="6"/>
      <w:r w:rsidDel="00000000" w:rsidR="00000000" w:rsidRPr="00000000">
        <w:rPr>
          <w:rtl w:val="0"/>
        </w:rPr>
        <w:t xml:space="preserve">DESIGN APPROACH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kt6818fadbnz" w:id="7"/>
      <w:bookmarkEnd w:id="7"/>
      <w:r w:rsidDel="00000000" w:rsidR="00000000" w:rsidRPr="00000000">
        <w:rPr>
          <w:rtl w:val="0"/>
        </w:rPr>
        <w:t xml:space="preserve">Step 1: Generate Self Assessment Form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9050" distT="19050" distL="19050" distR="19050">
            <wp:extent cx="2061977" cy="48261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977" cy="482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Legal-specific KB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KB key=legal_domain/jurisdiction e.g. traffic_law/texas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academic domain taxonomy (mathematics, science, CS) with legal-specific domain taxonomy (traffic law, contract law, tenant rights)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 not generate branch from user’s goal but user jurisdiction (available in our user profile from during onboarding)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KB expiry/refresh policy</w:t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Self Assessment Form - Example 1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Problem Statement: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got a speeding ticket doing 80 in a 65 zone on the highway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Facts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: What the user understands about their legal situation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>
          <w:rFonts w:ascii="Hanken Grotesk" w:cs="Hanken Grotesk" w:eastAsia="Hanken Grotesk" w:hAnsi="Hanken Grotesk"/>
          <w:i w:val="1"/>
          <w:iCs w:val="1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know I was doing 80 in a 65 zone. I got a citation with a court date on it. I think the fine is around $200.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Strategies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: What options does the user think he have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think I can either just pay the fine online or go to court and fight it. I've also heard about defensive driving courses.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Procedures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: What process does the user think the situation involves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think I log into the county website and pay, or I show up on the court date if I want to contest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Rationales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: Why the user prefers this approach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want to take a driving course to keep the ticket off my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Self Assessment Form - Example 2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Problem Statement: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want to understand this contract document that I have 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Facts: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know it's a service agreement between me and a freelance contractor. It mentions payment terms and a 90-day notice period. I'm not sure what 'indemnification' means or what I'm actually agreeing to in that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Strategies: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think I can either sign it as-is, ask for changes to certain clauses, or refuse to sign altogether.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Procedures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think I just read through it, flag anything confusing, and then sign it if I'm happy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7"/>
          <w:szCs w:val="27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7"/>
          <w:szCs w:val="27"/>
          <w:rtl w:val="0"/>
        </w:rPr>
        <w:t xml:space="preserve">Rationales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3"/>
          <w:szCs w:val="23"/>
          <w:rtl w:val="0"/>
        </w:rPr>
        <w:t xml:space="preserve">I want to understand it fully before signing because it's a long-term engagement and involves a large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c0740hrivach" w:id="8"/>
      <w:bookmarkEnd w:id="8"/>
      <w:r w:rsidDel="00000000" w:rsidR="00000000" w:rsidRPr="00000000">
        <w:rPr>
          <w:rtl w:val="0"/>
        </w:rPr>
        <w:t xml:space="preserve">Step 2: Evaluate Self Assessment Form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9050" distT="19050" distL="19050" distR="19050">
            <wp:extent cx="3769949" cy="38033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949" cy="3803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Notes: Token-overlap RAG scoring will be a limitation of legal language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bulnyr1ln2w6" w:id="9"/>
      <w:bookmarkEnd w:id="9"/>
      <w:r w:rsidDel="00000000" w:rsidR="00000000" w:rsidRPr="00000000">
        <w:rPr>
          <w:rtl w:val="0"/>
        </w:rPr>
        <w:t xml:space="preserve">Step 3: Using Self Assessment Report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9050" distT="19050" distL="19050" distR="19050">
            <wp:extent cx="5331625" cy="26319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1625" cy="2631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k19d5f5kcrb" w:id="10"/>
      <w:bookmarkEnd w:id="10"/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Current RAG is token-overlap based, not semantic.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  <w:rtl w:val="0"/>
        </w:rPr>
        <w:t xml:space="preserve">: I want to contest the ticket because I don't think the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38761d"/>
          <w:sz w:val="20"/>
          <w:szCs w:val="20"/>
          <w:rtl w:val="0"/>
        </w:rPr>
        <w:t xml:space="preserve">radar gun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  <w:rtl w:val="0"/>
        </w:rPr>
        <w:t xml:space="preserve"> was accurate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KB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  <w:rtl w:val="0"/>
        </w:rPr>
        <w:t xml:space="preserve">: A defendant may challenge a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38761d"/>
          <w:sz w:val="20"/>
          <w:szCs w:val="20"/>
          <w:rtl w:val="0"/>
        </w:rPr>
        <w:t xml:space="preserve">speed measurement device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  <w:rtl w:val="0"/>
        </w:rPr>
        <w:t xml:space="preserve"> by requesting calibration records and maintenance logs for the equipment used during the stop.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The Knowledge Base for Legal Data can be outdated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Self-assessment assumes user awareness but general public answers might not be meaningful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Law Student: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  <w:rtl w:val="0"/>
        </w:rPr>
        <w:t xml:space="preserve"> I want to negotiate the indemnification clause because it creates unlimited liability exposure for me, and I believe the IP ownership clause should be amended because it assigns work-for-hire rights too broadly.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firstLine="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Random User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666666"/>
          <w:sz w:val="20"/>
          <w:szCs w:val="20"/>
          <w:rtl w:val="0"/>
        </w:rPr>
        <w:t xml:space="preserve">: I don't really know why, I just need to sign it for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72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Cross-jurisdiction: federal vs state law, what if the user moved and it concerns multiple states - 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144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cc0000"/>
          <w:sz w:val="24"/>
          <w:szCs w:val="24"/>
          <w:rtl w:val="0"/>
        </w:rPr>
        <w:t xml:space="preserve">ask the user, 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144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cc0000"/>
          <w:sz w:val="24"/>
          <w:szCs w:val="24"/>
          <w:rtl w:val="0"/>
        </w:rPr>
        <w:t xml:space="preserve">clarifying questions along with answer from LLM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ind w:left="144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cc0000"/>
          <w:sz w:val="24"/>
          <w:szCs w:val="24"/>
          <w:rtl w:val="0"/>
        </w:rPr>
        <w:t xml:space="preserve">predefined set of questions to gather the information he needs to answer the question (if known situation) otherwise LLM generates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39mzohnra33v" w:id="11"/>
      <w:bookmarkEnd w:id="11"/>
      <w:r w:rsidDel="00000000" w:rsidR="00000000" w:rsidRPr="00000000">
        <w:rPr>
          <w:rtl w:val="0"/>
        </w:rPr>
        <w:t xml:space="preserve">Proposal for Legal Use Case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144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Conversational intake instead of </w:t>
      </w: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000000"/>
          <w:sz w:val="24"/>
          <w:szCs w:val="24"/>
          <w:rtl w:val="0"/>
        </w:rPr>
        <w:t xml:space="preserve">Goal 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216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000000"/>
          <w:rtl w:val="0"/>
        </w:rPr>
        <w:t xml:space="preserve">What is your situation?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 -&gt; understand legal problem 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216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000000"/>
          <w:rtl w:val="0"/>
        </w:rPr>
        <w:t xml:space="preserve">Have you dealt with this before?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 -&gt; understand baseline familiarity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216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000000"/>
          <w:rtl w:val="0"/>
        </w:rPr>
        <w:t xml:space="preserve">What outcome are you looking for?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 -&gt; understand intent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216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color w:val="000000"/>
          <w:rtl w:val="0"/>
        </w:rPr>
        <w:t xml:space="preserve">Does your situation involve more than one state or country?</w:t>
      </w: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 -&gt; flag for cross-jurisdictional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44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Migrate from LLM-generated RAG evidence to real legal sources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144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000000"/>
          <w:sz w:val="24"/>
          <w:szCs w:val="24"/>
          <w:rtl w:val="0"/>
        </w:rPr>
        <w:t xml:space="preserve">Time-based expiry policy for the LLM-generated knowledge base (30 days)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216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cc0000"/>
          <w:sz w:val="24"/>
          <w:szCs w:val="24"/>
          <w:rtl w:val="0"/>
        </w:rPr>
        <w:t xml:space="preserve">Out-of-scope for now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216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cc0000"/>
          <w:sz w:val="24"/>
          <w:szCs w:val="24"/>
          <w:rtl w:val="0"/>
        </w:rPr>
        <w:t xml:space="preserve">cost analysis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2160" w:hanging="360"/>
        <w:rPr>
          <w:rFonts w:ascii="Hanken Grotesk" w:cs="Hanken Grotesk" w:eastAsia="Hanken Grotesk" w:hAnsi="Hanken Grotesk"/>
          <w:color w:val="000000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cc0000"/>
          <w:sz w:val="24"/>
          <w:szCs w:val="24"/>
          <w:rtl w:val="0"/>
        </w:rPr>
        <w:t xml:space="preserve">how often do laws change (like statues)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anken Grotes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c566a"/>
        <w:sz w:val="22"/>
        <w:szCs w:val="22"/>
        <w:lang w:val="en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45818e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300" w:line="360" w:lineRule="auto"/>
    </w:pPr>
    <w:rPr>
      <w:rFonts w:ascii="Arial" w:cs="Arial" w:eastAsia="Arial" w:hAnsi="Arial"/>
      <w:b w:val="1"/>
      <w:bCs w:val="1"/>
      <w:color w:val="2e3440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300" w:line="360" w:lineRule="auto"/>
    </w:pPr>
    <w:rPr>
      <w:rFonts w:ascii="Arial" w:cs="Arial" w:eastAsia="Arial" w:hAnsi="Arial"/>
      <w:b w:val="1"/>
      <w:bCs w:val="1"/>
      <w:color w:val="2e344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741b47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kenGrotesk-regular.ttf"/><Relationship Id="rId2" Type="http://schemas.openxmlformats.org/officeDocument/2006/relationships/font" Target="fonts/HankenGrotesk-bold.ttf"/><Relationship Id="rId3" Type="http://schemas.openxmlformats.org/officeDocument/2006/relationships/font" Target="fonts/HankenGrotesk-italic.ttf"/><Relationship Id="rId4" Type="http://schemas.openxmlformats.org/officeDocument/2006/relationships/font" Target="fonts/HankenGrotes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