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right"/>
      </w:pPr>
      <w:r>
        <w:rPr>
          <w:rFonts w:ascii="游明朝" w:eastAsia="游明朝" w:hAnsi="游明朝"/>
          <w:color w:val="000000"/>
          <w:sz w:val="21"/>
          <w:szCs w:val="21"/>
        </w:rPr>
        <w:t xml:space="preserve">2026年9月4日</w:t>
      </w:r>
    </w:p>
    <w:p>
      <w:pPr>
        <w:spacing w:after="360" w:before="0" w:line="320"/>
        <w:jc w:val="left"/>
      </w:pPr>
      <w:r>
        <w:rPr>
          <w:rFonts w:ascii="游明朝" w:eastAsia="游明朝" w:hAnsi="游明朝"/>
          <w:color w:val="000000"/>
          <w:sz w:val="22"/>
          <w:szCs w:val="22"/>
        </w:rPr>
        <w:t xml:space="preserve">株式会社紀陽銀行　御中</w:t>
      </w:r>
    </w:p>
    <w:p>
      <w:pPr>
        <w:spacing w:after="40" w:before="0" w:line="320"/>
        <w:jc w:val="right"/>
      </w:pPr>
      <w:r>
        <w:rPr>
          <w:rFonts w:ascii="游明朝" w:eastAsia="游明朝" w:hAnsi="游明朝"/>
          <w:color w:val="000000"/>
          <w:sz w:val="21"/>
          <w:szCs w:val="21"/>
        </w:rPr>
        <w:t xml:space="preserve">株式会社ハートフルサンク</w:t>
      </w:r>
    </w:p>
    <w:p>
      <w:pPr>
        <w:spacing w:after="40" w:before="0" w:line="320"/>
        <w:jc w:val="right"/>
      </w:pPr>
      <w:r>
        <w:rPr>
          <w:rFonts w:ascii="游明朝" w:eastAsia="游明朝" w:hAnsi="游明朝"/>
          <w:color w:val="000000"/>
          <w:sz w:val="21"/>
          <w:szCs w:val="21"/>
        </w:rPr>
        <w:t xml:space="preserve">代表取締役　森山　穂貴</w:t>
      </w:r>
    </w:p>
    <w:p>
      <w:pPr>
        <w:spacing w:after="120" w:before="240"/>
        <w:jc w:val="center"/>
      </w:pPr>
      <w:r>
        <w:rPr>
          <w:rFonts w:ascii="游ゴシック" w:eastAsia="游ゴシック" w:hAnsi="游ゴシック"/>
          <w:b/>
          <w:bCs/>
          <w:color w:val="000000"/>
          <w:sz w:val="30"/>
          <w:szCs w:val="30"/>
        </w:rPr>
        <w:t xml:space="preserve">業績改善の進捗および今後の見通しについて（ご報告）</w:t>
      </w:r>
    </w:p>
    <w:p>
      <w:pPr>
        <w:spacing w:after="360" w:before="0" w:line="320"/>
        <w:jc w:val="center"/>
      </w:pPr>
      <w:r>
        <w:rPr>
          <w:rFonts w:ascii="游明朝" w:eastAsia="游明朝" w:hAnsi="游明朝"/>
          <w:color w:val="000000"/>
          <w:sz w:val="20"/>
          <w:szCs w:val="20"/>
        </w:rPr>
        <w:t xml:space="preserve">― 2026年11月期 上半期実績、直近の月次動向、および年内に実行する収益改善計画 ―</w:t>
      </w:r>
    </w:p>
    <w:p>
      <w:pPr>
        <w:spacing w:after="120" w:before="0" w:line="320"/>
        <w:jc w:val="both"/>
      </w:pPr>
      <w:r>
        <w:rPr>
          <w:rFonts w:ascii="游明朝" w:eastAsia="游明朝" w:hAnsi="游明朝"/>
          <w:color w:val="000000"/>
          <w:sz w:val="21"/>
          <w:szCs w:val="21"/>
        </w:rPr>
        <w:t xml:space="preserve">拝啓　時下ますますご清栄のこととお慶び申し上げます。平素は格別のご高配を賜り、厚く御礼申し上げます。</w:t>
      </w:r>
    </w:p>
    <w:p>
      <w:pPr>
        <w:spacing w:after="120" w:before="0" w:line="320"/>
        <w:jc w:val="both"/>
      </w:pPr>
      <w:r>
        <w:rPr>
          <w:rFonts w:ascii="游明朝" w:eastAsia="游明朝" w:hAnsi="游明朝"/>
          <w:color w:val="000000"/>
          <w:sz w:val="21"/>
          <w:szCs w:val="21"/>
        </w:rPr>
        <w:t xml:space="preserve">さて、当社の経営改善の取り組みにつきましては、日頃より貴行から多大なご理解とご支援を頂戴しております。本書は、株主向けに報告いたしました2026年11月期上半期の実績、およびその後2026年7月までの月次動向を踏まえ、当社が現在実行している業績改善計画と今後の見通しについてご報告申し上げるものです。ご高覧のうえ、引き続きのご支援を賜りますようお願い申し上げます。</w:t>
      </w:r>
    </w:p>
    <w:p>
      <w:pPr>
        <w:spacing w:after="240" w:before="120" w:line="320"/>
        <w:jc w:val="right"/>
      </w:pPr>
      <w:r>
        <w:rPr>
          <w:rFonts w:ascii="游明朝" w:eastAsia="游明朝" w:hAnsi="游明朝"/>
          <w:color w:val="000000"/>
          <w:sz w:val="21"/>
          <w:szCs w:val="21"/>
        </w:rPr>
        <w:t xml:space="preserve">敬具</w:t>
      </w:r>
    </w:p>
    <w:p>
      <w:pPr>
        <w:pStyle w:val="Heading1"/>
        <w:pBdr>
          <w:bottom w:val="single" w:color="000000" w:sz="8" w:space="2"/>
        </w:pBdr>
        <w:spacing w:after="160" w:before="360"/>
      </w:pPr>
      <w:r>
        <w:rPr>
          <w:rFonts w:ascii="游ゴシック" w:eastAsia="游ゴシック" w:hAnsi="游ゴシック"/>
          <w:b/>
          <w:bCs/>
          <w:color w:val="000000"/>
          <w:sz w:val="25"/>
          <w:szCs w:val="25"/>
        </w:rPr>
        <w:t xml:space="preserve">要旨</w:t>
      </w:r>
    </w:p>
    <w:p>
      <w:pPr>
        <w:pStyle w:val="ListParagraph"/>
        <w:numPr>
          <w:ilvl w:val="0"/>
          <w:numId w:val="2"/>
        </w:numPr>
        <w:spacing w:after="100" w:line="300"/>
      </w:pPr>
      <w:r>
        <w:rPr>
          <w:rFonts w:ascii="游明朝" w:eastAsia="游明朝" w:hAnsi="游明朝"/>
          <w:b/>
          <w:bCs/>
          <w:color w:val="000000"/>
          <w:sz w:val="21"/>
          <w:szCs w:val="21"/>
        </w:rPr>
        <w:t xml:space="preserve">売上は回復基調にあり、1営業日あたり売上高は既存事業・全事業の両方で前年同月を上回っています。</w:t>
      </w:r>
      <w:r>
        <w:rPr>
          <w:rFonts w:ascii="游明朝" w:eastAsia="游明朝" w:hAnsi="游明朝"/>
          <w:color w:val="000000"/>
          <w:sz w:val="21"/>
          <w:szCs w:val="21"/>
        </w:rPr>
        <w:t xml:space="preserve"> 月次売上高は2026年4月の84.0百万円を底に、5月86.7百万円、6月89.2百万円、7月91.7百万円（速報）と3か月連続で増加しました。1営業日あたり売上高は、統合事業・新設事業所を除いた既存事業ベースで前年同月（グループ統合前）比＋12.0％（2025年12月〜2026年6月の7か月合計、全月でプラス）、統合事業を含む全事業ベースでは＋41.2％（8か月合計、3.00百万円→4.24百万円）となりました。5〜7月度の売上高は月次計画を累計で上回って推移しています（達成率100.6％）。</w:t>
      </w:r>
    </w:p>
    <w:p>
      <w:pPr>
        <w:pStyle w:val="ListParagraph"/>
        <w:numPr>
          <w:ilvl w:val="0"/>
          <w:numId w:val="2"/>
        </w:numPr>
        <w:spacing w:after="100" w:line="300"/>
      </w:pPr>
      <w:r>
        <w:rPr>
          <w:rFonts w:ascii="游明朝" w:eastAsia="游明朝" w:hAnsi="游明朝"/>
          <w:b/>
          <w:bCs/>
          <w:color w:val="000000"/>
          <w:sz w:val="21"/>
          <w:szCs w:val="21"/>
        </w:rPr>
        <w:t xml:space="preserve">実態収益力は着実に改善しています。</w:t>
      </w:r>
      <w:r>
        <w:rPr>
          <w:rFonts w:ascii="游明朝" w:eastAsia="游明朝" w:hAnsi="游明朝"/>
          <w:color w:val="000000"/>
          <w:sz w:val="21"/>
          <w:szCs w:val="21"/>
        </w:rPr>
        <w:t xml:space="preserve"> 一時費用等を除いた調整後営業利益は、グループ入り時点（2025年9月）の月▲1.2百万円から、上半期（2025年12月〜2026年5月）平均で＋5.0百万円へ回復し、直近の6月は＋5.1百万円と上半期平均を上回りました。調整後EBITDAは月平均で、統合前の2023年6月〜2024年5月が1.5百万円、2024年6月〜2025年5月が2.5百万円、2025年6月〜11月が0.8百万円であったのに対し、統合後（2025年12月〜2026年6月）は5.4百万円と、過去のいずれの期間をも上回る水準です。</w:t>
      </w:r>
    </w:p>
    <w:p>
      <w:pPr>
        <w:pStyle w:val="ListParagraph"/>
        <w:numPr>
          <w:ilvl w:val="0"/>
          <w:numId w:val="2"/>
        </w:numPr>
        <w:spacing w:after="100" w:line="300"/>
      </w:pPr>
      <w:r>
        <w:rPr>
          <w:rFonts w:ascii="游明朝" w:eastAsia="游明朝" w:hAnsi="游明朝"/>
          <w:b/>
          <w:bCs/>
          <w:color w:val="000000"/>
          <w:sz w:val="21"/>
          <w:szCs w:val="21"/>
        </w:rPr>
        <w:t xml:space="preserve">帳簿上の赤字は一時要因によるものであり、既に計上を終えています。</w:t>
      </w:r>
      <w:r>
        <w:rPr>
          <w:rFonts w:ascii="游明朝" w:eastAsia="游明朝" w:hAnsi="游明朝"/>
          <w:color w:val="000000"/>
          <w:sz w:val="21"/>
          <w:szCs w:val="21"/>
        </w:rPr>
        <w:t xml:space="preserve"> 上半期の帳簿上の営業損益▲26.3百万円、当期純損益▲67.0百万円の主因は、合併に伴う一時損失（約49百万円）と賞与の一括計上であり、いずれも2026年2月までに計上済みです。3月以降、帳簿上の営業損益も4か月のうち3か月で黒字となっています。</w:t>
      </w:r>
    </w:p>
    <w:p>
      <w:pPr>
        <w:pStyle w:val="ListParagraph"/>
        <w:numPr>
          <w:ilvl w:val="0"/>
          <w:numId w:val="2"/>
        </w:numPr>
        <w:spacing w:after="100" w:line="300"/>
      </w:pPr>
      <w:r>
        <w:rPr>
          <w:rFonts w:ascii="游明朝" w:eastAsia="游明朝" w:hAnsi="游明朝"/>
          <w:b/>
          <w:bCs/>
          <w:color w:val="000000"/>
          <w:sz w:val="21"/>
          <w:szCs w:val="21"/>
        </w:rPr>
        <w:t xml:space="preserve">借入の返済は約定どおり履行しています。</w:t>
      </w:r>
      <w:r>
        <w:rPr>
          <w:rFonts w:ascii="游明朝" w:eastAsia="游明朝" w:hAnsi="游明朝"/>
          <w:color w:val="000000"/>
          <w:sz w:val="21"/>
          <w:szCs w:val="21"/>
        </w:rPr>
        <w:t xml:space="preserve"> 長期借入金残高は2026年2月末の293.7百万円から6月末の274.3百万円へ、4か月で19.4百万円減少しました。</w:t>
      </w:r>
    </w:p>
    <w:p>
      <w:pPr>
        <w:pStyle w:val="ListParagraph"/>
        <w:numPr>
          <w:ilvl w:val="0"/>
          <w:numId w:val="2"/>
        </w:numPr>
        <w:spacing w:after="100" w:line="300"/>
      </w:pPr>
      <w:r>
        <w:rPr>
          <w:rFonts w:ascii="游明朝" w:eastAsia="游明朝" w:hAnsi="游明朝"/>
          <w:b/>
          <w:bCs/>
          <w:color w:val="000000"/>
          <w:sz w:val="21"/>
          <w:szCs w:val="21"/>
        </w:rPr>
        <w:t xml:space="preserve">年内に月額約4.5百万円のコスト構造改善を実行します。</w:t>
      </w:r>
      <w:r>
        <w:rPr>
          <w:rFonts w:ascii="游明朝" w:eastAsia="游明朝" w:hAnsi="游明朝"/>
          <w:color w:val="000000"/>
          <w:sz w:val="21"/>
          <w:szCs w:val="21"/>
        </w:rPr>
        <w:t xml:space="preserve"> 現在の調整後営業利益（月約5.0百万円）と、元金返済を税引後利益で賄うために必要な水準（月9.0百万円）との差は約4.0百万円です。人員体制の適正化、事業ポートフォリオの見直し、本社間接費の削減を2026年9月〜12月に集中実行し、2027年初からは月次営業利益（調整後）を必要ラインの上に引き上げます。</w:t>
      </w:r>
    </w:p>
    <w:p>
      <w:pPr>
        <w:pStyle w:val="ListParagraph"/>
        <w:numPr>
          <w:ilvl w:val="0"/>
          <w:numId w:val="2"/>
        </w:numPr>
        <w:spacing w:after="100" w:line="300"/>
      </w:pPr>
      <w:r>
        <w:rPr>
          <w:rFonts w:ascii="游明朝" w:eastAsia="游明朝" w:hAnsi="游明朝"/>
          <w:b/>
          <w:bCs/>
          <w:color w:val="000000"/>
          <w:sz w:val="21"/>
          <w:szCs w:val="21"/>
        </w:rPr>
        <w:t xml:space="preserve">親会社グループの財務基盤が支えとなっています。</w:t>
      </w:r>
      <w:r>
        <w:rPr>
          <w:rFonts w:ascii="游明朝" w:eastAsia="游明朝" w:hAnsi="游明朝"/>
          <w:color w:val="000000"/>
          <w:sz w:val="21"/>
          <w:szCs w:val="21"/>
        </w:rPr>
        <w:t xml:space="preserve"> 親会社EEFULホールディングスを含む連結ベースでは、2026年7月度時点で純資産340百万円、現預金約460百万円を有しており、当社の経営改善を資本・資金の両面から支える体制にあります。</w:t>
      </w:r>
    </w:p>
    <w:p>
      <w:pPr>
        <w:pStyle w:val="Heading1"/>
        <w:pBdr>
          <w:bottom w:val="single" w:color="000000" w:sz="8" w:space="2"/>
        </w:pBdr>
        <w:spacing w:after="160" w:before="360"/>
      </w:pPr>
      <w:r>
        <w:rPr>
          <w:rFonts w:ascii="游ゴシック" w:eastAsia="游ゴシック" w:hAnsi="游ゴシック"/>
          <w:b/>
          <w:bCs/>
          <w:color w:val="000000"/>
          <w:sz w:val="25"/>
          <w:szCs w:val="25"/>
        </w:rPr>
        <w:t xml:space="preserve">1．本資料の位置づけ</w:t>
      </w:r>
    </w:p>
    <w:p>
      <w:pPr>
        <w:spacing w:after="120" w:before="0" w:line="320"/>
        <w:jc w:val="both"/>
      </w:pPr>
      <w:r>
        <w:rPr>
          <w:rFonts w:ascii="游明朝" w:eastAsia="游明朝" w:hAnsi="游明朝"/>
          <w:color w:val="000000"/>
          <w:sz w:val="21"/>
          <w:szCs w:val="21"/>
        </w:rPr>
        <w:t xml:space="preserve">本資料は、次の資料を基礎として作成しています。</w:t>
      </w:r>
    </w:p>
    <w:p>
      <w:pPr>
        <w:pStyle w:val="ListParagraph"/>
        <w:numPr>
          <w:ilvl w:val="0"/>
          <w:numId w:val="3"/>
        </w:numPr>
        <w:spacing w:after="80" w:line="300"/>
      </w:pPr>
      <w:r>
        <w:rPr>
          <w:rFonts w:ascii="游明朝" w:eastAsia="游明朝" w:hAnsi="游明朝"/>
          <w:color w:val="000000"/>
          <w:sz w:val="21"/>
          <w:szCs w:val="21"/>
        </w:rPr>
        <w:t xml:space="preserve">当社が株主に報告した2026年11月期上半期報告（調整後損益計算書・貸借対照表）</w:t>
      </w:r>
    </w:p>
    <w:p>
      <w:pPr>
        <w:pStyle w:val="ListParagraph"/>
        <w:numPr>
          <w:ilvl w:val="0"/>
          <w:numId w:val="3"/>
        </w:numPr>
        <w:spacing w:after="80" w:line="300"/>
      </w:pPr>
      <w:r>
        <w:rPr>
          <w:rFonts w:ascii="游明朝" w:eastAsia="游明朝" w:hAnsi="游明朝"/>
          <w:color w:val="000000"/>
          <w:sz w:val="21"/>
          <w:szCs w:val="21"/>
        </w:rPr>
        <w:t xml:space="preserve">親会社EEFULホールディングスが作成する連結月次PL/BS（当社単体：2025年12月〜2026年6月実績）</w:t>
      </w:r>
    </w:p>
    <w:p>
      <w:pPr>
        <w:pStyle w:val="ListParagraph"/>
        <w:numPr>
          <w:ilvl w:val="0"/>
          <w:numId w:val="3"/>
        </w:numPr>
        <w:spacing w:after="80" w:line="300"/>
      </w:pPr>
      <w:r>
        <w:rPr>
          <w:rFonts w:ascii="游明朝" w:eastAsia="游明朝" w:hAnsi="游明朝"/>
          <w:color w:val="000000"/>
          <w:sz w:val="21"/>
          <w:szCs w:val="21"/>
        </w:rPr>
        <w:t xml:space="preserve">ハートフルサンク経営管理シート（部門別損益・2024年6月〜2026年4月）および事業所別・日次の売上予実管理表（2026年7月分速報）</w:t>
      </w:r>
    </w:p>
    <w:p>
      <w:pPr>
        <w:pStyle w:val="ListParagraph"/>
        <w:numPr>
          <w:ilvl w:val="0"/>
          <w:numId w:val="3"/>
        </w:numPr>
        <w:spacing w:after="80" w:line="300"/>
      </w:pPr>
      <w:r>
        <w:rPr>
          <w:rFonts w:ascii="游明朝" w:eastAsia="游明朝" w:hAnsi="游明朝"/>
          <w:color w:val="000000"/>
          <w:sz w:val="21"/>
          <w:szCs w:val="21"/>
        </w:rPr>
        <w:t xml:space="preserve">2026年9月に策定した収益改善KPI管理表</w:t>
      </w:r>
    </w:p>
    <w:p>
      <w:pPr>
        <w:spacing w:after="120" w:before="0" w:line="320"/>
        <w:jc w:val="both"/>
      </w:pPr>
      <w:r>
        <w:rPr>
          <w:rFonts w:ascii="游明朝" w:eastAsia="游明朝" w:hAnsi="游明朝"/>
          <w:color w:val="000000"/>
          <w:sz w:val="21"/>
          <w:szCs w:val="21"/>
        </w:rPr>
        <w:t xml:space="preserve">金額の単位は百万円（小数第2位以下四捨五入）、「▲」は負の値を示します。「調整後」とは、賞与の一括計上を対応月へ月割りし直し、合併に伴う一時損失、処遇改善給付の一括計上など、一時的・期間帰属のずれによる要因を除いた実態収益力を示す社内管理上の数値です。調整後営業利益では、親会社への経営指導料（月2.75百万円）を営業外に区分しています。2026年11月期の数値は月次試算表に基づく未確定値であり、決算確定により変動する可能性があります。</w:t>
      </w:r>
    </w:p>
    <w:p>
      <w:pPr>
        <w:pStyle w:val="Heading1"/>
        <w:pBdr>
          <w:bottom w:val="single" w:color="000000" w:sz="8" w:space="2"/>
        </w:pBdr>
        <w:spacing w:after="160" w:before="360"/>
      </w:pPr>
      <w:r>
        <w:rPr>
          <w:rFonts w:ascii="游ゴシック" w:eastAsia="游ゴシック" w:hAnsi="游ゴシック"/>
          <w:b/>
          <w:bCs/>
          <w:color w:val="000000"/>
          <w:sz w:val="25"/>
          <w:szCs w:val="25"/>
        </w:rPr>
        <w:t xml:space="preserve">2．事業の現況 ― 売上と実態収益力は回復基調</w:t>
      </w:r>
    </w:p>
    <w:p>
      <w:pPr>
        <w:pStyle w:val="Heading2"/>
        <w:spacing w:after="100" w:before="240"/>
      </w:pPr>
      <w:r>
        <w:rPr>
          <w:rFonts w:ascii="游ゴシック" w:eastAsia="游ゴシック" w:hAnsi="游ゴシック"/>
          <w:b/>
          <w:bCs/>
          <w:color w:val="000000"/>
          <w:sz w:val="22"/>
          <w:szCs w:val="22"/>
        </w:rPr>
        <w:t xml:space="preserve">2-1．月次売上高の推移（会計ベース）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tblHeader/>
        </w:trPr>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（百万円）</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2025年12月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1月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2月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3月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4月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5月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6月</w:t>
            </w:r>
          </w:p>
        </w:tc>
        <w:tc>
          <w:tcPr>
            <w:tcW w:type="dxa" w:w="107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7月（速報）</w:t>
            </w:r>
          </w:p>
        </w:tc>
      </w:tr>
      <w:tr>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売上高</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92.1</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85.4</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82.0</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87.7</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84.0</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86.7</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89.2</w:t>
            </w:r>
          </w:p>
        </w:tc>
        <w:tc>
          <w:tcPr>
            <w:tcW w:type="dxa" w:w="10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91.7</w:t>
            </w:r>
          </w:p>
        </w:tc>
      </w:tr>
    </w:tbl>
    <w:p>
      <w:pPr>
        <w:spacing w:after="80"/>
      </w:pPr>
    </w:p>
    <w:p>
      <w:pPr>
        <w:spacing w:after="60" w:before="0" w:line="260"/>
        <w:jc w:val="both"/>
      </w:pPr>
      <w:r>
        <w:rPr>
          <w:rFonts w:ascii="游明朝" w:eastAsia="游明朝" w:hAnsi="游明朝"/>
          <w:color w:val="000000"/>
          <w:sz w:val="17"/>
          <w:szCs w:val="17"/>
        </w:rPr>
        <w:t xml:space="preserve">※ 12月〜6月は月次試算表（会計ベース）、7月は日次進捗管理ベースの速報値（月次予算92.9百万円に対し達成率98.7％）。</w:t>
      </w:r>
    </w:p>
    <w:p>
      <w:pPr>
        <w:pStyle w:val="ListParagraph"/>
        <w:numPr>
          <w:ilvl w:val="0"/>
          <w:numId w:val="3"/>
        </w:numPr>
        <w:spacing w:after="80" w:line="300"/>
      </w:pPr>
      <w:r>
        <w:rPr>
          <w:rFonts w:ascii="游明朝" w:eastAsia="游明朝" w:hAnsi="游明朝"/>
          <w:color w:val="000000"/>
          <w:sz w:val="21"/>
          <w:szCs w:val="21"/>
        </w:rPr>
        <w:t xml:space="preserve">月次売上高は4月を底に3か月連続で増加し、7月は4月比＋9.2％となりました。</w:t>
      </w:r>
    </w:p>
    <w:p>
      <w:pPr>
        <w:pStyle w:val="ListParagraph"/>
        <w:numPr>
          <w:ilvl w:val="0"/>
          <w:numId w:val="3"/>
        </w:numPr>
        <w:spacing w:after="80" w:line="300"/>
      </w:pPr>
      <w:r>
        <w:rPr>
          <w:rFonts w:ascii="游明朝" w:eastAsia="游明朝" w:hAnsi="游明朝"/>
          <w:color w:val="000000"/>
          <w:sz w:val="21"/>
          <w:szCs w:val="21"/>
        </w:rPr>
        <w:t xml:space="preserve">月次計画に対する売上高の達成率は、5〜7月度累計で100.6％（連結ベース）と計画を上回って推移しています。</w:t>
      </w:r>
    </w:p>
    <w:p>
      <w:pPr>
        <w:pStyle w:val="Heading2"/>
        <w:spacing w:after="100" w:before="240"/>
      </w:pPr>
      <w:r>
        <w:rPr>
          <w:rFonts w:ascii="游ゴシック" w:eastAsia="游ゴシック" w:hAnsi="游ゴシック"/>
          <w:b/>
          <w:bCs/>
          <w:color w:val="000000"/>
          <w:sz w:val="22"/>
          <w:szCs w:val="22"/>
        </w:rPr>
        <w:t xml:space="preserve">2-2．1営業日あたり売上高の推移 ― 前年同月（統合前）との比較</w:t>
      </w:r>
    </w:p>
    <w:p>
      <w:pPr>
        <w:spacing w:after="120" w:before="0" w:line="320"/>
        <w:jc w:val="both"/>
      </w:pPr>
      <w:r>
        <w:rPr>
          <w:rFonts w:ascii="游明朝" w:eastAsia="游明朝" w:hAnsi="游明朝"/>
          <w:color w:val="000000"/>
          <w:sz w:val="21"/>
          <w:szCs w:val="21"/>
        </w:rPr>
        <w:t xml:space="preserve">介護報酬・障害福祉サービス報酬を主体とする当社の売上は営業日数と季節性の影響を受けるため、当社は事業所別の売上積上げを営業日数（平日・祝日除く）で除した「1営業日あたり売上高」を主要な稼働指標として経営管理シートで継続的に管理しています。2025年12月以降は関係法人・関係会社から統合した事業を含むため、統合前との比較は、暦の同じ月（前年同月）と対比し、統合事業と新設事業所を除いた既存事業ベースと、これらを含む全事業ベースの両方を示します。</w:t>
      </w:r>
    </w:p>
    <w:p>
      <w:pPr>
        <w:spacing w:after="80" w:before="160"/>
      </w:pPr>
      <w:r>
        <w:rPr>
          <w:rFonts w:ascii="游ゴシック" w:eastAsia="游ゴシック" w:hAnsi="游ゴシック"/>
          <w:b/>
          <w:bCs/>
          <w:color w:val="000000"/>
          <w:sz w:val="20"/>
          <w:szCs w:val="20"/>
        </w:rPr>
        <w:t xml:space="preserve">（1）既存事業ベースの前年同月比較（統合前＝2025年10月以前の同月）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62"/>
        <w:gridCol w:w="1162"/>
        <w:gridCol w:w="1162"/>
        <w:gridCol w:w="1162"/>
        <w:gridCol w:w="1162"/>
        <w:gridCol w:w="1162"/>
        <w:gridCol w:w="1166"/>
      </w:tblGrid>
      <w:tr>
        <w:trPr>
          <w:tblHeader/>
        </w:trPr>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月</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前年同月 売上高</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営業日数</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前年同月 1営業日あたり</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当年 売上高（既存事業）</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営業日数</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当年 1営業日あたり</w:t>
            </w:r>
          </w:p>
        </w:tc>
        <w:tc>
          <w:tcPr>
            <w:tcW w:type="dxa" w:w="1166"/>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前年同月比</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12月（2024年→2025年）</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63.7</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22</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2.90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68.7</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23</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2.99</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＋3.0％</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1月（2025年→2026年）</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59.6</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2.84</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63.9</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3.20</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＋12.6％</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2月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58.1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18</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3.23</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65.0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18</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3.61</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＋12.0％</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3月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60.0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3.00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72.4</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3.45</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＋15.0％</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4月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61.1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2.91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70.2</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3.34</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＋14.8％</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5月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64.6</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3.23</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68.5</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18</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3.81</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＋18.0％</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6月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62.6</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2.98</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72.1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22</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3.28</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＋10.1％</w:t>
            </w:r>
          </w:p>
        </w:tc>
      </w:tr>
      <w:tr>
        <w:tc>
          <w:tcPr>
            <w:tcW w:type="dxa" w:w="15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bCs/>
                <w:color w:val="000000"/>
                <w:sz w:val="16"/>
                <w:szCs w:val="16"/>
              </w:rPr>
              <w:t xml:space="preserve">7か月計</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429.6</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143</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3.00</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480.9</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143</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3.36</w:t>
            </w:r>
          </w:p>
        </w:tc>
        <w:tc>
          <w:tcPr>
            <w:tcW w:type="dxa" w:w="1166"/>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＋12.0％</w:t>
            </w:r>
          </w:p>
        </w:tc>
      </w:tr>
    </w:tbl>
    <w:p>
      <w:pPr>
        <w:spacing w:after="80"/>
      </w:pPr>
    </w:p>
    <w:p>
      <w:pPr>
        <w:spacing w:after="60" w:before="0" w:line="260"/>
        <w:jc w:val="both"/>
      </w:pPr>
      <w:r>
        <w:rPr>
          <w:rFonts w:ascii="游明朝" w:eastAsia="游明朝" w:hAnsi="游明朝"/>
          <w:color w:val="000000"/>
          <w:sz w:val="17"/>
          <w:szCs w:val="17"/>
        </w:rPr>
        <w:t xml:space="preserve">※ 売上高は百万円。経営管理シート（部門別売上積上げ・千円単位）および日次進捗管理に基づき、加算・調整等を含む会計上の売上高（2-1）とは若干異なります。営業日数は暦上の平日から祝日を除いた日数。「既存事業」は、2025年12月以降に統合した通所介護3事業所、訪問介護・居宅介護・移送の各事業、および2026年4月以降に新設した事業所を除いた、統合前から当社が運営している事業所の合計。前年同月はいずれも統合前の当社単体（2025年10月以前）の実績。7月は事業所別の内訳が確定前のため、確定後に追記します。</w:t>
      </w:r>
    </w:p>
    <w:p>
      <w:pPr>
        <w:pStyle w:val="ListParagraph"/>
        <w:numPr>
          <w:ilvl w:val="0"/>
          <w:numId w:val="3"/>
        </w:numPr>
        <w:spacing w:after="80" w:line="300"/>
      </w:pPr>
      <w:r>
        <w:rPr>
          <w:rFonts w:ascii="游明朝" w:eastAsia="游明朝" w:hAnsi="游明朝"/>
          <w:color w:val="000000"/>
          <w:sz w:val="21"/>
          <w:szCs w:val="21"/>
        </w:rPr>
        <w:t xml:space="preserve">既存事業ベースの1営業日あたり売上高は、7か月すべてで前年同月を上回り、7か月合計では3.00百万円から3.36百万円へ＋12.0％となりました。営業日数は前年・当年ともに143日で同一であり、増収は営業日数の差ではなく、稼働率と単価の改善によるものです。</w:t>
      </w:r>
    </w:p>
    <w:p>
      <w:pPr>
        <w:pStyle w:val="ListParagraph"/>
        <w:numPr>
          <w:ilvl w:val="0"/>
          <w:numId w:val="3"/>
        </w:numPr>
        <w:spacing w:after="80" w:line="300"/>
      </w:pPr>
      <w:r>
        <w:rPr>
          <w:rFonts w:ascii="游明朝" w:eastAsia="游明朝" w:hAnsi="游明朝"/>
          <w:color w:val="000000"/>
          <w:sz w:val="21"/>
          <w:szCs w:val="21"/>
        </w:rPr>
        <w:t xml:space="preserve">直近の3月〜6月は前年同月比＋10〜18％と、改善幅が拡大しています。</w:t>
      </w:r>
    </w:p>
    <w:p>
      <w:pPr>
        <w:spacing w:after="80" w:before="160"/>
      </w:pPr>
      <w:r>
        <w:rPr>
          <w:rFonts w:ascii="游ゴシック" w:eastAsia="游ゴシック" w:hAnsi="游ゴシック"/>
          <w:b/>
          <w:bCs/>
          <w:color w:val="000000"/>
          <w:sz w:val="20"/>
          <w:szCs w:val="20"/>
        </w:rPr>
        <w:t xml:space="preserve">（2）全事業ベースの前年同月比較（統合事業・新設事業所を含む）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62"/>
        <w:gridCol w:w="1162"/>
        <w:gridCol w:w="1162"/>
        <w:gridCol w:w="1162"/>
        <w:gridCol w:w="1162"/>
        <w:gridCol w:w="1162"/>
        <w:gridCol w:w="1166"/>
      </w:tblGrid>
      <w:tr>
        <w:trPr>
          <w:tblHeader/>
        </w:trPr>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月</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前年同月 売上高</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営業日数</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前年同月 1営業日あたり</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当年 売上高（全事業）</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営業日数</w:t>
            </w:r>
          </w:p>
        </w:tc>
        <w:tc>
          <w:tcPr>
            <w:tcW w:type="dxa" w:w="116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当年 1営業日あたり</w:t>
            </w:r>
          </w:p>
        </w:tc>
        <w:tc>
          <w:tcPr>
            <w:tcW w:type="dxa" w:w="1166"/>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前年同月比</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12月（2024年→2025年）</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63.7</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22</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2.90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86.0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23</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3.74</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＋29.0％</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1月（2025年→2026年）</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59.6</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2.84</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79.4</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3.97</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＋39.8％</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2月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58.1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18</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3.23</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83.2</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18</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4.62</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＋43.0％</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3月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60.0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3.00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93.6</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4.46</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＋48.7％</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4月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61.1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2.91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88.2</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4.20</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＋44.3％</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5月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64.6</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3.23</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86.5</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18</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4.80</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＋48.6％</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6月</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62.6</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2.98</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91.6</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22</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4.16</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＋39.6％</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7月（速報）</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66.1</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22</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3.00</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91.7</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22</w:t>
            </w:r>
          </w:p>
        </w:tc>
        <w:tc>
          <w:tcPr>
            <w:tcW w:type="dxa" w:w="116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4.17</w:t>
            </w:r>
          </w:p>
        </w:tc>
        <w:tc>
          <w:tcPr>
            <w:tcW w:type="dxa" w:w="116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＋39.0％</w:t>
            </w:r>
          </w:p>
        </w:tc>
      </w:tr>
      <w:tr>
        <w:tc>
          <w:tcPr>
            <w:tcW w:type="dxa" w:w="15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bCs/>
                <w:color w:val="000000"/>
                <w:sz w:val="16"/>
                <w:szCs w:val="16"/>
              </w:rPr>
              <w:t xml:space="preserve">8か月計</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495.7</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165</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3.00</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700.1</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165</w:t>
            </w:r>
          </w:p>
        </w:tc>
        <w:tc>
          <w:tcPr>
            <w:tcW w:type="dxa" w:w="1162"/>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4.24</w:t>
            </w:r>
          </w:p>
        </w:tc>
        <w:tc>
          <w:tcPr>
            <w:tcW w:type="dxa" w:w="1166"/>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6"/>
                <w:szCs w:val="16"/>
              </w:rPr>
              <w:t xml:space="preserve">＋41.2％</w:t>
            </w:r>
          </w:p>
        </w:tc>
      </w:tr>
    </w:tbl>
    <w:p>
      <w:pPr>
        <w:spacing w:after="80"/>
      </w:pPr>
    </w:p>
    <w:p>
      <w:pPr>
        <w:spacing w:after="60" w:before="0" w:line="260"/>
        <w:jc w:val="both"/>
      </w:pPr>
      <w:r>
        <w:rPr>
          <w:rFonts w:ascii="游明朝" w:eastAsia="游明朝" w:hAnsi="游明朝"/>
          <w:color w:val="000000"/>
          <w:sz w:val="17"/>
          <w:szCs w:val="17"/>
        </w:rPr>
        <w:t xml:space="preserve">※ 前年同月は統合前の当社単体、当年は2025年12月以降に統合した事業および新設事業所を含む全事業の売上積上げ。営業日数の定義は（1）と同じ。</w:t>
      </w:r>
    </w:p>
    <w:p>
      <w:pPr>
        <w:pStyle w:val="ListParagraph"/>
        <w:numPr>
          <w:ilvl w:val="0"/>
          <w:numId w:val="3"/>
        </w:numPr>
        <w:spacing w:after="80" w:line="300"/>
      </w:pPr>
      <w:r>
        <w:rPr>
          <w:rFonts w:ascii="游明朝" w:eastAsia="游明朝" w:hAnsi="游明朝"/>
          <w:color w:val="000000"/>
          <w:sz w:val="21"/>
          <w:szCs w:val="21"/>
        </w:rPr>
        <w:t xml:space="preserve">全事業ベースの1営業日あたり売上高は、前年同月比で＋29〜49％、8か月合計で3.00百万円から4.24百万円へ＋41.2％となりました。営業日数は前年・当年ともに165日で同一です。</w:t>
      </w:r>
    </w:p>
    <w:p>
      <w:pPr>
        <w:pStyle w:val="ListParagraph"/>
        <w:numPr>
          <w:ilvl w:val="0"/>
          <w:numId w:val="3"/>
        </w:numPr>
        <w:spacing w:after="80" w:line="300"/>
      </w:pPr>
      <w:r>
        <w:rPr>
          <w:rFonts w:ascii="游明朝" w:eastAsia="游明朝" w:hAnsi="游明朝"/>
          <w:color w:val="000000"/>
          <w:sz w:val="21"/>
          <w:szCs w:val="21"/>
        </w:rPr>
        <w:t xml:space="preserve">この増加のうち約12ポイントは既存事業の稼働改善（（1）参照）、残りは統合事業と新設事業所の寄与によるものです。統合により、1営業日あたりの売上規模は統合前の約1.4倍に拡大しました。</w:t>
      </w:r>
    </w:p>
    <w:p>
      <w:pPr>
        <w:pStyle w:val="Heading2"/>
        <w:spacing w:after="100" w:before="240"/>
      </w:pPr>
      <w:r>
        <w:rPr>
          <w:rFonts w:ascii="游ゴシック" w:eastAsia="游ゴシック" w:hAnsi="游ゴシック"/>
          <w:b/>
          <w:bCs/>
          <w:color w:val="000000"/>
          <w:sz w:val="22"/>
          <w:szCs w:val="22"/>
        </w:rPr>
        <w:t xml:space="preserve">2-3．実態収益力（調整後営業利益）の推移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tblHeader/>
        </w:trPr>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（百万円）</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12月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1月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2月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3月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4月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5月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6月</w:t>
            </w:r>
          </w:p>
        </w:tc>
        <w:tc>
          <w:tcPr>
            <w:tcW w:type="dxa" w:w="107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7か月累計</w:t>
            </w:r>
          </w:p>
        </w:tc>
      </w:tr>
      <w:tr>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売上高</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92.1</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85.4</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82.0</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87.7</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84.0</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86.7</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89.2</w:t>
            </w:r>
          </w:p>
        </w:tc>
        <w:tc>
          <w:tcPr>
            <w:tcW w:type="dxa" w:w="10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607.2</w:t>
            </w:r>
          </w:p>
        </w:tc>
      </w:tr>
      <w:tr>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営業利益（帳簿）</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▲15.4</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2.0</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▲2.4</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3.9</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▲5.3</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3.8</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0.6</w:t>
            </w:r>
          </w:p>
        </w:tc>
        <w:tc>
          <w:tcPr>
            <w:tcW w:type="dxa" w:w="10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▲12.8</w:t>
            </w:r>
          </w:p>
        </w:tc>
      </w:tr>
      <w:tr>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営業利益（調整後）</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14.2</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6.5</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0.2</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3.9</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0.9</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3.9</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5.1</w:t>
            </w:r>
          </w:p>
        </w:tc>
        <w:tc>
          <w:tcPr>
            <w:tcW w:type="dxa" w:w="10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34.4</w:t>
            </w:r>
          </w:p>
        </w:tc>
      </w:tr>
      <w:tr>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EBITDA（調整後）</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14.5</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6.8</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0.7</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4.4</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1.4</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4.3</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5.8</w:t>
            </w:r>
          </w:p>
        </w:tc>
        <w:tc>
          <w:tcPr>
            <w:tcW w:type="dxa" w:w="10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37.5</w:t>
            </w:r>
          </w:p>
        </w:tc>
      </w:tr>
      <w:tr>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当期純利益（調整後）</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22.3</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4.3</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▲2.6</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0.9</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▲1.1</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1.3</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1.9</w:t>
            </w:r>
          </w:p>
        </w:tc>
        <w:tc>
          <w:tcPr>
            <w:tcW w:type="dxa" w:w="10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26.6</w:t>
            </w:r>
          </w:p>
        </w:tc>
      </w:tr>
    </w:tbl>
    <w:p>
      <w:pPr>
        <w:spacing w:after="80"/>
      </w:pPr>
    </w:p>
    <w:p>
      <w:pPr>
        <w:spacing w:after="60" w:before="0" w:line="260"/>
        <w:jc w:val="both"/>
      </w:pPr>
      <w:r>
        <w:rPr>
          <w:rFonts w:ascii="游明朝" w:eastAsia="游明朝" w:hAnsi="游明朝"/>
          <w:color w:val="000000"/>
          <w:sz w:val="17"/>
          <w:szCs w:val="17"/>
        </w:rPr>
        <w:t xml:space="preserve">※ 12月の調整後営業利益が高いのは、賞与一括計上（29.2百万円）を6か月へ月割りし直した結果であり、1〜5月の各月には按分額▲4.9百万円が計上されています。2月の帳簿上の純損失▲54.1百万円には、合併関連の雑損失28.4百万円および抱合株式消滅差損20.5百万円（いずれも一時損失）を含みます。</w:t>
      </w:r>
    </w:p>
    <w:p>
      <w:pPr>
        <w:pStyle w:val="ListParagraph"/>
        <w:numPr>
          <w:ilvl w:val="0"/>
          <w:numId w:val="3"/>
        </w:numPr>
        <w:spacing w:after="80" w:line="300"/>
      </w:pPr>
      <w:r>
        <w:rPr>
          <w:rFonts w:ascii="游明朝" w:eastAsia="游明朝" w:hAnsi="游明朝"/>
          <w:color w:val="000000"/>
          <w:sz w:val="21"/>
          <w:szCs w:val="21"/>
        </w:rPr>
        <w:t xml:space="preserve">調整後営業利益は、グループ入り時点（2025年9月）の月▲1.2百万円から上半期平均＋5.0百万円へ回復し、直近の6月は＋5.1百万円と上半期平均を上回りました。</w:t>
      </w:r>
    </w:p>
    <w:p>
      <w:pPr>
        <w:pStyle w:val="ListParagraph"/>
        <w:numPr>
          <w:ilvl w:val="0"/>
          <w:numId w:val="3"/>
        </w:numPr>
        <w:spacing w:after="80" w:line="300"/>
      </w:pPr>
      <w:r>
        <w:rPr>
          <w:rFonts w:ascii="游明朝" w:eastAsia="游明朝" w:hAnsi="游明朝"/>
          <w:color w:val="000000"/>
          <w:sz w:val="21"/>
          <w:szCs w:val="21"/>
        </w:rPr>
        <w:t xml:space="preserve">3月以降は、帳簿上の営業利益も4か月のうち3か月で黒字を計上しており、一時要因を除けば帳簿と実態が収斂しつつあります。</w:t>
      </w:r>
    </w:p>
    <w:p>
      <w:pPr>
        <w:pStyle w:val="ListParagraph"/>
        <w:numPr>
          <w:ilvl w:val="0"/>
          <w:numId w:val="3"/>
        </w:numPr>
        <w:spacing w:after="80" w:line="300"/>
      </w:pPr>
      <w:r>
        <w:rPr>
          <w:rFonts w:ascii="游明朝" w:eastAsia="游明朝" w:hAnsi="游明朝"/>
          <w:color w:val="000000"/>
          <w:sz w:val="21"/>
          <w:szCs w:val="21"/>
        </w:rPr>
        <w:t xml:space="preserve">調整後EBITDAは7か月累計で＋37.5百万円、年換算では約64百万円の水準です。</w:t>
      </w:r>
    </w:p>
    <w:p>
      <w:pPr>
        <w:pStyle w:val="Heading2"/>
        <w:spacing w:after="100" w:before="240"/>
      </w:pPr>
      <w:r>
        <w:rPr>
          <w:rFonts w:ascii="游ゴシック" w:eastAsia="游ゴシック" w:hAnsi="游ゴシック"/>
          <w:b/>
          <w:bCs/>
          <w:color w:val="000000"/>
          <w:sz w:val="22"/>
          <w:szCs w:val="22"/>
        </w:rPr>
        <w:t xml:space="preserve">2-4．調整後EBITDAの推移（2022年6月以降・全事業）</w:t>
      </w:r>
    </w:p>
    <w:p>
      <w:pPr>
        <w:spacing w:after="120" w:before="0" w:line="320"/>
        <w:jc w:val="both"/>
      </w:pPr>
      <w:r>
        <w:rPr>
          <w:rFonts w:ascii="游明朝" w:eastAsia="游明朝" w:hAnsi="游明朝"/>
          <w:color w:val="000000"/>
          <w:sz w:val="21"/>
          <w:szCs w:val="21"/>
        </w:rPr>
        <w:t xml:space="preserve">実態収益力の推移を長期でみるため、統合前は経営管理シート（部門別損益・賞与を月割り配分した管理会計ベース）の全社営業利益に減価償却費を加えたもの、統合後は連結月次PLの調整後EBITDAを用いて、2022年6月以降の推移を示します。</w:t>
      </w:r>
    </w:p>
    <w:p>
      <w:pPr>
        <w:spacing w:after="80" w:before="160"/>
      </w:pPr>
      <w:r>
        <w:rPr>
          <w:rFonts w:ascii="游ゴシック" w:eastAsia="游ゴシック" w:hAnsi="游ゴシック"/>
          <w:b/>
          <w:bCs/>
          <w:color w:val="000000"/>
          <w:sz w:val="20"/>
          <w:szCs w:val="20"/>
        </w:rPr>
        <w:t xml:space="preserve">（1）半期別の推移（月平均）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500"/>
        <w:gridCol w:w="1500"/>
        <w:gridCol w:w="1438"/>
      </w:tblGrid>
      <w:tr>
        <w:trPr>
          <w:tblHeader/>
        </w:trPr>
        <w:tc>
          <w:tcPr>
            <w:tcW w:type="dxa" w:w="19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期間</w:t>
            </w:r>
          </w:p>
        </w:tc>
        <w:tc>
          <w:tcPr>
            <w:tcW w:type="dxa" w:w="33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区分</w:t>
            </w:r>
          </w:p>
        </w:tc>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売上高（月平均）</w:t>
            </w:r>
          </w:p>
        </w:tc>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営業利益（月平均）</w:t>
            </w:r>
          </w:p>
        </w:tc>
        <w:tc>
          <w:tcPr>
            <w:tcW w:type="dxa" w:w="14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EBITDA（月平均）</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2022年6月〜11月</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統合前</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49.2</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▲1.8</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▲1.4</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2022年12月〜2023年5月</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統合前</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57.5</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＋1.4</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＋2.0</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2023年6月〜11月</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統合前</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60.3</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＋0.4</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＋0.7</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2023年12月〜2024年5月</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統合前</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61.9</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＋1.9</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＋2.2</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2024年6月〜11月</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統合前</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64.6</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＋2.2</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＋2.6</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2024年12月〜2025年5月</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統合前</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61.2</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＋1.8</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＋2.4</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2025年6月〜11月</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統合前</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65.1</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＋0.3</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＋0.8</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2025年12月〜2026年5月</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統合後（調整後）</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86.3</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＋4.9</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＋5.4</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2026年6月</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統合後（調整後）</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89.2</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＋5.1</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＋5.8</w:t>
            </w:r>
          </w:p>
        </w:tc>
      </w:tr>
    </w:tbl>
    <w:p>
      <w:pPr>
        <w:spacing w:after="80"/>
      </w:pPr>
    </w:p>
    <w:p>
      <w:pPr>
        <w:spacing w:after="80" w:before="160"/>
      </w:pPr>
      <w:r>
        <w:rPr>
          <w:rFonts w:ascii="游ゴシック" w:eastAsia="游ゴシック" w:hAnsi="游ゴシック"/>
          <w:b/>
          <w:bCs/>
          <w:color w:val="000000"/>
          <w:sz w:val="20"/>
          <w:szCs w:val="20"/>
        </w:rPr>
        <w:t xml:space="preserve">（2）直近13か月の推移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641"/>
        <w:gridCol w:w="641"/>
        <w:gridCol w:w="641"/>
        <w:gridCol w:w="641"/>
        <w:gridCol w:w="641"/>
        <w:gridCol w:w="641"/>
        <w:gridCol w:w="641"/>
        <w:gridCol w:w="641"/>
        <w:gridCol w:w="641"/>
        <w:gridCol w:w="641"/>
        <w:gridCol w:w="641"/>
        <w:gridCol w:w="641"/>
        <w:gridCol w:w="646"/>
      </w:tblGrid>
      <w:tr>
        <w:trPr>
          <w:tblHeader/>
        </w:trPr>
        <w:tc>
          <w:tcPr>
            <w:tcW w:type="dxa" w:w="13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（百万円）</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2025年6月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7月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8月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9月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10月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11月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12月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2026年1月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2月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3月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4月</w:t>
            </w:r>
          </w:p>
        </w:tc>
        <w:tc>
          <w:tcPr>
            <w:tcW w:type="dxa" w:w="641"/>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5月</w:t>
            </w:r>
          </w:p>
        </w:tc>
        <w:tc>
          <w:tcPr>
            <w:tcW w:type="dxa" w:w="646"/>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5"/>
                <w:szCs w:val="15"/>
              </w:rPr>
              <w:t xml:space="preserve">6月</w:t>
            </w:r>
          </w:p>
        </w:tc>
      </w:tr>
      <w:tr>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5"/>
                <w:szCs w:val="15"/>
              </w:rPr>
              <w:t xml:space="preserve">売上高</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62.6</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66.1</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60.5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63.2</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72.1</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66.1</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92.1</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85.4</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82.0</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87.7</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84.0</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86.7</w:t>
            </w:r>
          </w:p>
        </w:tc>
        <w:tc>
          <w:tcPr>
            <w:tcW w:type="dxa" w:w="64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89.2</w:t>
            </w:r>
          </w:p>
        </w:tc>
      </w:tr>
      <w:tr>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5"/>
                <w:szCs w:val="15"/>
              </w:rPr>
              <w:t xml:space="preserve">営業利益</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▲2.8</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▲1.7</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▲4.3</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▲1.2</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8.7</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3.0</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14.2</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6.5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0.2</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3.9</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0.9</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3.9</w:t>
            </w:r>
          </w:p>
        </w:tc>
        <w:tc>
          <w:tcPr>
            <w:tcW w:type="dxa" w:w="64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5.1</w:t>
            </w:r>
          </w:p>
        </w:tc>
      </w:tr>
      <w:tr>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5"/>
                <w:szCs w:val="15"/>
              </w:rPr>
              <w:t xml:space="preserve">減価償却費</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0.4</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0.2</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0.2</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0.5</w:t>
            </w:r>
          </w:p>
        </w:tc>
        <w:tc>
          <w:tcPr>
            <w:tcW w:type="dxa" w:w="64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0.7</w:t>
            </w:r>
          </w:p>
        </w:tc>
      </w:tr>
      <w:tr>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5"/>
                <w:szCs w:val="15"/>
              </w:rPr>
              <w:t xml:space="preserve">EBITDA</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▲2.3</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▲1.3</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▲3.8</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▲0.7</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9.2</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3.4</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14.5</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6.8</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0.7</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4.4</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1.4</w:t>
            </w:r>
          </w:p>
        </w:tc>
        <w:tc>
          <w:tcPr>
            <w:tcW w:type="dxa" w:w="6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4.3</w:t>
            </w:r>
          </w:p>
        </w:tc>
        <w:tc>
          <w:tcPr>
            <w:tcW w:type="dxa" w:w="64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5"/>
                <w:szCs w:val="15"/>
              </w:rPr>
              <w:t xml:space="preserve">5.8</w:t>
            </w:r>
          </w:p>
        </w:tc>
      </w:tr>
    </w:tbl>
    <w:p>
      <w:pPr>
        <w:spacing w:after="80"/>
      </w:pPr>
    </w:p>
    <w:p>
      <w:pPr>
        <w:spacing w:after="60" w:before="0" w:line="260"/>
        <w:jc w:val="both"/>
      </w:pPr>
      <w:r>
        <w:rPr>
          <w:rFonts w:ascii="游明朝" w:eastAsia="游明朝" w:hAnsi="游明朝"/>
          <w:color w:val="000000"/>
          <w:sz w:val="17"/>
          <w:szCs w:val="17"/>
        </w:rPr>
        <w:t xml:space="preserve">※ 2025年11月以前は経営管理シート（当社単体・管理会計ベース。売上は事業所積上げ、賞与は月割り配分、助成金等の営業外収益は含まない）。2025年12月以降は連結月次PLの調整後数値（売上は会計ベース、経営指導料は営業外区分、販売費及び一般管理費に計上される雇用関連助成金〈7か月累計20.2百万円〉を含む）。基準が異なるため、統合前後の数値は概ねの比較としてご覧ください。2025年12月の営業利益・EBITDAが高いのは、一括計上した賞与を6か月に月割りし直した調整の影響を含みます。</w:t>
      </w:r>
    </w:p>
    <w:p>
      <w:pPr>
        <w:pStyle w:val="ListParagraph"/>
        <w:numPr>
          <w:ilvl w:val="0"/>
          <w:numId w:val="3"/>
        </w:numPr>
        <w:spacing w:after="80" w:line="300"/>
      </w:pPr>
      <w:r>
        <w:rPr>
          <w:rFonts w:ascii="游明朝" w:eastAsia="游明朝" w:hAnsi="游明朝"/>
          <w:color w:val="000000"/>
          <w:sz w:val="21"/>
          <w:szCs w:val="21"/>
        </w:rPr>
        <w:t xml:space="preserve">統合前の当社単体は、2022年度後半以降おおむね月1〜3百万円のEBITDAで推移し、2025年6月〜9月にはグループ再編の準備期間に一時的にマイナスとなりましたが、10月以降に回復しました。</w:t>
      </w:r>
    </w:p>
    <w:p>
      <w:pPr>
        <w:pStyle w:val="ListParagraph"/>
        <w:numPr>
          <w:ilvl w:val="0"/>
          <w:numId w:val="3"/>
        </w:numPr>
        <w:spacing w:after="80" w:line="300"/>
      </w:pPr>
      <w:r>
        <w:rPr>
          <w:rFonts w:ascii="游明朝" w:eastAsia="游明朝" w:hAnsi="游明朝"/>
          <w:color w:val="000000"/>
          <w:sz w:val="21"/>
          <w:szCs w:val="21"/>
        </w:rPr>
        <w:t xml:space="preserve">統合後は、統合した事業（統合前は赤字基調）を含めた全事業ベースで月平均5.4百万円と、統合前の最も高い半期（2024年6月〜11月の2.6百万円）の約2倍の水準に達しています。直近の2026年6月は5.8百万円と、上半期平均を上回っています。</w:t>
      </w:r>
    </w:p>
    <w:p>
      <w:pPr>
        <w:pStyle w:val="Heading2"/>
        <w:spacing w:after="100" w:before="240"/>
      </w:pPr>
      <w:r>
        <w:rPr>
          <w:rFonts w:ascii="游ゴシック" w:eastAsia="游ゴシック" w:hAnsi="游ゴシック"/>
          <w:b/>
          <w:bCs/>
          <w:color w:val="000000"/>
          <w:sz w:val="22"/>
          <w:szCs w:val="22"/>
        </w:rPr>
        <w:t xml:space="preserve">2-5．上半期実績（2025年12月〜2026年5月）― 株主報告との整合</w:t>
      </w:r>
    </w:p>
    <w:p>
      <w:pPr>
        <w:spacing w:after="120" w:before="0" w:line="320"/>
        <w:jc w:val="both"/>
      </w:pPr>
      <w:r>
        <w:rPr>
          <w:rFonts w:ascii="游明朝" w:eastAsia="游明朝" w:hAnsi="游明朝"/>
          <w:color w:val="000000"/>
          <w:sz w:val="21"/>
          <w:szCs w:val="21"/>
        </w:rPr>
        <w:t xml:space="preserve">株主向け上半期報告では、帳簿数値と調整後数値を併記し、実態収益力と一時要因を区分してご報告しました。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38"/>
      </w:tblGrid>
      <w:tr>
        <w:trPr>
          <w:tblHeader/>
        </w:trPr>
        <w:tc>
          <w:tcPr>
            <w:tcW w:type="dxa" w:w="36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（百万円）</w:t>
            </w:r>
          </w:p>
        </w:tc>
        <w:tc>
          <w:tcPr>
            <w:tcW w:type="dxa" w:w="20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帳簿のまま</w:t>
            </w:r>
          </w:p>
        </w:tc>
        <w:tc>
          <w:tcPr>
            <w:tcW w:type="dxa" w:w="20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調整後</w:t>
            </w:r>
          </w:p>
        </w:tc>
        <w:tc>
          <w:tcPr>
            <w:tcW w:type="dxa" w:w="20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調整幅</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売上高</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517.9</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517.9</w:t>
            </w:r>
          </w:p>
        </w:tc>
        <w:tc>
          <w:tcPr>
            <w:tcW w:type="dxa" w:w="20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営業損益</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▲26.3</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＋29.7</w:t>
            </w:r>
          </w:p>
        </w:tc>
        <w:tc>
          <w:tcPr>
            <w:tcW w:type="dxa" w:w="20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＋56.0</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月平均営業損益</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▲4.4</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＋5.0</w:t>
            </w:r>
          </w:p>
        </w:tc>
        <w:tc>
          <w:tcPr>
            <w:tcW w:type="dxa" w:w="20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＋9.4</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当期純損益</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▲67.0</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＋38.0</w:t>
            </w:r>
          </w:p>
        </w:tc>
        <w:tc>
          <w:tcPr>
            <w:tcW w:type="dxa" w:w="20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＋105.0</w:t>
            </w:r>
          </w:p>
        </w:tc>
      </w:tr>
    </w:tbl>
    <w:p>
      <w:pPr>
        <w:spacing w:after="80"/>
      </w:pPr>
    </w:p>
    <w:p>
      <w:pPr>
        <w:spacing w:after="60" w:before="0" w:line="260"/>
        <w:jc w:val="both"/>
      </w:pPr>
      <w:r>
        <w:rPr>
          <w:rFonts w:ascii="游明朝" w:eastAsia="游明朝" w:hAnsi="游明朝"/>
          <w:color w:val="000000"/>
          <w:sz w:val="17"/>
          <w:szCs w:val="17"/>
        </w:rPr>
        <w:t xml:space="preserve">※ 主な調整事項：賞与の月割り再配分、合併に伴う一時損失（約49百万円）の除外、処遇改善給付の月割り配分、経営指導料の営業外区分。</w:t>
      </w:r>
    </w:p>
    <w:p>
      <w:pPr>
        <w:spacing w:after="120" w:before="0" w:line="320"/>
        <w:jc w:val="both"/>
      </w:pPr>
      <w:r>
        <w:rPr>
          <w:rFonts w:ascii="游明朝" w:eastAsia="游明朝" w:hAnsi="游明朝"/>
          <w:color w:val="000000"/>
          <w:sz w:val="21"/>
          <w:szCs w:val="21"/>
        </w:rPr>
        <w:t xml:space="preserve">上半期売上高517.9百万円は年換算で1,035.8百万円となり、2025年4月期（953.5百万円）を約8.6％上回る過去最高の水準です。</w:t>
      </w:r>
    </w:p>
    <w:p>
      <w:pPr>
        <w:pStyle w:val="Heading2"/>
        <w:spacing w:after="100" w:before="240"/>
      </w:pPr>
      <w:r>
        <w:rPr>
          <w:rFonts w:ascii="游ゴシック" w:eastAsia="游ゴシック" w:hAnsi="游ゴシック"/>
          <w:b/>
          <w:bCs/>
          <w:color w:val="000000"/>
          <w:sz w:val="22"/>
          <w:szCs w:val="22"/>
        </w:rPr>
        <w:t xml:space="preserve">2-6．現場の取り組みと成果</w:t>
      </w:r>
    </w:p>
    <w:p>
      <w:pPr>
        <w:spacing w:after="120" w:before="0" w:line="320"/>
        <w:jc w:val="both"/>
      </w:pPr>
      <w:r>
        <w:rPr>
          <w:rFonts w:ascii="游明朝" w:eastAsia="游明朝" w:hAnsi="游明朝"/>
          <w:color w:val="000000"/>
          <w:sz w:val="21"/>
          <w:szCs w:val="21"/>
        </w:rPr>
        <w:t xml:space="preserve">売上の回復は、利用者に喜ばれるサービスの工夫が稼働率・利用継続・紹介・加算取得につながった結果であり、不要なサービスの追加によるものではありません。グループ内で実際に成果の出た取り組みの例は次のとおりです。</w:t>
      </w:r>
    </w:p>
    <w:p>
      <w:pPr>
        <w:pStyle w:val="ListParagraph"/>
        <w:numPr>
          <w:ilvl w:val="0"/>
          <w:numId w:val="3"/>
        </w:numPr>
        <w:spacing w:after="80" w:line="300"/>
      </w:pPr>
      <w:r>
        <w:rPr>
          <w:rFonts w:ascii="游明朝" w:eastAsia="游明朝" w:hAnsi="游明朝"/>
          <w:b/>
          <w:bCs/>
          <w:color w:val="000000"/>
          <w:sz w:val="21"/>
          <w:szCs w:val="21"/>
        </w:rPr>
        <w:t xml:space="preserve">通所系事業所</w:t>
      </w:r>
      <w:r>
        <w:rPr>
          <w:rFonts w:ascii="游明朝" w:eastAsia="游明朝" w:hAnsi="游明朝"/>
          <w:color w:val="000000"/>
          <w:sz w:val="21"/>
          <w:szCs w:val="21"/>
        </w:rPr>
        <w:t xml:space="preserve">：月1回の非日常イベントに、通常定員35名の事業所で76名が参加。週1回利用の新規利用者10名獲得に相当する効果を得ました。</w:t>
      </w:r>
    </w:p>
    <w:p>
      <w:pPr>
        <w:pStyle w:val="ListParagraph"/>
        <w:numPr>
          <w:ilvl w:val="0"/>
          <w:numId w:val="3"/>
        </w:numPr>
        <w:spacing w:after="80" w:line="300"/>
      </w:pPr>
      <w:r>
        <w:rPr>
          <w:rFonts w:ascii="游明朝" w:eastAsia="游明朝" w:hAnsi="游明朝"/>
          <w:b/>
          <w:bCs/>
          <w:color w:val="000000"/>
          <w:sz w:val="21"/>
          <w:szCs w:val="21"/>
        </w:rPr>
        <w:t xml:space="preserve">訪問介護</w:t>
      </w:r>
      <w:r>
        <w:rPr>
          <w:rFonts w:ascii="游明朝" w:eastAsia="游明朝" w:hAnsi="游明朝"/>
          <w:color w:val="000000"/>
          <w:sz w:val="21"/>
          <w:szCs w:val="21"/>
        </w:rPr>
        <w:t xml:space="preserve">：スケジュールの整理（空き枠の可視化）により新規220時間／月のサービス提供枠を創出し、月約1.8百万円の営業利益改善につながりました。利用者の待ち時間も減少しています。</w:t>
      </w:r>
    </w:p>
    <w:p>
      <w:pPr>
        <w:pStyle w:val="ListParagraph"/>
        <w:numPr>
          <w:ilvl w:val="0"/>
          <w:numId w:val="3"/>
        </w:numPr>
        <w:spacing w:after="80" w:line="300"/>
      </w:pPr>
      <w:r>
        <w:rPr>
          <w:rFonts w:ascii="游明朝" w:eastAsia="游明朝" w:hAnsi="游明朝"/>
          <w:b/>
          <w:bCs/>
          <w:color w:val="000000"/>
          <w:sz w:val="21"/>
          <w:szCs w:val="21"/>
        </w:rPr>
        <w:t xml:space="preserve">居宅介護支援</w:t>
      </w:r>
      <w:r>
        <w:rPr>
          <w:rFonts w:ascii="游明朝" w:eastAsia="游明朝" w:hAnsi="游明朝"/>
          <w:color w:val="000000"/>
          <w:sz w:val="21"/>
          <w:szCs w:val="21"/>
        </w:rPr>
        <w:t xml:space="preserve">：社内の増回・サービス変更ニーズを毎月リスト化し、月約1.0百万円分の営業利益改善案件を確定しました。</w:t>
      </w:r>
    </w:p>
    <w:p>
      <w:pPr>
        <w:pStyle w:val="ListParagraph"/>
        <w:numPr>
          <w:ilvl w:val="0"/>
          <w:numId w:val="3"/>
        </w:numPr>
        <w:spacing w:after="80" w:line="300"/>
      </w:pPr>
      <w:r>
        <w:rPr>
          <w:rFonts w:ascii="游明朝" w:eastAsia="游明朝" w:hAnsi="游明朝"/>
          <w:b/>
          <w:bCs/>
          <w:color w:val="000000"/>
          <w:sz w:val="21"/>
          <w:szCs w:val="21"/>
        </w:rPr>
        <w:t xml:space="preserve">保険外サービス</w:t>
      </w:r>
      <w:r>
        <w:rPr>
          <w:rFonts w:ascii="游明朝" w:eastAsia="游明朝" w:hAnsi="游明朝"/>
          <w:color w:val="000000"/>
          <w:sz w:val="21"/>
          <w:szCs w:val="21"/>
        </w:rPr>
        <w:t xml:space="preserve">：旅行・美容など利用者が楽しめる保険外サービスをゼロから立ち上げ、当該事業所の売上の約28％を占める規模に成長しました。</w:t>
      </w:r>
    </w:p>
    <w:p>
      <w:pPr>
        <w:pStyle w:val="ListParagraph"/>
        <w:numPr>
          <w:ilvl w:val="0"/>
          <w:numId w:val="3"/>
        </w:numPr>
        <w:spacing w:after="80" w:line="300"/>
      </w:pPr>
      <w:r>
        <w:rPr>
          <w:rFonts w:ascii="游明朝" w:eastAsia="游明朝" w:hAnsi="游明朝"/>
          <w:b/>
          <w:bCs/>
          <w:color w:val="000000"/>
          <w:sz w:val="21"/>
          <w:szCs w:val="21"/>
        </w:rPr>
        <w:t xml:space="preserve">日次の売上予実管理</w:t>
      </w:r>
      <w:r>
        <w:rPr>
          <w:rFonts w:ascii="游明朝" w:eastAsia="游明朝" w:hAnsi="游明朝"/>
          <w:color w:val="000000"/>
          <w:sz w:val="21"/>
          <w:szCs w:val="21"/>
        </w:rPr>
        <w:t xml:space="preserve">：2026年7月より事業所別・日次の売上予実管理を導入し、稼働率・単価・営業日数の要因分解を毎日行う体制を整えました。</w:t>
      </w:r>
    </w:p>
    <w:p>
      <w:pPr>
        <w:pStyle w:val="Heading2"/>
        <w:spacing w:after="100" w:before="240"/>
      </w:pPr>
      <w:r>
        <w:rPr>
          <w:rFonts w:ascii="游ゴシック" w:eastAsia="游ゴシック" w:hAnsi="游ゴシック"/>
          <w:b/>
          <w:bCs/>
          <w:color w:val="000000"/>
          <w:sz w:val="22"/>
          <w:szCs w:val="22"/>
        </w:rPr>
        <w:t xml:space="preserve">2-7．収益基盤の拡充</w:t>
      </w:r>
    </w:p>
    <w:p>
      <w:pPr>
        <w:pStyle w:val="ListParagraph"/>
        <w:numPr>
          <w:ilvl w:val="0"/>
          <w:numId w:val="3"/>
        </w:numPr>
        <w:spacing w:after="80" w:line="300"/>
      </w:pPr>
      <w:r>
        <w:rPr>
          <w:rFonts w:ascii="游明朝" w:eastAsia="游明朝" w:hAnsi="游明朝"/>
          <w:color w:val="000000"/>
          <w:sz w:val="21"/>
          <w:szCs w:val="21"/>
        </w:rPr>
        <w:t xml:space="preserve">2026年4月、大阪市内2拠点（計6事業所）で訪問看護・訪問介護の事業所を自社開設しました。既存の人材と管理体制を活かしたオーガニックな開設であり、5月から売上計上を開始し、月を追って売上が積み上がっています。</w:t>
      </w:r>
    </w:p>
    <w:p>
      <w:pPr>
        <w:pStyle w:val="ListParagraph"/>
        <w:numPr>
          <w:ilvl w:val="0"/>
          <w:numId w:val="3"/>
        </w:numPr>
        <w:spacing w:after="80" w:line="300"/>
      </w:pPr>
      <w:r>
        <w:rPr>
          <w:rFonts w:ascii="游明朝" w:eastAsia="游明朝" w:hAnsi="游明朝"/>
          <w:color w:val="000000"/>
          <w:sz w:val="21"/>
          <w:szCs w:val="21"/>
        </w:rPr>
        <w:t xml:space="preserve">東京都内での訪問看護・訪問介護の新規指定申請を進めており、首都圏への展開の足場を整えています。</w:t>
      </w:r>
    </w:p>
    <w:p>
      <w:pPr>
        <w:pStyle w:val="ListParagraph"/>
        <w:numPr>
          <w:ilvl w:val="0"/>
          <w:numId w:val="3"/>
        </w:numPr>
        <w:spacing w:after="80" w:line="300"/>
      </w:pPr>
      <w:r>
        <w:rPr>
          <w:rFonts w:ascii="游明朝" w:eastAsia="游明朝" w:hAnsi="游明朝"/>
          <w:color w:val="000000"/>
          <w:sz w:val="21"/>
          <w:szCs w:val="21"/>
        </w:rPr>
        <w:t xml:space="preserve">人材雇用関連の助成金は7か月累計で20.2百万円を計上しており、採用・定着に向けた取り組みが公的支援制度の活用にもつながっています。</w:t>
      </w:r>
    </w:p>
    <w:p>
      <w:pPr>
        <w:pStyle w:val="Heading1"/>
        <w:pBdr>
          <w:bottom w:val="single" w:color="000000" w:sz="8" w:space="2"/>
        </w:pBdr>
        <w:spacing w:after="160" w:before="360"/>
      </w:pPr>
      <w:r>
        <w:rPr>
          <w:rFonts w:ascii="游ゴシック" w:eastAsia="游ゴシック" w:hAnsi="游ゴシック"/>
          <w:b/>
          <w:bCs/>
          <w:color w:val="000000"/>
          <w:sz w:val="25"/>
          <w:szCs w:val="25"/>
        </w:rPr>
        <w:t xml:space="preserve">3．財務の現況</w:t>
      </w:r>
    </w:p>
    <w:p>
      <w:pPr>
        <w:pStyle w:val="Heading2"/>
        <w:spacing w:after="100" w:before="240"/>
      </w:pPr>
      <w:r>
        <w:rPr>
          <w:rFonts w:ascii="游ゴシック" w:eastAsia="游ゴシック" w:hAnsi="游ゴシック"/>
          <w:b/>
          <w:bCs/>
          <w:color w:val="000000"/>
          <w:sz w:val="22"/>
          <w:szCs w:val="22"/>
        </w:rPr>
        <w:t xml:space="preserve">3-1．財政状態（2026年6月末・単体）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tblHeader/>
        </w:trPr>
        <w:tc>
          <w:tcPr>
            <w:tcW w:type="dxa" w:w="36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（百万円）</w:t>
            </w:r>
          </w:p>
        </w:tc>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6月末</w:t>
            </w:r>
          </w:p>
        </w:tc>
        <w:tc>
          <w:tcPr>
            <w:tcW w:type="dxa" w:w="45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補足</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現金及び預金</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84.6</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うち定期預金10.0は借入担保として拘束</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売掛金（介護報酬等）</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165.6</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約2か月分の報酬債権。公的保険制度に基づく確度の高い債権</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総資産</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392.9</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有利子負債（短期＋長期）</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337.5</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短期63.2（当座貸越等）、長期274.3</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純資産（帳簿）</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▲20.8</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一時損失の計上により2026年4月以降債務超過</w:t>
            </w:r>
          </w:p>
        </w:tc>
      </w:tr>
    </w:tbl>
    <w:p>
      <w:pPr>
        <w:spacing w:after="80"/>
      </w:pPr>
    </w:p>
    <w:p>
      <w:pPr>
        <w:spacing w:after="60" w:before="0" w:line="260"/>
        <w:jc w:val="both"/>
      </w:pPr>
      <w:r>
        <w:rPr>
          <w:rFonts w:ascii="游明朝" w:eastAsia="游明朝" w:hAnsi="游明朝"/>
          <w:color w:val="000000"/>
          <w:sz w:val="17"/>
          <w:szCs w:val="17"/>
        </w:rPr>
        <w:t xml:space="preserve">※ 株主報告では、事業引継ぎ済み・清算予定の関係法人向け貸付金51.1百万円を全額評価減した実態純資産（2026年5月末▲59.1百万円）を併せて開示しています。同法人から当社が引き受けた借入（約46百万円）は2026年11月期決算までに当社の帳簿へ計上する予定であり、計上後の実態ベースの有利子負債は約380百万円となります。</w:t>
      </w:r>
    </w:p>
    <w:p>
      <w:pPr>
        <w:pStyle w:val="Heading2"/>
        <w:spacing w:after="100" w:before="240"/>
      </w:pPr>
      <w:r>
        <w:rPr>
          <w:rFonts w:ascii="游ゴシック" w:eastAsia="游ゴシック" w:hAnsi="游ゴシック"/>
          <w:b/>
          <w:bCs/>
          <w:color w:val="000000"/>
          <w:sz w:val="22"/>
          <w:szCs w:val="22"/>
        </w:rPr>
        <w:t xml:space="preserve">3-2．返済の履行状況</w:t>
      </w:r>
    </w:p>
    <w:p>
      <w:pPr>
        <w:pStyle w:val="ListParagraph"/>
        <w:numPr>
          <w:ilvl w:val="0"/>
          <w:numId w:val="3"/>
        </w:numPr>
        <w:spacing w:after="80" w:line="300"/>
      </w:pPr>
      <w:r>
        <w:rPr>
          <w:rFonts w:ascii="游明朝" w:eastAsia="游明朝" w:hAnsi="游明朝"/>
          <w:color w:val="000000"/>
          <w:sz w:val="21"/>
          <w:szCs w:val="21"/>
        </w:rPr>
        <w:t xml:space="preserve">長期借入金残高は2026年2月末（合併により関係会社の借入を承継した直後）の293.7百万円から、6月末には274.3百万円へと4か月で19.4百万円減少しました。約定返済は遅滞なく履行しています。</w:t>
      </w:r>
    </w:p>
    <w:p>
      <w:pPr>
        <w:pStyle w:val="ListParagraph"/>
        <w:numPr>
          <w:ilvl w:val="0"/>
          <w:numId w:val="3"/>
        </w:numPr>
        <w:spacing w:after="80" w:line="300"/>
      </w:pPr>
      <w:r>
        <w:rPr>
          <w:rFonts w:ascii="游明朝" w:eastAsia="游明朝" w:hAnsi="游明朝"/>
          <w:color w:val="000000"/>
          <w:sz w:val="21"/>
          <w:szCs w:val="21"/>
        </w:rPr>
        <w:t xml:space="preserve">借入余力（調整後の本業利益の4年分に売掛金を加え、借入金を差し引いた社内指標）は、2025年10月の▲204百万円から2026年5月には▲50百万円へと大きく改善しました。</w:t>
      </w:r>
    </w:p>
    <w:p>
      <w:pPr>
        <w:pStyle w:val="Heading2"/>
        <w:spacing w:after="100" w:before="240"/>
      </w:pPr>
      <w:r>
        <w:rPr>
          <w:rFonts w:ascii="游ゴシック" w:eastAsia="游ゴシック" w:hAnsi="游ゴシック"/>
          <w:b/>
          <w:bCs/>
          <w:color w:val="000000"/>
          <w:sz w:val="22"/>
          <w:szCs w:val="22"/>
        </w:rPr>
        <w:t xml:space="preserve">3-3．親会社グループの財務基盤</w:t>
      </w:r>
    </w:p>
    <w:p>
      <w:pPr>
        <w:spacing w:after="120" w:before="0" w:line="320"/>
        <w:jc w:val="both"/>
      </w:pPr>
      <w:r>
        <w:rPr>
          <w:rFonts w:ascii="游明朝" w:eastAsia="游明朝" w:hAnsi="游明朝"/>
          <w:color w:val="000000"/>
          <w:sz w:val="21"/>
          <w:szCs w:val="21"/>
        </w:rPr>
        <w:t xml:space="preserve">親会社EEFULホールディングスを含む連結ベース（2026年7月度）では、純資産340百万円、現預金約460百万円、有利子負債380百万円であり、グループ全体としては実質無借金に近い財務体質にあります。親会社は当社の株式取得後、経営人材の派遣、月次管理会計の導入、会計の正常化を主導しており、当社の経営改善を資本・資金・経営の各面から支える体制が整っています。</w:t>
      </w:r>
    </w:p>
    <w:p>
      <w:pPr>
        <w:pStyle w:val="Heading2"/>
        <w:spacing w:after="100" w:before="240"/>
      </w:pPr>
      <w:r>
        <w:rPr>
          <w:rFonts w:ascii="游ゴシック" w:eastAsia="游ゴシック" w:hAnsi="游ゴシック"/>
          <w:b/>
          <w:bCs/>
          <w:color w:val="000000"/>
          <w:sz w:val="22"/>
          <w:szCs w:val="22"/>
        </w:rPr>
        <w:t xml:space="preserve">3-4．当面の課題 ― 返済負担に対する収益力の不足</w:t>
      </w:r>
    </w:p>
    <w:p>
      <w:pPr>
        <w:spacing w:after="120" w:before="0" w:line="320"/>
        <w:jc w:val="both"/>
      </w:pPr>
      <w:r>
        <w:rPr>
          <w:rFonts w:ascii="游明朝" w:eastAsia="游明朝" w:hAnsi="游明朝"/>
          <w:color w:val="000000"/>
          <w:sz w:val="21"/>
          <w:szCs w:val="21"/>
        </w:rPr>
        <w:t xml:space="preserve">当社の課題は、収益力そのものよりも、増大した有利子負債の返済負担にあります。月々の元金返済を税引後利益で賄うために必要な営業利益の水準は次のとおりです。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tblHeader/>
        </w:trPr>
        <w:tc>
          <w:tcPr>
            <w:tcW w:type="dxa" w:w="36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計算ステップ</w:t>
            </w:r>
          </w:p>
        </w:tc>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月額（百万円）</w:t>
            </w:r>
          </w:p>
        </w:tc>
        <w:tc>
          <w:tcPr>
            <w:tcW w:type="dxa" w:w="45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説明</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毎月の元金返済</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6.0</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経費ではなく税引後利益からのみ支払可能</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税負担を上乗せ（÷(1－30％)）</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8.6</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税引前で必要な利益</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支払利息を加算</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＋0.3</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借入17口の利息</w:t>
            </w:r>
          </w:p>
        </w:tc>
      </w:tr>
      <w:tr>
        <w:tc>
          <w:tcPr>
            <w:tcW w:type="dxa" w:w="36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bCs/>
                <w:color w:val="000000"/>
                <w:sz w:val="18"/>
                <w:szCs w:val="18"/>
              </w:rPr>
              <w:t xml:space="preserve">必要な営業利益（持続性の最低ライン）</w:t>
            </w:r>
          </w:p>
        </w:tc>
        <w:tc>
          <w:tcPr>
            <w:tcW w:type="dxa" w:w="15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8"/>
                <w:szCs w:val="18"/>
              </w:rPr>
              <w:t xml:space="preserve">≒9.0</w:t>
            </w:r>
          </w:p>
        </w:tc>
        <w:tc>
          <w:tcPr>
            <w:tcW w:type="dxa" w:w="4538"/>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年換算108百万円。減価償却費（月約0.7）を足し戻せば約8.0</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現在の水準（上半期平均・調整後）</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5.0</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直近6月は5.1</w:t>
            </w:r>
          </w:p>
        </w:tc>
      </w:tr>
      <w:tr>
        <w:tc>
          <w:tcPr>
            <w:tcW w:type="dxa" w:w="36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bCs/>
                <w:color w:val="000000"/>
                <w:sz w:val="18"/>
                <w:szCs w:val="18"/>
              </w:rPr>
              <w:t xml:space="preserve">不足額</w:t>
            </w:r>
          </w:p>
        </w:tc>
        <w:tc>
          <w:tcPr>
            <w:tcW w:type="dxa" w:w="15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8"/>
                <w:szCs w:val="18"/>
              </w:rPr>
              <w:t xml:space="preserve">約4.0</w:t>
            </w:r>
          </w:p>
        </w:tc>
        <w:tc>
          <w:tcPr>
            <w:tcW w:type="dxa" w:w="4538"/>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本計画で解消を図る金額</w:t>
            </w:r>
          </w:p>
        </w:tc>
      </w:tr>
    </w:tbl>
    <w:p>
      <w:pPr>
        <w:spacing w:after="80"/>
      </w:pPr>
    </w:p>
    <w:p>
      <w:pPr>
        <w:spacing w:after="120" w:before="0" w:line="320"/>
        <w:jc w:val="both"/>
      </w:pPr>
      <w:r>
        <w:rPr>
          <w:rFonts w:ascii="游明朝" w:eastAsia="游明朝" w:hAnsi="游明朝"/>
          <w:color w:val="000000"/>
          <w:sz w:val="21"/>
          <w:szCs w:val="21"/>
        </w:rPr>
        <w:t xml:space="preserve">月9.0百万円を安定的に超えれば、借入を約定どおり返済しながら自力で事業を回し続けることができます。月5.0百万円まで回復した現在、残る約4.0百万円の解消が当面の最重要課題であり、次章の計画はこの解消を目的としています。</w:t>
      </w:r>
    </w:p>
    <w:p>
      <w:pPr>
        <w:pStyle w:val="Heading1"/>
        <w:pBdr>
          <w:bottom w:val="single" w:color="000000" w:sz="8" w:space="2"/>
        </w:pBdr>
        <w:spacing w:after="160" w:before="360"/>
      </w:pPr>
      <w:r>
        <w:rPr>
          <w:rFonts w:ascii="游ゴシック" w:eastAsia="游ゴシック" w:hAnsi="游ゴシック"/>
          <w:b/>
          <w:bCs/>
          <w:color w:val="000000"/>
          <w:sz w:val="25"/>
          <w:szCs w:val="25"/>
        </w:rPr>
        <w:t xml:space="preserve">4．業績改善計画（2026年9月〜12月）</w:t>
      </w:r>
    </w:p>
    <w:p>
      <w:pPr>
        <w:pStyle w:val="Heading2"/>
        <w:spacing w:after="100" w:before="240"/>
      </w:pPr>
      <w:r>
        <w:rPr>
          <w:rFonts w:ascii="游ゴシック" w:eastAsia="游ゴシック" w:hAnsi="游ゴシック"/>
          <w:b/>
          <w:bCs/>
          <w:color w:val="000000"/>
          <w:sz w:val="22"/>
          <w:szCs w:val="22"/>
        </w:rPr>
        <w:t xml:space="preserve">4-1．計画の目標（KPI）</w:t>
      </w:r>
    </w:p>
    <w:p>
      <w:pPr>
        <w:spacing w:after="120" w:before="0" w:line="320"/>
        <w:jc w:val="both"/>
      </w:pPr>
      <w:r>
        <w:rPr>
          <w:rFonts w:ascii="游明朝" w:eastAsia="游明朝" w:hAnsi="游明朝"/>
          <w:b/>
          <w:bCs/>
          <w:color w:val="000000"/>
          <w:sz w:val="21"/>
          <w:szCs w:val="21"/>
        </w:rPr>
        <w:t xml:space="preserve">「2026年内に、月額4.5百万円（年換算54百万円）のコスト削減を実行可能な状態にする」</w:t>
      </w:r>
      <w:r>
        <w:rPr>
          <w:rFonts w:ascii="游明朝" w:eastAsia="游明朝" w:hAnsi="游明朝"/>
          <w:color w:val="000000"/>
          <w:sz w:val="21"/>
          <w:szCs w:val="21"/>
        </w:rPr>
        <w:t xml:space="preserve"> ことをKPIとして設定しています。これは前記3-4の不足額（約4.0百万円）を上回る水準であり、達成により月次の調整後営業利益は必要ライン（9.0百万円）を超える見込みです。</w:t>
      </w:r>
    </w:p>
    <w:p>
      <w:pPr>
        <w:spacing w:after="120" w:before="0" w:line="320"/>
        <w:jc w:val="both"/>
      </w:pPr>
      <w:r>
        <w:rPr>
          <w:rFonts w:ascii="游明朝" w:eastAsia="游明朝" w:hAnsi="游明朝"/>
          <w:color w:val="000000"/>
          <w:sz w:val="21"/>
          <w:szCs w:val="21"/>
        </w:rPr>
        <w:t xml:space="preserve">施策は事業部・本社の各責任者が担当し、KPI管理表に実施可否・優先順位・数値インパクト・開始日・完了日を明記して週次で進捗を更新しています。以下、施策の柱ごとに概要をご説明します（個別の人事事項に関わるため、対象者・事業所の詳細は記載を控えております）。</w:t>
      </w:r>
    </w:p>
    <w:p>
      <w:pPr>
        <w:pStyle w:val="Heading2"/>
        <w:spacing w:after="100" w:before="240"/>
      </w:pPr>
      <w:r>
        <w:rPr>
          <w:rFonts w:ascii="游ゴシック" w:eastAsia="游ゴシック" w:hAnsi="游ゴシック"/>
          <w:b/>
          <w:bCs/>
          <w:color w:val="000000"/>
          <w:sz w:val="22"/>
          <w:szCs w:val="22"/>
        </w:rPr>
        <w:t xml:space="preserve">4-2．施策の柱と月額効果（概算）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400"/>
        <w:gridCol w:w="1638"/>
      </w:tblGrid>
      <w:tr>
        <w:trPr>
          <w:tblHeader/>
        </w:trPr>
        <w:tc>
          <w:tcPr>
            <w:tcW w:type="dxa" w:w="23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施策の柱</w:t>
            </w:r>
          </w:p>
        </w:tc>
        <w:tc>
          <w:tcPr>
            <w:tcW w:type="dxa" w:w="43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主な内容</w:t>
            </w:r>
          </w:p>
        </w:tc>
        <w:tc>
          <w:tcPr>
            <w:tcW w:type="dxa" w:w="14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月額効果（百万円）</w:t>
            </w:r>
          </w:p>
        </w:tc>
        <w:tc>
          <w:tcPr>
            <w:tcW w:type="dxa" w:w="16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実行時期</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① 人員体制の適正化</w:t>
            </w:r>
          </w:p>
        </w:tc>
        <w:tc>
          <w:tcPr>
            <w:tcW w:type="dxa" w:w="4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通所系事業所を中心に、人時売上（1人1時間あたり売上）4,500円を基準としてシフトと配置を再設計し、事業所ごとの総労働時間目標を設定。雇用契約の更新時期・定年到達に合わせた契約時間の見直し、相談支援職等への配置転換、管理体制の世代交代を段階的に実施。</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約2.6</w:t>
            </w:r>
          </w:p>
        </w:tc>
        <w:tc>
          <w:tcPr>
            <w:tcW w:type="dxa" w:w="16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9月〜11月（面談開始→意向確認→契約変更）</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② 事業ポートフォリオの見直し</w:t>
            </w:r>
          </w:p>
        </w:tc>
        <w:tc>
          <w:tcPr>
            <w:tcW w:type="dxa" w:w="4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収支が恒常的に赤字の一部サービス（夜間帯サービス等）の縮小・廃止、収支が見合わない事業所の移転による家賃削減、小規模拠点の統合・譲渡。利用者・ご家族への丁寧な説明と受入先の確保を前提に進める。</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約1.5</w:t>
            </w:r>
          </w:p>
        </w:tc>
        <w:tc>
          <w:tcPr>
            <w:tcW w:type="dxa" w:w="16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9月〜12月（利用者説明→移転・譲渡）</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③ 本社・間接費の削減</w:t>
            </w:r>
          </w:p>
        </w:tc>
        <w:tc>
          <w:tcPr>
            <w:tcW w:type="dxa" w:w="4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コーポレート部門の組織再編（5部体制への集約）による間接人員の適正化、車両保険の見直し、研修会場の自社施設化、不要設備の撤去等。</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約0.8</w:t>
            </w:r>
          </w:p>
        </w:tc>
        <w:tc>
          <w:tcPr>
            <w:tcW w:type="dxa" w:w="16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9月〜11月（体制発表→新体制開始）</w:t>
            </w:r>
          </w:p>
        </w:tc>
      </w:tr>
      <w:tr>
        <w:tc>
          <w:tcPr>
            <w:tcW w:type="dxa" w:w="23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bCs/>
                <w:color w:val="000000"/>
                <w:sz w:val="18"/>
                <w:szCs w:val="18"/>
              </w:rPr>
              <w:t xml:space="preserve">合計（施策の積み上げ）</w:t>
            </w:r>
          </w:p>
        </w:tc>
        <w:tc>
          <w:tcPr>
            <w:tcW w:type="dxa" w:w="43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うち年内に実行可能と見込む金額：約4.5百万円／月（KPI）</w:t>
            </w:r>
          </w:p>
        </w:tc>
        <w:tc>
          <w:tcPr>
            <w:tcW w:type="dxa" w:w="14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8"/>
                <w:szCs w:val="18"/>
              </w:rPr>
              <w:t xml:space="preserve">約4.9</w:t>
            </w:r>
          </w:p>
        </w:tc>
        <w:tc>
          <w:tcPr>
            <w:tcW w:type="dxa" w:w="1638"/>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w:t>
            </w:r>
          </w:p>
        </w:tc>
      </w:tr>
    </w:tbl>
    <w:p>
      <w:pPr>
        <w:spacing w:after="80"/>
      </w:pPr>
    </w:p>
    <w:p>
      <w:pPr>
        <w:spacing w:after="60" w:before="0" w:line="260"/>
        <w:jc w:val="both"/>
      </w:pPr>
      <w:r>
        <w:rPr>
          <w:rFonts w:ascii="游明朝" w:eastAsia="游明朝" w:hAnsi="游明朝"/>
          <w:color w:val="000000"/>
          <w:sz w:val="17"/>
          <w:szCs w:val="17"/>
        </w:rPr>
        <w:t xml:space="preserve">※ 月額効果は各施策のランニングコスト削減額の概算（千円単位のKPI管理表を集計）。①には既に完了した管理職1名の処遇見直し（月0.4百万円）を含みます。複数施策で重複する人件費は一方にのみ計上しています。</w:t>
      </w:r>
    </w:p>
    <w:p>
      <w:pPr>
        <w:spacing w:after="120" w:before="0" w:line="320"/>
        <w:jc w:val="both"/>
      </w:pPr>
      <w:r>
        <w:rPr>
          <w:rFonts w:ascii="游明朝" w:eastAsia="游明朝" w:hAnsi="游明朝"/>
          <w:b/>
          <w:bCs/>
          <w:color w:val="000000"/>
          <w:sz w:val="21"/>
          <w:szCs w:val="21"/>
        </w:rPr>
        <w:t xml:space="preserve">直近の実行済み施策（8月〜9月初）</w:t>
      </w:r>
      <w:r>
        <w:rPr>
          <w:rFonts w:ascii="游明朝" w:eastAsia="游明朝" w:hAnsi="游明朝"/>
          <w:color w:val="000000"/>
          <w:sz w:val="21"/>
          <w:szCs w:val="21"/>
        </w:rPr>
        <w:t xml:space="preserve">：管理職1名の処遇条件の見直し（月0.4百万円）、不要設備の撤去（月0.1百万円）を完了し、KPI管理表による週次の進捗管理を開始しました。</w:t>
      </w:r>
    </w:p>
    <w:p>
      <w:pPr>
        <w:pStyle w:val="Heading2"/>
        <w:spacing w:after="100" w:before="240"/>
      </w:pPr>
      <w:r>
        <w:rPr>
          <w:rFonts w:ascii="游ゴシック" w:eastAsia="游ゴシック" w:hAnsi="游ゴシック"/>
          <w:b/>
          <w:bCs/>
          <w:color w:val="000000"/>
          <w:sz w:val="22"/>
          <w:szCs w:val="22"/>
        </w:rPr>
        <w:t xml:space="preserve">4-3．実行スケジュール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時期</w:t>
            </w:r>
          </w:p>
        </w:tc>
        <w:tc>
          <w:tcPr>
            <w:tcW w:type="dxa" w:w="81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主な実行事項</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2026年9月</w:t>
            </w:r>
          </w:p>
        </w:tc>
        <w:tc>
          <w:tcPr>
            <w:tcW w:type="dxa" w:w="81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各施策の方針決定と対象者・関係者との面談開始／通所系事業所のシフト再設計に着手／コーポレート再編の面談・確定／利用者・ご家族への説明開始</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2026年10月</w:t>
            </w:r>
          </w:p>
        </w:tc>
        <w:tc>
          <w:tcPr>
            <w:tcW w:type="dxa" w:w="81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雇用契約・勤務条件の変更を順次確定・適用／新任管理体制への移行開始／組織再編の体制発表</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2026年11月</w:t>
            </w:r>
          </w:p>
        </w:tc>
        <w:tc>
          <w:tcPr>
            <w:tcW w:type="dxa" w:w="81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新体制の開始（本社）／契約変更の完了／一部サービスの縮小・廃止／事業所移転の解約通知</w:t>
            </w:r>
          </w:p>
        </w:tc>
      </w:tr>
      <w:t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2026年12月</w:t>
            </w:r>
          </w:p>
        </w:tc>
        <w:tc>
          <w:tcPr>
            <w:tcW w:type="dxa" w:w="81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全施策の実行完了と月額効果の検証／2027年以降の月次計画への反映／通期決算（2026年11月期）の確定作業</w:t>
            </w:r>
          </w:p>
        </w:tc>
      </w:tr>
    </w:tbl>
    <w:p>
      <w:pPr>
        <w:spacing w:after="80"/>
      </w:pPr>
    </w:p>
    <w:p>
      <w:pPr>
        <w:pStyle w:val="Heading1"/>
        <w:pBdr>
          <w:bottom w:val="single" w:color="000000" w:sz="8" w:space="2"/>
        </w:pBdr>
        <w:spacing w:after="160" w:before="360"/>
      </w:pPr>
      <w:r>
        <w:rPr>
          <w:rFonts w:ascii="游ゴシック" w:eastAsia="游ゴシック" w:hAnsi="游ゴシック"/>
          <w:b/>
          <w:bCs/>
          <w:color w:val="000000"/>
          <w:sz w:val="25"/>
          <w:szCs w:val="25"/>
        </w:rPr>
        <w:t xml:space="preserve">5．業績の見通し</w:t>
      </w:r>
    </w:p>
    <w:p>
      <w:pPr>
        <w:pStyle w:val="Heading2"/>
        <w:spacing w:after="100" w:before="240"/>
      </w:pPr>
      <w:r>
        <w:rPr>
          <w:rFonts w:ascii="游ゴシック" w:eastAsia="游ゴシック" w:hAnsi="游ゴシック"/>
          <w:b/>
          <w:bCs/>
          <w:color w:val="000000"/>
          <w:sz w:val="22"/>
          <w:szCs w:val="22"/>
        </w:rPr>
        <w:t xml:space="preserve">5-1．月次営業利益（調整後）の改善ブリッジ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638"/>
      </w:tblGrid>
      <w:tr>
        <w:trPr>
          <w:tblHeader/>
        </w:trPr>
        <w:tc>
          <w:tcPr>
            <w:tcW w:type="dxa" w:w="44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（百万円／月）</w:t>
            </w:r>
          </w:p>
        </w:tc>
        <w:tc>
          <w:tcPr>
            <w:tcW w:type="dxa" w:w="26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金額</w:t>
            </w:r>
          </w:p>
        </w:tc>
        <w:tc>
          <w:tcPr>
            <w:tcW w:type="dxa" w:w="26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累計</w:t>
            </w:r>
          </w:p>
        </w:tc>
      </w:tr>
      <w:tr>
        <w:tc>
          <w:tcPr>
            <w:tcW w:type="dxa" w:w="4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現状：上半期平均の調整後営業利益</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5.0</w:t>
            </w:r>
          </w:p>
        </w:tc>
        <w:tc>
          <w:tcPr>
            <w:tcW w:type="dxa" w:w="26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5.0</w:t>
            </w:r>
          </w:p>
        </w:tc>
      </w:tr>
      <w:tr>
        <w:tc>
          <w:tcPr>
            <w:tcW w:type="dxa" w:w="4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 ① 人員体制の適正化</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＋2.6</w:t>
            </w:r>
          </w:p>
        </w:tc>
        <w:tc>
          <w:tcPr>
            <w:tcW w:type="dxa" w:w="26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7.6</w:t>
            </w:r>
          </w:p>
        </w:tc>
      </w:tr>
      <w:tr>
        <w:tc>
          <w:tcPr>
            <w:tcW w:type="dxa" w:w="4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 ② 事業ポートフォリオの見直し</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＋1.5</w:t>
            </w:r>
          </w:p>
        </w:tc>
        <w:tc>
          <w:tcPr>
            <w:tcW w:type="dxa" w:w="26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9.1</w:t>
            </w:r>
          </w:p>
        </w:tc>
      </w:tr>
      <w:tr>
        <w:tc>
          <w:tcPr>
            <w:tcW w:type="dxa" w:w="4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 ③ 本社・間接費の削減</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＋0.8</w:t>
            </w:r>
          </w:p>
        </w:tc>
        <w:tc>
          <w:tcPr>
            <w:tcW w:type="dxa" w:w="26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9.9</w:t>
            </w:r>
          </w:p>
        </w:tc>
      </w:tr>
      <w:tr>
        <w:tc>
          <w:tcPr>
            <w:tcW w:type="dxa" w:w="44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bCs/>
                <w:color w:val="000000"/>
                <w:sz w:val="18"/>
                <w:szCs w:val="18"/>
              </w:rPr>
              <w:t xml:space="preserve">施策完了後の水準（2027年初以降）</w:t>
            </w:r>
          </w:p>
        </w:tc>
        <w:tc>
          <w:tcPr>
            <w:tcW w:type="dxa" w:w="26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p>
        </w:tc>
        <w:tc>
          <w:tcPr>
            <w:tcW w:type="dxa" w:w="2638"/>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8"/>
                <w:szCs w:val="18"/>
              </w:rPr>
              <w:t xml:space="preserve">約9.5〜9.9</w:t>
            </w:r>
          </w:p>
        </w:tc>
      </w:tr>
      <w:tr>
        <w:tc>
          <w:tcPr>
            <w:tcW w:type="dxa" w:w="4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（参考）必要ライン</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p>
        </w:tc>
        <w:tc>
          <w:tcPr>
            <w:tcW w:type="dxa" w:w="26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9.0</w:t>
            </w:r>
          </w:p>
        </w:tc>
      </w:tr>
    </w:tbl>
    <w:p>
      <w:pPr>
        <w:spacing w:after="80"/>
      </w:pPr>
    </w:p>
    <w:p>
      <w:pPr>
        <w:spacing w:after="60" w:before="0" w:line="260"/>
        <w:jc w:val="both"/>
      </w:pPr>
      <w:r>
        <w:rPr>
          <w:rFonts w:ascii="游明朝" w:eastAsia="游明朝" w:hAnsi="游明朝"/>
          <w:color w:val="000000"/>
          <w:sz w:val="17"/>
          <w:szCs w:val="17"/>
        </w:rPr>
        <w:t xml:space="preserve">※ 売上面の施策（稼働率向上、加算取得、新設事業所の立ち上がり）は上振れ要因として本ブリッジには織り込んでいません。直近3か月の売上増加傾向（4月比＋9.2％）が継続した場合、月次営業利益はさらに上振れします。</w:t>
      </w:r>
    </w:p>
    <w:p>
      <w:pPr>
        <w:pStyle w:val="Heading2"/>
        <w:spacing w:after="100" w:before="240"/>
      </w:pPr>
      <w:r>
        <w:rPr>
          <w:rFonts w:ascii="游ゴシック" w:eastAsia="游ゴシック" w:hAnsi="游ゴシック"/>
          <w:b/>
          <w:bCs/>
          <w:color w:val="000000"/>
          <w:sz w:val="22"/>
          <w:szCs w:val="22"/>
        </w:rPr>
        <w:t xml:space="preserve">5-2．シナリオ別の見通し（2027年11月期）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500"/>
        <w:gridCol w:w="1500"/>
        <w:gridCol w:w="1438"/>
      </w:tblGrid>
      <w:tr>
        <w:trPr>
          <w:tblHeader/>
        </w:trPr>
        <w:tc>
          <w:tcPr>
            <w:tcW w:type="dxa" w:w="19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シナリオ</w:t>
            </w:r>
          </w:p>
        </w:tc>
        <w:tc>
          <w:tcPr>
            <w:tcW w:type="dxa" w:w="33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前提</w:t>
            </w:r>
          </w:p>
        </w:tc>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月次営業利益（調整後）</w:t>
            </w:r>
          </w:p>
        </w:tc>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年間営業利益（調整後）</w:t>
            </w:r>
          </w:p>
        </w:tc>
        <w:tc>
          <w:tcPr>
            <w:tcW w:type="dxa" w:w="14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必要ライン比</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保守的</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施策の実現率7割（月＋3.2）。売上は横ばい。</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約8.2</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約98</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▲10</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基本</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KPI（月＋4.5）を年内に達成。売上は横ばい。</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約9.5</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約114</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w:t>
            </w:r>
          </w:p>
        </w:tc>
      </w:tr>
      <w:t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上振れ</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施策全体（月＋4.9）を達成し、新設事業所の寄与と稼働率改善が加わる。</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10以上</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120以上</w:t>
            </w:r>
          </w:p>
        </w:tc>
        <w:tc>
          <w:tcPr>
            <w:tcW w:type="dxa" w:w="14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＋12以上</w:t>
            </w:r>
          </w:p>
        </w:tc>
      </w:tr>
    </w:tbl>
    <w:p>
      <w:pPr>
        <w:spacing w:after="80"/>
      </w:pPr>
    </w:p>
    <w:p>
      <w:pPr>
        <w:spacing w:after="120" w:before="0" w:line="320"/>
        <w:jc w:val="both"/>
      </w:pPr>
      <w:r>
        <w:rPr>
          <w:rFonts w:ascii="游明朝" w:eastAsia="游明朝" w:hAnsi="游明朝"/>
          <w:color w:val="000000"/>
          <w:sz w:val="21"/>
          <w:szCs w:val="21"/>
        </w:rPr>
        <w:t xml:space="preserve">基本シナリオでは、2027年11月期の調整後営業利益は年間約110百万円と、元金返済（年約72百万円）と利息を税引後利益で賄える水準に達する見込みです。保守的シナリオでも、減価償却費を足し戻したキャッシュベースの必要ライン（月約8.0百万円）はおおむね確保できる見通しです。</w:t>
      </w:r>
    </w:p>
    <w:p>
      <w:pPr>
        <w:pStyle w:val="Heading2"/>
        <w:spacing w:after="100" w:before="240"/>
      </w:pPr>
      <w:r>
        <w:rPr>
          <w:rFonts w:ascii="游ゴシック" w:eastAsia="游ゴシック" w:hAnsi="游ゴシック"/>
          <w:b/>
          <w:bCs/>
          <w:color w:val="000000"/>
          <w:sz w:val="22"/>
          <w:szCs w:val="22"/>
        </w:rPr>
        <w:t xml:space="preserve">5-3．2026年11月期（当期）の見通し</w:t>
      </w:r>
    </w:p>
    <w:p>
      <w:pPr>
        <w:spacing w:after="120" w:before="0" w:line="320"/>
        <w:jc w:val="both"/>
      </w:pPr>
      <w:r>
        <w:rPr>
          <w:rFonts w:ascii="游明朝" w:eastAsia="游明朝" w:hAnsi="游明朝"/>
          <w:color w:val="000000"/>
          <w:sz w:val="21"/>
          <w:szCs w:val="21"/>
        </w:rPr>
        <w:t xml:space="preserve">当期は上半期に計上した合併関連の一時損失および賞与の一括計上の影響により、帳簿上は通期で当期純損失を計上する見込みです。一方、調整後の営業利益は7か月累計で＋34.4百万円を確保しており、売上の回復基調と下半期に段階的に発現する本計画の効果により、調整後ベースでは通期黒字を維持する見通しです。決算確定後、帳簿数値と調整後数値を対比したうえで改めてご報告いたします。</w:t>
      </w:r>
    </w:p>
    <w:p>
      <w:pPr>
        <w:pStyle w:val="Heading1"/>
        <w:pBdr>
          <w:bottom w:val="single" w:color="000000" w:sz="8" w:space="2"/>
        </w:pBdr>
        <w:spacing w:after="160" w:before="360"/>
      </w:pPr>
      <w:r>
        <w:rPr>
          <w:rFonts w:ascii="游ゴシック" w:eastAsia="游ゴシック" w:hAnsi="游ゴシック"/>
          <w:b/>
          <w:bCs/>
          <w:color w:val="000000"/>
          <w:sz w:val="25"/>
          <w:szCs w:val="25"/>
        </w:rPr>
        <w:t xml:space="preserve">6．資金繰りの見通しと貴行へのお願い</w:t>
      </w:r>
    </w:p>
    <w:p>
      <w:pPr>
        <w:spacing w:after="120" w:before="0" w:line="320"/>
        <w:jc w:val="both"/>
      </w:pPr>
      <w:r>
        <w:rPr>
          <w:rFonts w:ascii="游明朝" w:eastAsia="游明朝" w:hAnsi="游明朝"/>
          <w:color w:val="000000"/>
          <w:sz w:val="21"/>
          <w:szCs w:val="21"/>
        </w:rPr>
        <w:t xml:space="preserve">資金繰りは、月内に社会保険料・家賃（月初）、給与（16日・26日）の支出が先行し、22〜24日頃に介護報酬が入金され、月末に約定返済を行うリズムで推移しています。介護報酬は公的保険制度に基づく確度の高い入金であり、売上の回復に伴い月次の入金額も増加しています。現状では月内の資金の谷が最大で約13百万円生じており、短期借入（当座貸越等63.2百万円）の継続が資金繰りの前提となっています。</w:t>
      </w:r>
    </w:p>
    <w:p>
      <w:pPr>
        <w:spacing w:after="120" w:before="0" w:line="320"/>
        <w:jc w:val="both"/>
      </w:pPr>
      <w:r>
        <w:rPr>
          <w:rFonts w:ascii="游明朝" w:eastAsia="游明朝" w:hAnsi="游明朝"/>
          <w:color w:val="000000"/>
          <w:sz w:val="21"/>
          <w:szCs w:val="21"/>
        </w:rPr>
        <w:t xml:space="preserve">本計画の実行により2027年初以降は月次の営業キャッシュ・フローが返済額を上回る見通しですが、施策の効果が本格的に発現するまでの期間（2026年12月〜2027年3月頃）は、冬季賞与の支給とも重なり、手元流動性が最も薄くなる局面と認識しています。つきましては、以下の点につきましてご理解とご支援を賜りたくお願い申し上げます。</w:t>
      </w:r>
    </w:p>
    <w:p>
      <w:pPr>
        <w:pStyle w:val="ListParagraph"/>
        <w:numPr>
          <w:ilvl w:val="0"/>
          <w:numId w:val="4"/>
        </w:numPr>
        <w:spacing w:after="100" w:line="300"/>
      </w:pPr>
      <w:r>
        <w:rPr>
          <w:rFonts w:ascii="游明朝" w:eastAsia="游明朝" w:hAnsi="游明朝"/>
          <w:b/>
          <w:bCs/>
          <w:color w:val="000000"/>
          <w:sz w:val="21"/>
          <w:szCs w:val="21"/>
        </w:rPr>
        <w:t xml:space="preserve">短期借入（当座貸越等）の期日更新の継続</w:t>
      </w:r>
      <w:r>
        <w:rPr>
          <w:rFonts w:ascii="游明朝" w:eastAsia="游明朝" w:hAnsi="游明朝"/>
          <w:color w:val="000000"/>
          <w:sz w:val="21"/>
          <w:szCs w:val="21"/>
        </w:rPr>
        <w:t xml:space="preserve"> ― 本計画の効果発現までの間、現行の短期借入枠を維持いただきたくお願い申し上げます。</w:t>
      </w:r>
    </w:p>
    <w:p>
      <w:pPr>
        <w:pStyle w:val="ListParagraph"/>
        <w:numPr>
          <w:ilvl w:val="0"/>
          <w:numId w:val="4"/>
        </w:numPr>
        <w:spacing w:after="100" w:line="300"/>
      </w:pPr>
      <w:r>
        <w:rPr>
          <w:rFonts w:ascii="游明朝" w:eastAsia="游明朝" w:hAnsi="游明朝"/>
          <w:b/>
          <w:bCs/>
          <w:color w:val="000000"/>
          <w:sz w:val="21"/>
          <w:szCs w:val="21"/>
        </w:rPr>
        <w:t xml:space="preserve">既存長期借入の約定返済の継続と、据置明け返済開始時期の事前協議</w:t>
      </w:r>
      <w:r>
        <w:rPr>
          <w:rFonts w:ascii="游明朝" w:eastAsia="游明朝" w:hAnsi="游明朝"/>
          <w:color w:val="000000"/>
          <w:sz w:val="21"/>
          <w:szCs w:val="21"/>
        </w:rPr>
        <w:t xml:space="preserve"> ― 当社は約定どおりの返済を継続する方針です。2027年に据置期間が明ける借入については、返済開始時の資金負担を平準化できるよう、事前にご相談させていただきたく存じます。</w:t>
      </w:r>
    </w:p>
    <w:p>
      <w:pPr>
        <w:pStyle w:val="ListParagraph"/>
        <w:numPr>
          <w:ilvl w:val="0"/>
          <w:numId w:val="4"/>
        </w:numPr>
        <w:spacing w:after="100" w:line="300"/>
      </w:pPr>
      <w:r>
        <w:rPr>
          <w:rFonts w:ascii="游明朝" w:eastAsia="游明朝" w:hAnsi="游明朝"/>
          <w:b/>
          <w:bCs/>
          <w:color w:val="000000"/>
          <w:sz w:val="21"/>
          <w:szCs w:val="21"/>
        </w:rPr>
        <w:t xml:space="preserve">月次でのご報告の継続</w:t>
      </w:r>
      <w:r>
        <w:rPr>
          <w:rFonts w:ascii="游明朝" w:eastAsia="游明朝" w:hAnsi="游明朝"/>
          <w:color w:val="000000"/>
          <w:sz w:val="21"/>
          <w:szCs w:val="21"/>
        </w:rPr>
        <w:t xml:space="preserve"> ― 月次試算表、調整後損益、1営業日あたり売上高、KPI管理表の進捗を毎月ご報告し、計画との乖離が生じた場合は速やかに追加施策をご説明いたします。</w:t>
      </w:r>
    </w:p>
    <w:p>
      <w:pPr>
        <w:pStyle w:val="Heading1"/>
        <w:pBdr>
          <w:bottom w:val="single" w:color="000000" w:sz="8" w:space="2"/>
        </w:pBdr>
        <w:spacing w:after="160" w:before="360"/>
      </w:pPr>
      <w:r>
        <w:rPr>
          <w:rFonts w:ascii="游ゴシック" w:eastAsia="游ゴシック" w:hAnsi="游ゴシック"/>
          <w:b/>
          <w:bCs/>
          <w:color w:val="000000"/>
          <w:sz w:val="25"/>
          <w:szCs w:val="25"/>
        </w:rPr>
        <w:t xml:space="preserve">7．留意事項</w:t>
      </w:r>
    </w:p>
    <w:p>
      <w:pPr>
        <w:pStyle w:val="ListParagraph"/>
        <w:numPr>
          <w:ilvl w:val="0"/>
          <w:numId w:val="3"/>
        </w:numPr>
        <w:spacing w:after="80" w:line="300"/>
      </w:pPr>
      <w:r>
        <w:rPr>
          <w:rFonts w:ascii="游明朝" w:eastAsia="游明朝" w:hAnsi="游明朝"/>
          <w:color w:val="000000"/>
          <w:sz w:val="21"/>
          <w:szCs w:val="21"/>
        </w:rPr>
        <w:t xml:space="preserve">本資料の見通しは、2026年9月時点で入手可能な情報および当社の判断に基づく前提により作成したものであり、介護報酬・障害福祉サービス報酬の改定、人材の採用・定着状況、利用者数の変動等により実際の結果は異なる可能性があります。</w:t>
      </w:r>
    </w:p>
    <w:p>
      <w:pPr>
        <w:pStyle w:val="ListParagraph"/>
        <w:numPr>
          <w:ilvl w:val="0"/>
          <w:numId w:val="3"/>
        </w:numPr>
        <w:spacing w:after="80" w:line="300"/>
      </w:pPr>
      <w:r>
        <w:rPr>
          <w:rFonts w:ascii="游明朝" w:eastAsia="游明朝" w:hAnsi="游明朝"/>
          <w:color w:val="000000"/>
          <w:sz w:val="21"/>
          <w:szCs w:val="21"/>
        </w:rPr>
        <w:t xml:space="preserve">人員体制の適正化は、対象者との合意形成と法令・就業規則の遵守を前提に段階的に進めるため、効果の発現時期が前後する可能性があります。利用者・ご家族への影響を最小化することを最優先とし、サービスの質の維持を前提に実行します。</w:t>
      </w:r>
    </w:p>
    <w:p>
      <w:pPr>
        <w:pStyle w:val="ListParagraph"/>
        <w:numPr>
          <w:ilvl w:val="0"/>
          <w:numId w:val="3"/>
        </w:numPr>
        <w:spacing w:after="80" w:line="300"/>
      </w:pPr>
      <w:r>
        <w:rPr>
          <w:rFonts w:ascii="游明朝" w:eastAsia="游明朝" w:hAnsi="游明朝"/>
          <w:color w:val="000000"/>
          <w:sz w:val="21"/>
          <w:szCs w:val="21"/>
        </w:rPr>
        <w:t xml:space="preserve">2026年11月期の数値は月次試算表に基づく未確定値です。関係法人から引き受けた借入の帳簿計上、資産の評価等により、決算確定時に純資産が変動する可能性があります。</w:t>
      </w:r>
    </w:p>
    <w:p>
      <w:pPr>
        <w:pStyle w:val="ListParagraph"/>
        <w:numPr>
          <w:ilvl w:val="0"/>
          <w:numId w:val="3"/>
        </w:numPr>
        <w:spacing w:after="80" w:line="300"/>
      </w:pPr>
      <w:r>
        <w:rPr>
          <w:rFonts w:ascii="游明朝" w:eastAsia="游明朝" w:hAnsi="游明朝"/>
          <w:color w:val="000000"/>
          <w:sz w:val="21"/>
          <w:szCs w:val="21"/>
        </w:rPr>
        <w:t xml:space="preserve">本資料は貴行へのご説明を目的として作成したものであり、監査法人・公認会計士による監査または検証を受けたものではありません。</w:t>
      </w:r>
    </w:p>
    <w:p>
      <w:pPr>
        <w:spacing w:after="240" w:before="120" w:line="320"/>
        <w:jc w:val="right"/>
      </w:pPr>
      <w:r>
        <w:rPr>
          <w:rFonts w:ascii="游明朝" w:eastAsia="游明朝" w:hAnsi="游明朝"/>
          <w:color w:val="000000"/>
          <w:sz w:val="21"/>
          <w:szCs w:val="21"/>
        </w:rPr>
        <w:t xml:space="preserve">以上</w:t>
      </w:r>
    </w:p>
    <w:p>
      <w:r>
        <w:br w:type="page"/>
      </w:r>
    </w:p>
    <w:p>
      <w:pPr>
        <w:pStyle w:val="Heading1"/>
        <w:pBdr>
          <w:bottom w:val="single" w:color="000000" w:sz="8" w:space="2"/>
        </w:pBdr>
        <w:spacing w:after="160" w:before="360"/>
      </w:pPr>
      <w:r>
        <w:rPr>
          <w:rFonts w:ascii="游ゴシック" w:eastAsia="游ゴシック" w:hAnsi="游ゴシック"/>
          <w:b/>
          <w:bCs/>
          <w:color w:val="000000"/>
          <w:sz w:val="25"/>
          <w:szCs w:val="25"/>
        </w:rPr>
        <w:t xml:space="preserve">別紙　参考資料</w:t>
      </w:r>
    </w:p>
    <w:p>
      <w:pPr>
        <w:pStyle w:val="Heading2"/>
        <w:spacing w:after="100" w:before="240"/>
      </w:pPr>
      <w:r>
        <w:rPr>
          <w:rFonts w:ascii="游ゴシック" w:eastAsia="游ゴシック" w:hAnsi="游ゴシック"/>
          <w:b/>
          <w:bCs/>
          <w:color w:val="000000"/>
          <w:sz w:val="22"/>
          <w:szCs w:val="22"/>
        </w:rPr>
        <w:t xml:space="preserve">別紙1．業績の推移（グループ合算・年次）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（百万円）</w:t>
            </w:r>
          </w:p>
        </w:tc>
        <w:tc>
          <w:tcPr>
            <w:tcW w:type="dxa" w:w="1376"/>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2022年4月期</w:t>
            </w:r>
          </w:p>
        </w:tc>
        <w:tc>
          <w:tcPr>
            <w:tcW w:type="dxa" w:w="1376"/>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2023年4月期</w:t>
            </w:r>
          </w:p>
        </w:tc>
        <w:tc>
          <w:tcPr>
            <w:tcW w:type="dxa" w:w="1376"/>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2024年4月期</w:t>
            </w:r>
          </w:p>
        </w:tc>
        <w:tc>
          <w:tcPr>
            <w:tcW w:type="dxa" w:w="1376"/>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2025年4月期</w:t>
            </w:r>
          </w:p>
        </w:tc>
        <w:tc>
          <w:tcPr>
            <w:tcW w:type="dxa" w:w="1376"/>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上半期（帳簿）</w:t>
            </w:r>
          </w:p>
        </w:tc>
        <w:tc>
          <w:tcPr>
            <w:tcW w:type="dxa" w:w="1382"/>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上半期年換算（調整後）</w:t>
            </w:r>
          </w:p>
        </w:tc>
      </w:tr>
      <w:tr>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売上高</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530.1</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705.8</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912.2</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953.5</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517.9</w:t>
            </w:r>
          </w:p>
        </w:tc>
        <w:tc>
          <w:tcPr>
            <w:tcW w:type="dxa" w:w="138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1,035.8</w:t>
            </w:r>
          </w:p>
        </w:tc>
      </w:tr>
      <w:tr>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営業利益</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▲22.3</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▲3.1</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▲5.6</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▲19.5</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▲26.3</w:t>
            </w:r>
          </w:p>
        </w:tc>
        <w:tc>
          <w:tcPr>
            <w:tcW w:type="dxa" w:w="138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＋59.4</w:t>
            </w:r>
          </w:p>
        </w:tc>
      </w:tr>
      <w:tr>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当期純利益</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▲12.0</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＋4.5</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▲5.2</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▲18.3</w:t>
            </w:r>
          </w:p>
        </w:tc>
        <w:tc>
          <w:tcPr>
            <w:tcW w:type="dxa" w:w="137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▲67.0</w:t>
            </w:r>
          </w:p>
        </w:tc>
        <w:tc>
          <w:tcPr>
            <w:tcW w:type="dxa" w:w="138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＋76.0</w:t>
            </w:r>
          </w:p>
        </w:tc>
      </w:tr>
    </w:tbl>
    <w:p>
      <w:pPr>
        <w:spacing w:after="80"/>
      </w:pPr>
    </w:p>
    <w:p>
      <w:pPr>
        <w:spacing w:after="60" w:before="0" w:line="260"/>
        <w:jc w:val="both"/>
      </w:pPr>
      <w:r>
        <w:rPr>
          <w:rFonts w:ascii="游明朝" w:eastAsia="游明朝" w:hAnsi="游明朝"/>
          <w:color w:val="000000"/>
          <w:sz w:val="17"/>
          <w:szCs w:val="17"/>
        </w:rPr>
        <w:t xml:space="preserve">※ 2023年4月期以降は、2026年に統合した関係法人・関係会社を含む合算ベース。2022年4月期は当時ほぼ1社であった単体。上半期は2025年12月〜2026年5月。年換算は上半期調整後×2の参考値。売上高は4期連続で増加し、年換算では初めて1,000百万円を超える水準に達しています。</w:t>
      </w:r>
    </w:p>
    <w:p>
      <w:pPr>
        <w:pStyle w:val="Heading2"/>
        <w:spacing w:after="100" w:before="240"/>
      </w:pPr>
      <w:r>
        <w:rPr>
          <w:rFonts w:ascii="游ゴシック" w:eastAsia="游ゴシック" w:hAnsi="游ゴシック"/>
          <w:b/>
          <w:bCs/>
          <w:color w:val="000000"/>
          <w:sz w:val="22"/>
          <w:szCs w:val="22"/>
        </w:rPr>
        <w:t xml:space="preserve">別紙2．実態収益力の推移（月次営業利益・調整後）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tblHeader/>
        </w:trPr>
        <w:tc>
          <w:tcPr>
            <w:tcW w:type="dxa" w:w="36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時点</w:t>
            </w:r>
          </w:p>
        </w:tc>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月額（百万円）</w:t>
            </w:r>
          </w:p>
        </w:tc>
        <w:tc>
          <w:tcPr>
            <w:tcW w:type="dxa" w:w="45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備考</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2025年9月（グループ入り時点）</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▲1.2</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買収時デュー・デリジェンスに基づく水準</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2026年11月期 上半期平均（12月〜5月）</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＋5.0</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株主向け上半期報告</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2026年6月（直近単月）</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＋5.1</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連結月次PL/BS（当社単体）</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2027年初以降（本計画完了後・基本シナリオ）</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＋9.5</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必要ライン9.0を上回る水準</w:t>
            </w:r>
          </w:p>
        </w:tc>
      </w:tr>
    </w:tbl>
    <w:p>
      <w:pPr>
        <w:spacing w:after="80"/>
      </w:pPr>
    </w:p>
    <w:p>
      <w:pPr>
        <w:pStyle w:val="Heading2"/>
        <w:spacing w:after="100" w:before="240"/>
      </w:pPr>
      <w:r>
        <w:rPr>
          <w:rFonts w:ascii="游ゴシック" w:eastAsia="游ゴシック" w:hAnsi="游ゴシック"/>
          <w:b/>
          <w:bCs/>
          <w:color w:val="000000"/>
          <w:sz w:val="22"/>
          <w:szCs w:val="22"/>
        </w:rPr>
        <w:t xml:space="preserve">別紙3．借入余力の推移（社内指標）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tblHeader/>
        </w:trPr>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時点</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2025年10月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11月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12月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2026年1月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2月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3月</w:t>
            </w:r>
          </w:p>
        </w:tc>
        <w:tc>
          <w:tcPr>
            <w:tcW w:type="dxa" w:w="107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4月</w:t>
            </w:r>
          </w:p>
        </w:tc>
        <w:tc>
          <w:tcPr>
            <w:tcW w:type="dxa" w:w="107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6"/>
                <w:szCs w:val="16"/>
              </w:rPr>
              <w:t xml:space="preserve">5月</w:t>
            </w:r>
          </w:p>
        </w:tc>
      </w:tr>
      <w:tr>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6"/>
                <w:szCs w:val="16"/>
              </w:rPr>
              <w:t xml:space="preserve">借入余力（百万円）</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▲204</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▲190</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▲110</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▲62</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▲126</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▲98</w:t>
            </w:r>
          </w:p>
        </w:tc>
        <w:tc>
          <w:tcPr>
            <w:tcW w:type="dxa" w:w="10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▲26</w:t>
            </w:r>
          </w:p>
        </w:tc>
        <w:tc>
          <w:tcPr>
            <w:tcW w:type="dxa" w:w="10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6"/>
                <w:szCs w:val="16"/>
              </w:rPr>
              <w:t xml:space="preserve">▲50</w:t>
            </w:r>
          </w:p>
        </w:tc>
      </w:tr>
    </w:tbl>
    <w:p>
      <w:pPr>
        <w:spacing w:after="80"/>
      </w:pPr>
    </w:p>
    <w:p>
      <w:pPr>
        <w:spacing w:after="60" w:before="0" w:line="260"/>
        <w:jc w:val="both"/>
      </w:pPr>
      <w:r>
        <w:rPr>
          <w:rFonts w:ascii="游明朝" w:eastAsia="游明朝" w:hAnsi="游明朝"/>
          <w:color w:val="000000"/>
          <w:sz w:val="17"/>
          <w:szCs w:val="17"/>
        </w:rPr>
        <w:t xml:space="preserve">※ 借入余力＝調整後の本業利益（過去12か月）×4年分＋売掛金－借入金。2026年2月の一時的な悪化は合併による借入承継（＋57.8百万円）によるもの。グループ入り以降、約7か月で150百万円以上改善しています。</w:t>
      </w:r>
    </w:p>
    <w:p>
      <w:pPr>
        <w:pStyle w:val="Heading2"/>
        <w:spacing w:after="100" w:before="240"/>
      </w:pPr>
      <w:r>
        <w:rPr>
          <w:rFonts w:ascii="游ゴシック" w:eastAsia="游ゴシック" w:hAnsi="游ゴシック"/>
          <w:b/>
          <w:bCs/>
          <w:color w:val="000000"/>
          <w:sz w:val="22"/>
          <w:szCs w:val="22"/>
        </w:rPr>
        <w:t xml:space="preserve">別紙4．有利子負債の概要（2026年6月末）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tblHeader/>
        </w:trPr>
        <w:tc>
          <w:tcPr>
            <w:tcW w:type="dxa" w:w="36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区分</w:t>
            </w:r>
          </w:p>
        </w:tc>
        <w:tc>
          <w:tcPr>
            <w:tcW w:type="dxa" w:w="1500"/>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残高（百万円）</w:t>
            </w:r>
          </w:p>
        </w:tc>
        <w:tc>
          <w:tcPr>
            <w:tcW w:type="dxa" w:w="4538"/>
            <w:tcBorders>
              <w:top w:val="single" w:color="000000" w:sz="4"/>
              <w:left w:val="single" w:color="000000" w:sz="4"/>
              <w:bottom w:val="single" w:color="000000" w:sz="4"/>
              <w:right w:val="single" w:color="000000" w:sz="4"/>
            </w:tcBorders>
            <w:shd w:fill="E6E6E6" w:color="E6E6E6" w:val="clear"/>
            <w:tcMar>
              <w:top w:type="dxa" w:w="40"/>
              <w:left w:type="dxa" w:w="70"/>
              <w:bottom w:type="dxa" w:w="40"/>
              <w:right w:type="dxa" w:w="70"/>
            </w:tcMar>
            <w:vAlign w:val="center"/>
          </w:tcPr>
          <w:p>
            <w:pPr>
              <w:spacing w:after="0" w:line="240"/>
              <w:jc w:val="center"/>
            </w:pPr>
            <w:r>
              <w:rPr>
                <w:rFonts w:ascii="游ゴシック" w:eastAsia="游ゴシック" w:hAnsi="游ゴシック"/>
                <w:b/>
                <w:bCs/>
                <w:color w:val="000000"/>
                <w:sz w:val="18"/>
                <w:szCs w:val="18"/>
              </w:rPr>
              <w:t xml:space="preserve">補足</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長期借入金（銀行・公的金融機関・役員借入等 17口）</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274.3</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月額元金返済 約6百万円（据置中の口を含む）。2月末比▲19.4</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短期借入金（当座貸越等）</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63.2</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期日更新により維持</w:t>
            </w:r>
          </w:p>
        </w:tc>
      </w:tr>
      <w:tr>
        <w:tc>
          <w:tcPr>
            <w:tcW w:type="dxa" w:w="36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bCs/>
                <w:color w:val="000000"/>
                <w:sz w:val="18"/>
                <w:szCs w:val="18"/>
              </w:rPr>
              <w:t xml:space="preserve">有利子負債合計（帳簿）</w:t>
            </w:r>
          </w:p>
        </w:tc>
        <w:tc>
          <w:tcPr>
            <w:tcW w:type="dxa" w:w="1500"/>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right"/>
            </w:pPr>
            <w:r>
              <w:rPr>
                <w:rFonts w:ascii="游明朝" w:eastAsia="游明朝" w:hAnsi="游明朝"/>
                <w:b/>
                <w:bCs/>
                <w:color w:val="000000"/>
                <w:sz w:val="18"/>
                <w:szCs w:val="18"/>
              </w:rPr>
              <w:t xml:space="preserve">337.5</w:t>
            </w:r>
          </w:p>
        </w:tc>
        <w:tc>
          <w:tcPr>
            <w:tcW w:type="dxa" w:w="4538"/>
            <w:tcBorders>
              <w:top w:val="single" w:color="000000" w:sz="4"/>
              <w:left w:val="single" w:color="000000" w:sz="4"/>
              <w:bottom w:val="single" w:color="000000" w:sz="4"/>
              <w:right w:val="single" w:color="000000" w:sz="4"/>
            </w:tcBorders>
            <w:shd w:fill="F2F2F2" w:color="F2F2F2" w:val="clear"/>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現預金84.6を差し引いたネット有利子負債 252.9</w:t>
            </w:r>
          </w:p>
        </w:tc>
      </w:tr>
      <w:tr>
        <w:tc>
          <w:tcPr>
            <w:tcW w:type="dxa" w:w="3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（参考）関係法人から引受済み・帳簿計上予定の借入</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right"/>
            </w:pPr>
            <w:r>
              <w:rPr>
                <w:rFonts w:ascii="游明朝" w:eastAsia="游明朝" w:hAnsi="游明朝"/>
                <w:b w:val="false"/>
                <w:bCs w:val="false"/>
                <w:color w:val="000000"/>
                <w:sz w:val="18"/>
                <w:szCs w:val="18"/>
              </w:rPr>
              <w:t xml:space="preserve">約46</w:t>
            </w:r>
          </w:p>
        </w:tc>
        <w:tc>
          <w:tcPr>
            <w:tcW w:type="dxa" w:w="4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0" w:line="240"/>
              <w:jc w:val="left"/>
            </w:pPr>
            <w:r>
              <w:rPr>
                <w:rFonts w:ascii="游明朝" w:eastAsia="游明朝" w:hAnsi="游明朝"/>
                <w:b w:val="false"/>
                <w:bCs w:val="false"/>
                <w:color w:val="000000"/>
                <w:sz w:val="18"/>
                <w:szCs w:val="18"/>
              </w:rPr>
              <w:t xml:space="preserve">公的金融機関2口。計上後の実態合計は約380</w:t>
            </w:r>
          </w:p>
        </w:tc>
      </w:tr>
    </w:tbl>
    <w:p>
      <w:pPr>
        <w:spacing w:after="80"/>
      </w:pPr>
    </w:p>
    <w:p>
      <w:pPr>
        <w:spacing w:after="60" w:before="0" w:line="260"/>
        <w:jc w:val="both"/>
      </w:pPr>
      <w:r>
        <w:rPr>
          <w:rFonts w:ascii="游明朝" w:eastAsia="游明朝" w:hAnsi="游明朝"/>
          <w:color w:val="000000"/>
          <w:sz w:val="17"/>
          <w:szCs w:val="17"/>
        </w:rPr>
        <w:t xml:space="preserve">※ 据置期間が明ける口（2027年3月〜8月に順次償還開始予定）があるため、月額元金返済は段階的に増加する見込みです。</w:t>
      </w:r>
    </w:p>
    <w:sectPr>
      <w:headerReference w:type="default" r:id="rId7"/>
      <w:footerReference w:type="default" r:id="rId8"/>
      <w:pgSz w:w="11906" w:h="16838" w:orient="portrait"/>
      <w:pgMar w:top="1250" w:right="1134" w:bottom="11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明朝" w:eastAsia="游明朝" w:hAnsi="游明朝"/>
        <w:color w:val="000000"/>
        <w:sz w:val="16"/>
        <w:szCs w:val="16"/>
      </w:rPr>
      <w:t xml:space="preserve">株式会社ハートフルサンク　業績改善の進捗および今後の見通しについて（ご報告）　　貴行限り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游ゴシック" w:cs="游ゴシック" w:eastAsia="游ゴシック" w:hAnsi="游ゴシック"/>
      <w:b/>
      <w:bCs/>
      <w:color w:val="000000"/>
      <w:sz w:val="25"/>
      <w:szCs w:val="25"/>
    </w:rPr>
  </w:style>
  <w:style w:type="paragraph" w:styleId="Heading2">
    <w:name w:val="Heading 2"/>
    <w:basedOn w:val="Normal"/>
    <w:next w:val="Normal"/>
    <w:qFormat/>
    <w:rPr>
      <w:rFonts w:ascii="游ゴシック" w:cs="游ゴシック" w:eastAsia="游ゴシック" w:hAnsi="游ゴシック"/>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業績改善の進捗および今後の見通しについて（ご報告）</dc:title>
  <dc:creator>株式会社ハートフルサンク</dc:creator>
  <cp:lastModifiedBy>Un-named</cp:lastModifiedBy>
  <cp:revision>1</cp:revision>
  <dcterms:created xsi:type="dcterms:W3CDTF">2026-09-04T04:48:01.151Z</dcterms:created>
  <dcterms:modified xsi:type="dcterms:W3CDTF">2026-09-04T04:48:01.164Z</dcterms:modified>
</cp:coreProperties>
</file>

<file path=docProps/custom.xml><?xml version="1.0" encoding="utf-8"?>
<Properties xmlns="http://schemas.openxmlformats.org/officeDocument/2006/custom-properties" xmlns:vt="http://schemas.openxmlformats.org/officeDocument/2006/docPropsVTypes"/>
</file>