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20"/>
        <w:jc w:val="right"/>
      </w:pPr>
      <w:r>
        <w:rPr>
          <w:rFonts w:ascii="游明朝" w:eastAsia="游明朝" w:hAnsi="游明朝"/>
          <w:sz w:val="21"/>
          <w:szCs w:val="21"/>
        </w:rPr>
        <w:t xml:space="preserve">2026年9月4日</w:t>
      </w:r>
    </w:p>
    <w:p>
      <w:pPr>
        <w:spacing w:after="360" w:before="0" w:line="320"/>
        <w:jc w:val="both"/>
      </w:pPr>
      <w:r>
        <w:rPr>
          <w:rFonts w:ascii="游明朝" w:eastAsia="游明朝" w:hAnsi="游明朝"/>
          <w:sz w:val="22"/>
          <w:szCs w:val="22"/>
        </w:rPr>
        <w:t xml:space="preserve">〇〇銀行　〇〇支店　御中</w:t>
      </w:r>
    </w:p>
    <w:p>
      <w:pPr>
        <w:spacing w:after="40" w:before="0" w:line="320"/>
        <w:jc w:val="right"/>
      </w:pPr>
      <w:r>
        <w:rPr>
          <w:rFonts w:ascii="游明朝" w:eastAsia="游明朝" w:hAnsi="游明朝"/>
          <w:sz w:val="21"/>
          <w:szCs w:val="21"/>
        </w:rPr>
        <w:t xml:space="preserve">株式会社ハートフルサンク</w:t>
      </w:r>
    </w:p>
    <w:p>
      <w:pPr>
        <w:spacing w:after="40" w:before="0" w:line="320"/>
        <w:jc w:val="right"/>
      </w:pPr>
      <w:r>
        <w:rPr>
          <w:rFonts w:ascii="游明朝" w:eastAsia="游明朝" w:hAnsi="游明朝"/>
          <w:sz w:val="21"/>
          <w:szCs w:val="21"/>
        </w:rPr>
        <w:t xml:space="preserve">代表取締役　森山　和哉</w:t>
      </w:r>
    </w:p>
    <w:p>
      <w:pPr>
        <w:spacing w:after="40" w:before="0" w:line="320"/>
        <w:jc w:val="right"/>
      </w:pPr>
      <w:r>
        <w:rPr>
          <w:rFonts w:ascii="游明朝" w:eastAsia="游明朝" w:hAnsi="游明朝"/>
          <w:sz w:val="21"/>
          <w:szCs w:val="21"/>
        </w:rPr>
        <w:t xml:space="preserve">株式会社EEFULホールディングス（親会社）</w:t>
      </w:r>
    </w:p>
    <w:p>
      <w:pPr>
        <w:spacing w:after="360" w:before="0" w:line="320"/>
        <w:jc w:val="right"/>
      </w:pPr>
      <w:r>
        <w:rPr>
          <w:rFonts w:ascii="游明朝" w:eastAsia="游明朝" w:hAnsi="游明朝"/>
          <w:sz w:val="21"/>
          <w:szCs w:val="21"/>
        </w:rPr>
        <w:t xml:space="preserve">代表取締役　森山　穂貴</w:t>
      </w:r>
    </w:p>
    <w:p>
      <w:pPr>
        <w:spacing w:after="80" w:before="120"/>
        <w:jc w:val="center"/>
      </w:pPr>
      <w:r>
        <w:rPr>
          <w:rFonts w:ascii="游ゴシック" w:eastAsia="游ゴシック" w:hAnsi="游ゴシック"/>
          <w:b/>
          <w:bCs/>
          <w:color w:val="1F3A5F"/>
          <w:sz w:val="30"/>
          <w:szCs w:val="30"/>
        </w:rPr>
        <w:t xml:space="preserve">業績改善の進捗および今後の見通しについて（ご報告）</w:t>
      </w:r>
    </w:p>
    <w:p>
      <w:pPr>
        <w:spacing w:after="360" w:before="0" w:line="320"/>
        <w:jc w:val="center"/>
      </w:pPr>
      <w:r>
        <w:rPr>
          <w:rFonts w:ascii="游明朝" w:eastAsia="游明朝" w:hAnsi="游明朝"/>
          <w:color w:val="444444"/>
          <w:sz w:val="20"/>
          <w:szCs w:val="20"/>
        </w:rPr>
        <w:t xml:space="preserve">― 2026年11月期 上半期実績と、年内に実行する収益改善計画 ―</w:t>
      </w:r>
    </w:p>
    <w:p>
      <w:pPr>
        <w:spacing w:after="120" w:before="0" w:line="320"/>
        <w:jc w:val="both"/>
      </w:pPr>
      <w:r>
        <w:rPr>
          <w:rFonts w:ascii="游明朝" w:eastAsia="游明朝" w:hAnsi="游明朝"/>
          <w:sz w:val="21"/>
          <w:szCs w:val="21"/>
        </w:rPr>
        <w:t xml:space="preserve">拝啓　時下ますますご清栄のこととお慶び申し上げます。平素は格別のご高配を賜り、厚く御礼申し上げます。</w:t>
      </w:r>
    </w:p>
    <w:p>
      <w:pPr>
        <w:spacing w:after="80" w:before="0" w:line="320"/>
        <w:jc w:val="both"/>
      </w:pPr>
      <w:r>
        <w:rPr>
          <w:rFonts w:ascii="游明朝" w:eastAsia="游明朝" w:hAnsi="游明朝"/>
          <w:sz w:val="21"/>
          <w:szCs w:val="21"/>
        </w:rPr>
        <w:t xml:space="preserve">さて、当社の経営再建につきましては、日頃より貴行から多大なご理解とご支援を頂戴しております。本書は、株主向けに報告いたしました2026年11月期上半期の実績、およびその後の月次推移を踏まえ、当社が現在実行している業績改善計画と今後の見通しについてご報告申し上げるものです。ご高覧のうえ、引き続きのご支援を賜りますようお願い申し上げます。</w:t>
      </w:r>
    </w:p>
    <w:p>
      <w:pPr>
        <w:spacing w:after="240" w:before="0" w:line="320"/>
        <w:jc w:val="right"/>
      </w:pPr>
      <w:r>
        <w:rPr>
          <w:rFonts w:ascii="游明朝" w:eastAsia="游明朝" w:hAnsi="游明朝"/>
          <w:sz w:val="21"/>
          <w:szCs w:val="21"/>
        </w:rPr>
        <w:t xml:space="preserve">敬具</w:t>
      </w:r>
    </w:p>
    <w:p>
      <w:pPr>
        <w:pStyle w:val="Heading1"/>
        <w:pBdr>
          <w:bottom w:val="single" w:color="1F3A5F" w:sz="8" w:space="2"/>
        </w:pBdr>
        <w:spacing w:after="160" w:before="360"/>
      </w:pPr>
      <w:r>
        <w:rPr>
          <w:rFonts w:ascii="游ゴシック" w:eastAsia="游ゴシック" w:hAnsi="游ゴシック"/>
          <w:b/>
          <w:bCs/>
          <w:color w:val="1F3A5F"/>
          <w:sz w:val="26"/>
          <w:szCs w:val="26"/>
        </w:rPr>
        <w:t xml:space="preserve">要旨</w:t>
      </w:r>
    </w:p>
    <w:p>
      <w:pPr>
        <w:pStyle w:val="ListParagraph"/>
        <w:numPr>
          <w:ilvl w:val="0"/>
          <w:numId w:val="2"/>
        </w:numPr>
        <w:spacing w:after="80" w:line="300"/>
      </w:pPr>
      <w:r>
        <w:rPr>
          <w:rFonts w:ascii="游明朝" w:eastAsia="游明朝" w:hAnsi="游明朝"/>
          <w:b/>
          <w:bCs/>
          <w:sz w:val="21"/>
          <w:szCs w:val="21"/>
        </w:rPr>
        <w:t xml:space="preserve">実態収益力は改善基調にあります。</w:t>
      </w:r>
      <w:r>
        <w:rPr>
          <w:rFonts w:ascii="游明朝" w:eastAsia="游明朝" w:hAnsi="游明朝"/>
          <w:sz w:val="21"/>
          <w:szCs w:val="21"/>
        </w:rPr>
        <w:t xml:space="preserve">一時費用等を除いた調整後営業利益は、グループ入り時点（2025年9月）の月▲1.2百万円から、2026年11月期上半期（2025年12月〜2026年5月）は月平均＋5.0百万円、直近7か月（〜2026年6月）でも月平均＋4.9百万円へ回復しています。</w:t>
      </w:r>
    </w:p>
    <w:p>
      <w:pPr>
        <w:pStyle w:val="ListParagraph"/>
        <w:numPr>
          <w:ilvl w:val="0"/>
          <w:numId w:val="2"/>
        </w:numPr>
        <w:spacing w:after="80" w:line="300"/>
      </w:pPr>
      <w:r>
        <w:rPr>
          <w:rFonts w:ascii="游明朝" w:eastAsia="游明朝" w:hAnsi="游明朝"/>
          <w:b/>
          <w:bCs/>
          <w:sz w:val="21"/>
          <w:szCs w:val="21"/>
        </w:rPr>
        <w:t xml:space="preserve">帳簿上の損益は一時要因により赤字です。</w:t>
      </w:r>
      <w:r>
        <w:rPr>
          <w:rFonts w:ascii="游明朝" w:eastAsia="游明朝" w:hAnsi="游明朝"/>
          <w:sz w:val="21"/>
          <w:szCs w:val="21"/>
        </w:rPr>
        <w:t xml:space="preserve">上半期の帳簿上の営業損益は▲26.3百万円、当期純損益は▲67.0百万円ですが、その主因は合併に伴う一時損失（約49百万円）と賞与の一括計上等であり、いずれも2026年2月までに計上を終えています。</w:t>
      </w:r>
    </w:p>
    <w:p>
      <w:pPr>
        <w:pStyle w:val="ListParagraph"/>
        <w:numPr>
          <w:ilvl w:val="0"/>
          <w:numId w:val="2"/>
        </w:numPr>
        <w:spacing w:after="80" w:line="300"/>
      </w:pPr>
      <w:r>
        <w:rPr>
          <w:rFonts w:ascii="游明朝" w:eastAsia="游明朝" w:hAnsi="游明朝"/>
          <w:b/>
          <w:bCs/>
          <w:sz w:val="21"/>
          <w:szCs w:val="21"/>
        </w:rPr>
        <w:t xml:space="preserve">課題は「返済負担に対する収益力の不足」です。</w:t>
      </w:r>
      <w:r>
        <w:rPr>
          <w:rFonts w:ascii="游明朝" w:eastAsia="游明朝" w:hAnsi="游明朝"/>
          <w:sz w:val="21"/>
          <w:szCs w:val="21"/>
        </w:rPr>
        <w:t xml:space="preserve">月々の元金返済（約6百万円）を税引後利益で賄うために必要な営業利益は月9.0百万円であり、現状の月5.0百万円に対し約4.0百万円の不足があります。</w:t>
      </w:r>
    </w:p>
    <w:p>
      <w:pPr>
        <w:pStyle w:val="ListParagraph"/>
        <w:numPr>
          <w:ilvl w:val="0"/>
          <w:numId w:val="2"/>
        </w:numPr>
        <w:spacing w:after="80" w:line="300"/>
      </w:pPr>
      <w:r>
        <w:rPr>
          <w:rFonts w:ascii="游明朝" w:eastAsia="游明朝" w:hAnsi="游明朝"/>
          <w:b/>
          <w:bCs/>
          <w:sz w:val="21"/>
          <w:szCs w:val="21"/>
        </w:rPr>
        <w:t xml:space="preserve">年内に月額約4.5百万円のコスト構造改善を実行します。</w:t>
      </w:r>
      <w:r>
        <w:rPr>
          <w:rFonts w:ascii="游明朝" w:eastAsia="游明朝" w:hAnsi="游明朝"/>
          <w:sz w:val="21"/>
          <w:szCs w:val="21"/>
        </w:rPr>
        <w:t xml:space="preserve">人員体制の適正化、不採算事業所の整理、本社間接費の削減を柱とする施策を2026年9月〜12月に集中実行し、2027年初からは月次営業利益（調整後）を必要ライン（月9.0百万円）以上に引き上げる計画です。</w:t>
      </w:r>
    </w:p>
    <w:p>
      <w:pPr>
        <w:pStyle w:val="ListParagraph"/>
        <w:numPr>
          <w:ilvl w:val="0"/>
          <w:numId w:val="2"/>
        </w:numPr>
        <w:spacing w:after="80" w:line="300"/>
      </w:pPr>
      <w:r>
        <w:rPr>
          <w:rFonts w:ascii="游明朝" w:eastAsia="游明朝" w:hAnsi="游明朝"/>
          <w:b/>
          <w:bCs/>
          <w:sz w:val="21"/>
          <w:szCs w:val="21"/>
        </w:rPr>
        <w:t xml:space="preserve">あわせて資産の整理により約36百万円の一時的な資金創出を見込みます。</w:t>
      </w:r>
      <w:r>
        <w:rPr>
          <w:rFonts w:ascii="游明朝" w:eastAsia="游明朝" w:hAnsi="游明朝"/>
          <w:sz w:val="21"/>
          <w:szCs w:val="21"/>
        </w:rPr>
        <w:t xml:space="preserve">不採算事業所の譲渡および所有不動産の売却（または担保活用）を進め、有利子負債の圧縮または手元流動性の確保に充当する方針です。使途については貴行とご相談のうえ決定いたします。</w:t>
      </w:r>
    </w:p>
    <w:p>
      <w:pPr>
        <w:pStyle w:val="Heading1"/>
        <w:pBdr>
          <w:bottom w:val="single" w:color="1F3A5F" w:sz="8" w:space="2"/>
        </w:pBdr>
        <w:spacing w:after="160" w:before="360"/>
      </w:pPr>
      <w:r>
        <w:rPr>
          <w:rFonts w:ascii="游ゴシック" w:eastAsia="游ゴシック" w:hAnsi="游ゴシック"/>
          <w:b/>
          <w:bCs/>
          <w:color w:val="1F3A5F"/>
          <w:sz w:val="26"/>
          <w:szCs w:val="26"/>
        </w:rPr>
        <w:t xml:space="preserve">1．本資料の位置づけ</w:t>
      </w:r>
    </w:p>
    <w:p>
      <w:pPr>
        <w:spacing w:after="120" w:before="0" w:line="320"/>
        <w:jc w:val="both"/>
      </w:pPr>
      <w:r>
        <w:rPr>
          <w:rFonts w:ascii="游明朝" w:eastAsia="游明朝" w:hAnsi="游明朝"/>
          <w:sz w:val="21"/>
          <w:szCs w:val="21"/>
        </w:rPr>
        <w:t xml:space="preserve">本資料は、当社が株主に報告した2026年11月期上半期報告（調整後損益計算書・貸借対照表）、2026年6月までの月次管理会計（親会社EEFULホールディングスによる連結月次PL/BS）、および2026年9月に策定した収益改善KPI管理表を基礎として作成しています。</w:t>
      </w:r>
    </w:p>
    <w:p>
      <w:pPr>
        <w:spacing w:after="120" w:before="0" w:line="320"/>
        <w:jc w:val="both"/>
      </w:pPr>
      <w:r>
        <w:rPr>
          <w:rFonts w:ascii="游明朝" w:eastAsia="游明朝" w:hAnsi="游明朝"/>
          <w:sz w:val="21"/>
          <w:szCs w:val="21"/>
        </w:rPr>
        <w:t xml:space="preserve">金額の単位は百万円（小数第2位以下四捨五入）、「▲」は負の値を示します。なお「調整後」とは、賞与の一括計上を対応月へ月割りし直し、合併に伴う一時損失、処遇改善給付の一括計上など一時的・期間帰属のずれによる要因を除いた、実態収益力を示す社内管理上の数値です。調整後営業利益では、親会社への経営指導料（月2.75百万円）を営業外に区分しています。</w:t>
      </w:r>
    </w:p>
    <w:p>
      <w:pPr>
        <w:spacing w:after="120" w:before="0" w:line="320"/>
        <w:jc w:val="both"/>
      </w:pPr>
      <w:r>
        <w:rPr>
          <w:rFonts w:ascii="游明朝" w:eastAsia="游明朝" w:hAnsi="游明朝"/>
          <w:sz w:val="21"/>
          <w:szCs w:val="21"/>
        </w:rPr>
        <w:t xml:space="preserve">2026年11月期の数値は月次試算表に基づく未確定値であり、決算確定により変動する可能性があります。</w:t>
      </w:r>
    </w:p>
    <w:p>
      <w:pPr>
        <w:pStyle w:val="Heading1"/>
        <w:pBdr>
          <w:bottom w:val="single" w:color="1F3A5F" w:sz="8" w:space="2"/>
        </w:pBdr>
        <w:spacing w:after="160" w:before="360"/>
      </w:pPr>
      <w:r>
        <w:rPr>
          <w:rFonts w:ascii="游ゴシック" w:eastAsia="游ゴシック" w:hAnsi="游ゴシック"/>
          <w:b/>
          <w:bCs/>
          <w:color w:val="1F3A5F"/>
          <w:sz w:val="26"/>
          <w:szCs w:val="26"/>
        </w:rPr>
        <w:t xml:space="preserve">2．現状認識 ― 2026年11月期の実績推移</w:t>
      </w:r>
    </w:p>
    <w:p>
      <w:pPr>
        <w:pStyle w:val="Heading2"/>
        <w:spacing w:after="100" w:before="240"/>
      </w:pPr>
      <w:r>
        <w:rPr>
          <w:rFonts w:ascii="游ゴシック" w:eastAsia="游ゴシック" w:hAnsi="游ゴシック"/>
          <w:b/>
          <w:bCs/>
          <w:color w:val="1F3A5F"/>
          <w:sz w:val="22"/>
          <w:szCs w:val="22"/>
        </w:rPr>
        <w:t xml:space="preserve">2-1．月次損益の推移（2025年12月〜2026年6月）</w:t>
      </w:r>
    </w:p>
    <w:p>
      <w:pPr>
        <w:spacing w:after="120" w:before="0" w:line="320"/>
        <w:jc w:val="both"/>
      </w:pPr>
      <w:r>
        <w:rPr>
          <w:rFonts w:ascii="游明朝" w:eastAsia="游明朝" w:hAnsi="游明朝"/>
          <w:sz w:val="21"/>
          <w:szCs w:val="21"/>
        </w:rPr>
        <w:t xml:space="preserve">グループ入り後の再編（2025年12月の事業引継ぎ、2026年2月の吸収合併）を経て、単体には過年度からのグループ累積損失と一時費用が集約されました。一方で、これらを除いた実態収益力は改善しています。</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860"/>
        <w:gridCol w:w="860"/>
        <w:gridCol w:w="860"/>
        <w:gridCol w:w="860"/>
        <w:gridCol w:w="860"/>
        <w:gridCol w:w="860"/>
        <w:gridCol w:w="860"/>
        <w:gridCol w:w="1720"/>
      </w:tblGrid>
      <w:tr>
        <w:trPr>
          <w:tblHeader/>
        </w:trPr>
        <w:tc>
          <w:tcPr>
            <w:tcW w:type="dxa" w:w="19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（百万円）</w:t>
            </w:r>
          </w:p>
        </w:tc>
        <w:tc>
          <w:tcPr>
            <w:tcW w:type="dxa" w:w="86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12月</w:t>
            </w:r>
          </w:p>
        </w:tc>
        <w:tc>
          <w:tcPr>
            <w:tcW w:type="dxa" w:w="86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1月</w:t>
            </w:r>
          </w:p>
        </w:tc>
        <w:tc>
          <w:tcPr>
            <w:tcW w:type="dxa" w:w="86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2月</w:t>
            </w:r>
          </w:p>
        </w:tc>
        <w:tc>
          <w:tcPr>
            <w:tcW w:type="dxa" w:w="86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3月</w:t>
            </w:r>
          </w:p>
        </w:tc>
        <w:tc>
          <w:tcPr>
            <w:tcW w:type="dxa" w:w="86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4月</w:t>
            </w:r>
          </w:p>
        </w:tc>
        <w:tc>
          <w:tcPr>
            <w:tcW w:type="dxa" w:w="86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5月</w:t>
            </w:r>
          </w:p>
        </w:tc>
        <w:tc>
          <w:tcPr>
            <w:tcW w:type="dxa" w:w="86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6月</w:t>
            </w:r>
          </w:p>
        </w:tc>
        <w:tc>
          <w:tcPr>
            <w:tcW w:type="dxa" w:w="172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7か月累計</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売上高</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92.1</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85.4</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82.0</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87.7</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84.0</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86.7</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89.2</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607.2</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営業利益（帳簿）</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▲15.4</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2.0</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▲2.4</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3.9</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▲5.3</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3.8</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0.6</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▲12.8</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営業利益（調整後）</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14.2</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6.5</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0.2</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3.9</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0.9</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3.9</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5.1</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34.4</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EBITDA（調整後）</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14.5</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6.8</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0.7</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4.4</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1.4</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4.3</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5.8</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37.5</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当期純利益（帳簿）</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▲7.4</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▲0.2</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▲54.1</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0.9</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▲7.4</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1.3</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▲2.5</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▲69.5</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当期純利益（調整後）</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22.3</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4.3</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▲2.6</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0.9</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▲1.1</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1.3</w:t>
            </w:r>
          </w:p>
        </w:tc>
        <w:tc>
          <w:tcPr>
            <w:tcW w:type="dxa" w:w="86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1.9</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26.6</w:t>
            </w:r>
          </w:p>
        </w:tc>
      </w:tr>
    </w:tbl>
    <w:p>
      <w:pPr>
        <w:spacing w:after="60" w:before="0" w:line="260"/>
        <w:jc w:val="both"/>
      </w:pPr>
      <w:r>
        <w:rPr>
          <w:rFonts w:ascii="游明朝" w:eastAsia="游明朝" w:hAnsi="游明朝"/>
          <w:color w:val="555555"/>
          <w:sz w:val="17"/>
          <w:szCs w:val="17"/>
        </w:rPr>
        <w:t xml:space="preserve">※ 出典：連結月次PL/BS（HT単体）。2月の帳簿上の純損失▲54.1百万円には、合併関連の雑損失28.4百万円および抱合株式消滅差損20.5百万円（いずれも一時損失）を含みます。12月の調整後営業利益が高いのは、賞与一括計上（29.2百万円）を6か月へ月割りし直した結果であり、賞与按分後の各月には▲4.9百万円が計上されています。</w:t>
      </w:r>
    </w:p>
    <w:p>
      <w:pPr>
        <w:spacing w:after="60" w:before="0" w:line="260"/>
        <w:jc w:val="both"/>
      </w:pPr>
      <w:r>
        <w:rPr>
          <w:rFonts w:ascii="游明朝" w:eastAsia="游明朝" w:hAnsi="游明朝"/>
          <w:color w:val="555555"/>
          <w:sz w:val="17"/>
          <w:szCs w:val="17"/>
        </w:rPr>
        <w:t xml:space="preserve">※ 2026年7月の売上高は日次進捗管理ベースで91.7百万円（予算比98.7％）の速報値です。7月の損益は月次締め後に改めてご報告いたします。</w:t>
      </w:r>
    </w:p>
    <w:p>
      <w:pPr>
        <w:spacing w:after="60"/>
      </w:pPr>
    </w:p>
    <w:p>
      <w:pPr>
        <w:pStyle w:val="Heading2"/>
        <w:spacing w:after="100" w:before="240"/>
      </w:pPr>
      <w:r>
        <w:rPr>
          <w:rFonts w:ascii="游ゴシック" w:eastAsia="游ゴシック" w:hAnsi="游ゴシック"/>
          <w:b/>
          <w:bCs/>
          <w:color w:val="1F3A5F"/>
          <w:sz w:val="22"/>
          <w:szCs w:val="22"/>
        </w:rPr>
        <w:t xml:space="preserve">2-2．上半期（2025年12月〜2026年5月）実績 ― 株主報告との整合</w:t>
      </w:r>
    </w:p>
    <w:p>
      <w:pPr>
        <w:spacing w:after="120" w:before="0" w:line="320"/>
        <w:jc w:val="both"/>
      </w:pPr>
      <w:r>
        <w:rPr>
          <w:rFonts w:ascii="游明朝" w:eastAsia="游明朝" w:hAnsi="游明朝"/>
          <w:sz w:val="21"/>
          <w:szCs w:val="21"/>
        </w:rPr>
        <w:t xml:space="preserve">株主向け上半期報告では、帳簿数値と調整後数値を併記し、実態収益力と一時要因を区分してご報告しました。上半期の要約は次のとおりです。</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2080"/>
        <w:gridCol w:w="2080"/>
        <w:gridCol w:w="2080"/>
      </w:tblGrid>
      <w:tr>
        <w:trPr>
          <w:tblHeader/>
        </w:trPr>
        <w:tc>
          <w:tcPr>
            <w:tcW w:type="dxa" w:w="34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（百万円）</w:t>
            </w:r>
          </w:p>
        </w:tc>
        <w:tc>
          <w:tcPr>
            <w:tcW w:type="dxa" w:w="208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帳簿のまま</w:t>
            </w:r>
          </w:p>
        </w:tc>
        <w:tc>
          <w:tcPr>
            <w:tcW w:type="dxa" w:w="208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調整後</w:t>
            </w:r>
          </w:p>
        </w:tc>
        <w:tc>
          <w:tcPr>
            <w:tcW w:type="dxa" w:w="208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調整幅</w:t>
            </w:r>
          </w:p>
        </w:tc>
      </w:tr>
      <w:tr>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売上高</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517.9</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517.9</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w:t>
            </w:r>
          </w:p>
        </w:tc>
      </w:tr>
      <w:tr>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営業損益</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▲26.3</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＋29.7</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＋56.0</w:t>
            </w:r>
          </w:p>
        </w:tc>
      </w:tr>
      <w:tr>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月平均営業損益</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▲4.4</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＋5.0</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＋9.4</w:t>
            </w:r>
          </w:p>
        </w:tc>
      </w:tr>
      <w:tr>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当期純損益</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▲67.0</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＋38.0</w:t>
            </w:r>
          </w:p>
        </w:tc>
        <w:tc>
          <w:tcPr>
            <w:tcW w:type="dxa" w:w="208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＋105.0</w:t>
            </w:r>
          </w:p>
        </w:tc>
      </w:tr>
    </w:tbl>
    <w:p>
      <w:pPr>
        <w:spacing w:after="60" w:before="0" w:line="260"/>
        <w:jc w:val="both"/>
      </w:pPr>
      <w:r>
        <w:rPr>
          <w:rFonts w:ascii="游明朝" w:eastAsia="游明朝" w:hAnsi="游明朝"/>
          <w:color w:val="555555"/>
          <w:sz w:val="17"/>
          <w:szCs w:val="17"/>
        </w:rPr>
        <w:t xml:space="preserve">※ 主な調整事項：賞与の月割り再配分、合併に伴う一時損失（約49百万円）の除外、処遇改善給付の月割り配分、経営指導料の営業外区分。</w:t>
      </w:r>
    </w:p>
    <w:p>
      <w:pPr>
        <w:spacing w:after="60"/>
      </w:pPr>
    </w:p>
    <w:p>
      <w:pPr>
        <w:pStyle w:val="Heading2"/>
        <w:spacing w:after="100" w:before="240"/>
      </w:pPr>
      <w:r>
        <w:rPr>
          <w:rFonts w:ascii="游ゴシック" w:eastAsia="游ゴシック" w:hAnsi="游ゴシック"/>
          <w:b/>
          <w:bCs/>
          <w:color w:val="1F3A5F"/>
          <w:sz w:val="22"/>
          <w:szCs w:val="22"/>
        </w:rPr>
        <w:t xml:space="preserve">2-3．財政状態（2026年6月末・単体）</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4640"/>
      </w:tblGrid>
      <w:tr>
        <w:trPr>
          <w:tblHeader/>
        </w:trPr>
        <w:tc>
          <w:tcPr>
            <w:tcW w:type="dxa" w:w="34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（百万円）</w:t>
            </w:r>
          </w:p>
        </w:tc>
        <w:tc>
          <w:tcPr>
            <w:tcW w:type="dxa" w:w="16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6月末</w:t>
            </w:r>
          </w:p>
        </w:tc>
        <w:tc>
          <w:tcPr>
            <w:tcW w:type="dxa" w:w="46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補足</w:t>
            </w:r>
          </w:p>
        </w:tc>
      </w:tr>
      <w:tr>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現金及び預金</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84.6</w:t>
            </w:r>
          </w:p>
        </w:tc>
        <w:tc>
          <w:tcPr>
            <w:tcW w:type="dxa" w:w="46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うち定期預金10.0は借入担保として拘束</w:t>
            </w:r>
          </w:p>
        </w:tc>
      </w:tr>
      <w:tr>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売掛金（介護報酬等）</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165.6</w:t>
            </w:r>
          </w:p>
        </w:tc>
        <w:tc>
          <w:tcPr>
            <w:tcW w:type="dxa" w:w="46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約2か月分の報酬債権</w:t>
            </w:r>
          </w:p>
        </w:tc>
      </w:tr>
      <w:tr>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総資産</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392.9</w:t>
            </w:r>
          </w:p>
        </w:tc>
        <w:tc>
          <w:tcPr>
            <w:tcW w:type="dxa" w:w="46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
            </w:r>
          </w:p>
        </w:tc>
      </w:tr>
      <w:tr>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有利子負債（短期＋長期）</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337.5</w:t>
            </w:r>
          </w:p>
        </w:tc>
        <w:tc>
          <w:tcPr>
            <w:tcW w:type="dxa" w:w="46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短期63.2（当座貸越等）、長期274.3</w:t>
            </w:r>
          </w:p>
        </w:tc>
      </w:tr>
      <w:tr>
        <w:tc>
          <w:tcPr>
            <w:tcW w:type="dxa" w:w="3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純資産（帳簿）</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▲20.8</w:t>
            </w:r>
          </w:p>
        </w:tc>
        <w:tc>
          <w:tcPr>
            <w:tcW w:type="dxa" w:w="46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一時損失の計上により2026年4月以降債務超過</w:t>
            </w:r>
          </w:p>
        </w:tc>
      </w:tr>
    </w:tbl>
    <w:p>
      <w:pPr>
        <w:spacing w:after="60" w:before="0" w:line="260"/>
        <w:jc w:val="both"/>
      </w:pPr>
      <w:r>
        <w:rPr>
          <w:rFonts w:ascii="游明朝" w:eastAsia="游明朝" w:hAnsi="游明朝"/>
          <w:color w:val="555555"/>
          <w:sz w:val="17"/>
          <w:szCs w:val="17"/>
        </w:rPr>
        <w:t xml:space="preserve">※ 株主報告では、事業引継ぎ済み・清算予定の関係法人向け貸付金51.1百万円を全額評価減した実態純資産（2026年5月末▲59.1百万円）を併せて開示しています。なお同法人から当社が引き受けた借入（約46百万円）については、2026年11月期決算までに当社の帳簿へ計上する予定であり、計上後の実態ベースの有利子負債は約380百万円となります。</w:t>
      </w:r>
    </w:p>
    <w:p>
      <w:pPr>
        <w:spacing w:after="60"/>
      </w:pPr>
    </w:p>
    <w:p>
      <w:pPr>
        <w:pStyle w:val="Heading2"/>
        <w:spacing w:after="100" w:before="240"/>
      </w:pPr>
      <w:r>
        <w:rPr>
          <w:rFonts w:ascii="游ゴシック" w:eastAsia="游ゴシック" w:hAnsi="游ゴシック"/>
          <w:b/>
          <w:bCs/>
          <w:color w:val="1F3A5F"/>
          <w:sz w:val="22"/>
          <w:szCs w:val="22"/>
        </w:rPr>
        <w:t xml:space="preserve">2-4．課題の所在 ― 返済負担に対する収益力の不足</w:t>
      </w:r>
    </w:p>
    <w:p>
      <w:pPr>
        <w:spacing w:after="120" w:before="0" w:line="320"/>
        <w:jc w:val="both"/>
      </w:pPr>
      <w:r>
        <w:rPr>
          <w:rFonts w:ascii="游明朝" w:eastAsia="游明朝" w:hAnsi="游明朝"/>
          <w:sz w:val="21"/>
          <w:szCs w:val="21"/>
        </w:rPr>
        <w:t xml:space="preserve">当社の課題は、収益力そのものよりも、増大した有利子負債の返済負担（財務キャッシュ・フロー）にあります。月々の元金返済を税引後利益で賄うために必要な営業利益の水準は次のとおりです。</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3440"/>
      </w:tblGrid>
      <w:tr>
        <w:trPr>
          <w:tblHeader/>
        </w:trPr>
        <w:tc>
          <w:tcPr>
            <w:tcW w:type="dxa" w:w="46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計算ステップ</w:t>
            </w:r>
          </w:p>
        </w:tc>
        <w:tc>
          <w:tcPr>
            <w:tcW w:type="dxa" w:w="16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月額（百万円）</w:t>
            </w:r>
          </w:p>
        </w:tc>
        <w:tc>
          <w:tcPr>
            <w:tcW w:type="dxa" w:w="34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説明</w:t>
            </w:r>
          </w:p>
        </w:tc>
      </w:tr>
      <w:t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毎月の元金返済</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6.0</w:t>
            </w:r>
          </w:p>
        </w:tc>
        <w:tc>
          <w:tcPr>
            <w:tcW w:type="dxa" w:w="34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経費ではなく税引後利益からのみ支払可能</w:t>
            </w:r>
          </w:p>
        </w:tc>
      </w:tr>
      <w:t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税負担を上乗せ（÷(1－30％)）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8.6</w:t>
            </w:r>
          </w:p>
        </w:tc>
        <w:tc>
          <w:tcPr>
            <w:tcW w:type="dxa" w:w="34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税引前で必要な利益</w:t>
            </w:r>
          </w:p>
        </w:tc>
      </w:tr>
      <w:t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支払利息を加算</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＋0.3</w:t>
            </w:r>
          </w:p>
        </w:tc>
        <w:tc>
          <w:tcPr>
            <w:tcW w:type="dxa" w:w="34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借入17口の利息</w:t>
            </w:r>
          </w:p>
        </w:tc>
      </w:tr>
      <w:tr>
        <w:tc>
          <w:tcPr>
            <w:tcW w:type="dxa" w:w="46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left"/>
            </w:pPr>
            <w:r>
              <w:rPr>
                <w:rFonts w:ascii="游明朝" w:eastAsia="游明朝" w:hAnsi="游明朝"/>
                <w:b/>
                <w:bCs/>
                <w:sz w:val="18"/>
                <w:szCs w:val="18"/>
              </w:rPr>
              <w:t xml:space="preserve">必要な営業利益（持続性の最低ライン）</w:t>
            </w:r>
          </w:p>
        </w:tc>
        <w:tc>
          <w:tcPr>
            <w:tcW w:type="dxa" w:w="16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right"/>
            </w:pPr>
            <w:r>
              <w:rPr>
                <w:rFonts w:ascii="游明朝" w:eastAsia="游明朝" w:hAnsi="游明朝"/>
                <w:b/>
                <w:bCs/>
                <w:sz w:val="18"/>
                <w:szCs w:val="18"/>
              </w:rPr>
              <w:t xml:space="preserve">≒9.0</w:t>
            </w:r>
          </w:p>
        </w:tc>
        <w:tc>
          <w:tcPr>
            <w:tcW w:type="dxa" w:w="344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left"/>
            </w:pPr>
            <w:r>
              <w:rPr>
                <w:rFonts w:ascii="游明朝" w:eastAsia="游明朝" w:hAnsi="游明朝"/>
                <w:b/>
                <w:bCs/>
                <w:sz w:val="18"/>
                <w:szCs w:val="18"/>
              </w:rPr>
              <w:t xml:space="preserve">年換算108百万円。減価償却費（月約0.7）を足し戻せば約8.0</w:t>
            </w:r>
          </w:p>
        </w:tc>
      </w:tr>
      <w:t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現在の水準（上半期平均・調整後）</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5.0</w:t>
            </w:r>
          </w:p>
        </w:tc>
        <w:tc>
          <w:tcPr>
            <w:tcW w:type="dxa" w:w="34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直近7か月平均は4.9</w:t>
            </w:r>
          </w:p>
        </w:tc>
      </w:tr>
      <w:tr>
        <w:tc>
          <w:tcPr>
            <w:tcW w:type="dxa" w:w="46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left"/>
            </w:pPr>
            <w:r>
              <w:rPr>
                <w:rFonts w:ascii="游明朝" w:eastAsia="游明朝" w:hAnsi="游明朝"/>
                <w:b/>
                <w:bCs/>
                <w:sz w:val="18"/>
                <w:szCs w:val="18"/>
              </w:rPr>
              <w:t xml:space="preserve">不足額</w:t>
            </w:r>
          </w:p>
        </w:tc>
        <w:tc>
          <w:tcPr>
            <w:tcW w:type="dxa" w:w="16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right"/>
            </w:pPr>
            <w:r>
              <w:rPr>
                <w:rFonts w:ascii="游明朝" w:eastAsia="游明朝" w:hAnsi="游明朝"/>
                <w:b/>
                <w:bCs/>
                <w:sz w:val="18"/>
                <w:szCs w:val="18"/>
              </w:rPr>
              <w:t xml:space="preserve">約4.0</w:t>
            </w:r>
          </w:p>
        </w:tc>
        <w:tc>
          <w:tcPr>
            <w:tcW w:type="dxa" w:w="344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left"/>
            </w:pPr>
            <w:r>
              <w:rPr>
                <w:rFonts w:ascii="游明朝" w:eastAsia="游明朝" w:hAnsi="游明朝"/>
                <w:b/>
                <w:bCs/>
                <w:sz w:val="18"/>
                <w:szCs w:val="18"/>
              </w:rPr>
              <w:t xml:space="preserve">本計画で解消を図る金額</w:t>
            </w:r>
          </w:p>
        </w:tc>
      </w:tr>
    </w:tbl>
    <w:p>
      <w:pPr>
        <w:spacing w:after="120" w:before="120" w:line="320"/>
        <w:jc w:val="both"/>
      </w:pPr>
      <w:r>
        <w:rPr>
          <w:rFonts w:ascii="游明朝" w:eastAsia="游明朝" w:hAnsi="游明朝"/>
          <w:sz w:val="21"/>
          <w:szCs w:val="21"/>
        </w:rPr>
        <w:t xml:space="preserve">すなわち、調整後営業利益が月9.0百万円を下回り続ける限り、返済のたびに現預金が減少する構造にあります。逆に月9.0百万円を安定的に超えれば、借入を約定どおり返済しながら自力で事業を回し続けることができます。月5.0百万円まで回復した現在、残る約4.0百万円の解消が当面の最重要課題であり、本計画はこの解消を目的としています。</w:t>
      </w:r>
    </w:p>
    <w:p>
      <w:pPr>
        <w:pStyle w:val="Heading1"/>
        <w:pBdr>
          <w:bottom w:val="single" w:color="1F3A5F" w:sz="8" w:space="2"/>
        </w:pBdr>
        <w:spacing w:after="160" w:before="360"/>
      </w:pPr>
      <w:r>
        <w:rPr>
          <w:rFonts w:ascii="游ゴシック" w:eastAsia="游ゴシック" w:hAnsi="游ゴシック"/>
          <w:b/>
          <w:bCs/>
          <w:color w:val="1F3A5F"/>
          <w:sz w:val="26"/>
          <w:szCs w:val="26"/>
        </w:rPr>
        <w:t xml:space="preserve">3．これまでの取り組み（2025年10月〜2026年8月）</w:t>
      </w:r>
    </w:p>
    <w:p>
      <w:pPr>
        <w:spacing w:after="120" w:before="0" w:line="320"/>
        <w:jc w:val="both"/>
      </w:pPr>
      <w:r>
        <w:rPr>
          <w:rFonts w:ascii="游明朝" w:eastAsia="游明朝" w:hAnsi="游明朝"/>
          <w:sz w:val="21"/>
          <w:szCs w:val="21"/>
        </w:rPr>
        <w:t xml:space="preserve">親会社であるEEFULホールディングスが経営に参画して以降、構造改革の第一段階（グループ再編と管理基盤の整備）はおおむね完了し、運営フェーズへ移行しています。</w:t>
      </w:r>
    </w:p>
    <w:p>
      <w:pPr>
        <w:pStyle w:val="ListParagraph"/>
        <w:numPr>
          <w:ilvl w:val="0"/>
          <w:numId w:val="2"/>
        </w:numPr>
        <w:spacing w:after="80" w:line="300"/>
      </w:pPr>
      <w:r>
        <w:rPr>
          <w:rFonts w:ascii="游明朝" w:eastAsia="游明朝" w:hAnsi="游明朝"/>
          <w:b/>
          <w:bCs/>
          <w:sz w:val="21"/>
          <w:szCs w:val="21"/>
        </w:rPr>
        <w:t xml:space="preserve">グループ再編の完了：</w:t>
      </w:r>
      <w:r>
        <w:rPr>
          <w:rFonts w:ascii="游明朝" w:eastAsia="游明朝" w:hAnsi="游明朝"/>
          <w:sz w:val="21"/>
          <w:szCs w:val="21"/>
        </w:rPr>
        <w:t xml:space="preserve">関係法人の事業引継ぎ（2025年12月）、関係2社の吸収合併（2026年2月）を実施し、分散していた損益・債務を単体に統合しました。合併に伴う一時損失は2月に計上を終え、以降の発生はありません。</w:t>
      </w:r>
    </w:p>
    <w:p>
      <w:pPr>
        <w:pStyle w:val="ListParagraph"/>
        <w:numPr>
          <w:ilvl w:val="0"/>
          <w:numId w:val="2"/>
        </w:numPr>
        <w:spacing w:after="80" w:line="300"/>
      </w:pPr>
      <w:r>
        <w:rPr>
          <w:rFonts w:ascii="游明朝" w:eastAsia="游明朝" w:hAnsi="游明朝"/>
          <w:b/>
          <w:bCs/>
          <w:sz w:val="21"/>
          <w:szCs w:val="21"/>
        </w:rPr>
        <w:t xml:space="preserve">会計の正常化：</w:t>
      </w:r>
      <w:r>
        <w:rPr>
          <w:rFonts w:ascii="游明朝" w:eastAsia="游明朝" w:hAnsi="游明朝"/>
          <w:sz w:val="21"/>
          <w:szCs w:val="21"/>
        </w:rPr>
        <w:t xml:space="preserve">賞与の期間按分、賞与引当金の整理、法定福利費の二重計上是正、処遇改善給付の按分を実施し、月次で実態収益力を把握できる体制を整えました。</w:t>
      </w:r>
    </w:p>
    <w:p>
      <w:pPr>
        <w:pStyle w:val="ListParagraph"/>
        <w:numPr>
          <w:ilvl w:val="0"/>
          <w:numId w:val="2"/>
        </w:numPr>
        <w:spacing w:after="80" w:line="300"/>
      </w:pPr>
      <w:r>
        <w:rPr>
          <w:rFonts w:ascii="游明朝" w:eastAsia="游明朝" w:hAnsi="游明朝"/>
          <w:b/>
          <w:bCs/>
          <w:sz w:val="21"/>
          <w:szCs w:val="21"/>
        </w:rPr>
        <w:t xml:space="preserve">日次の売上予実管理：</w:t>
      </w:r>
      <w:r>
        <w:rPr>
          <w:rFonts w:ascii="游明朝" w:eastAsia="游明朝" w:hAnsi="游明朝"/>
          <w:sz w:val="21"/>
          <w:szCs w:val="21"/>
        </w:rPr>
        <w:t xml:space="preserve">2026年7月より事業所別・日次の売上予実管理を導入し、稼働率・単価・営業日数の要因分解を毎日行っています。7月の全社売上は予算比98.7％で着地しました。</w:t>
      </w:r>
    </w:p>
    <w:p>
      <w:pPr>
        <w:pStyle w:val="ListParagraph"/>
        <w:numPr>
          <w:ilvl w:val="0"/>
          <w:numId w:val="2"/>
        </w:numPr>
        <w:spacing w:after="80" w:line="300"/>
      </w:pPr>
      <w:r>
        <w:rPr>
          <w:rFonts w:ascii="游明朝" w:eastAsia="游明朝" w:hAnsi="游明朝"/>
          <w:b/>
          <w:bCs/>
          <w:sz w:val="21"/>
          <w:szCs w:val="21"/>
        </w:rPr>
        <w:t xml:space="preserve">収益基盤の拡充：</w:t>
      </w:r>
      <w:r>
        <w:rPr>
          <w:rFonts w:ascii="游明朝" w:eastAsia="游明朝" w:hAnsi="游明朝"/>
          <w:sz w:val="21"/>
          <w:szCs w:val="21"/>
        </w:rPr>
        <w:t xml:space="preserve">2026年4月に大阪市内2拠点で訪問系事業所を新設し、売上計上を開始しています。東京都内での訪問看護・訪問介護の新規指定も進めています。</w:t>
      </w:r>
    </w:p>
    <w:p>
      <w:pPr>
        <w:pStyle w:val="ListParagraph"/>
        <w:numPr>
          <w:ilvl w:val="0"/>
          <w:numId w:val="2"/>
        </w:numPr>
        <w:spacing w:after="80" w:line="300"/>
      </w:pPr>
      <w:r>
        <w:rPr>
          <w:rFonts w:ascii="游明朝" w:eastAsia="游明朝" w:hAnsi="游明朝"/>
          <w:b/>
          <w:bCs/>
          <w:sz w:val="21"/>
          <w:szCs w:val="21"/>
        </w:rPr>
        <w:t xml:space="preserve">直近の実行済み施策（8月〜9月初）：</w:t>
      </w:r>
      <w:r>
        <w:rPr>
          <w:rFonts w:ascii="游明朝" w:eastAsia="游明朝" w:hAnsi="游明朝"/>
          <w:sz w:val="21"/>
          <w:szCs w:val="21"/>
        </w:rPr>
        <w:t xml:space="preserve">管理職1名の処遇条件の見直し（月0.4百万円）、不要設備の撤去（月0.1百万円）を完了し、収益改善KPI管理表による週次の進捗管理を開始しました。</w:t>
      </w:r>
    </w:p>
    <w:p>
      <w:pPr>
        <w:pStyle w:val="Heading1"/>
        <w:pBdr>
          <w:bottom w:val="single" w:color="1F3A5F" w:sz="8" w:space="2"/>
        </w:pBdr>
        <w:spacing w:after="160" w:before="360"/>
      </w:pPr>
      <w:r>
        <w:rPr>
          <w:rFonts w:ascii="游ゴシック" w:eastAsia="游ゴシック" w:hAnsi="游ゴシック"/>
          <w:b/>
          <w:bCs/>
          <w:color w:val="1F3A5F"/>
          <w:sz w:val="26"/>
          <w:szCs w:val="26"/>
        </w:rPr>
        <w:t xml:space="preserve">4．業績改善計画（2026年9月〜12月）</w:t>
      </w:r>
    </w:p>
    <w:p>
      <w:pPr>
        <w:pStyle w:val="Heading2"/>
        <w:spacing w:after="100" w:before="240"/>
      </w:pPr>
      <w:r>
        <w:rPr>
          <w:rFonts w:ascii="游ゴシック" w:eastAsia="游ゴシック" w:hAnsi="游ゴシック"/>
          <w:b/>
          <w:bCs/>
          <w:color w:val="1F3A5F"/>
          <w:sz w:val="22"/>
          <w:szCs w:val="22"/>
        </w:rPr>
        <w:t xml:space="preserve">4-1．計画の目標（KPI）</w:t>
      </w:r>
    </w:p>
    <w:p>
      <w:pPr>
        <w:spacing w:after="120" w:before="0" w:line="320"/>
        <w:jc w:val="both"/>
      </w:pPr>
      <w:r>
        <w:rPr>
          <w:rFonts w:ascii="游明朝" w:eastAsia="游明朝" w:hAnsi="游明朝"/>
          <w:b/>
          <w:bCs/>
          <w:sz w:val="21"/>
          <w:szCs w:val="21"/>
        </w:rPr>
        <w:t xml:space="preserve">「2026年内に、月額4.5百万円（年換算54百万円）のコスト削減を実行可能な状態にする」</w:t>
      </w:r>
      <w:r>
        <w:rPr>
          <w:rFonts w:ascii="游明朝" w:eastAsia="游明朝" w:hAnsi="游明朝"/>
          <w:sz w:val="21"/>
          <w:szCs w:val="21"/>
        </w:rPr>
        <w:t xml:space="preserve">ことをKPIとして設定しています。これは前記2-4の不足額（約4.0百万円）を上回る水準であり、達成により月次の調整後営業利益は必要ライン（9.0百万円）を超える見込みです。</w:t>
      </w:r>
    </w:p>
    <w:p>
      <w:pPr>
        <w:spacing w:after="120" w:before="0" w:line="320"/>
        <w:jc w:val="both"/>
      </w:pPr>
      <w:r>
        <w:rPr>
          <w:rFonts w:ascii="游明朝" w:eastAsia="游明朝" w:hAnsi="游明朝"/>
          <w:sz w:val="21"/>
          <w:szCs w:val="21"/>
        </w:rPr>
        <w:t xml:space="preserve">施策は事業部・本社の各責任者が担当し、KPI管理表に実施可否・優先順位・数値インパクト・開始日・完了日を明記して週次で進捗を更新しています。以下、施策の柱ごとに概要をご説明します（個別の人事事項に関わるため、対象者・事業所の詳細は記載を控えております）。</w:t>
      </w:r>
    </w:p>
    <w:p>
      <w:pPr>
        <w:pStyle w:val="Heading2"/>
        <w:spacing w:after="100" w:before="240"/>
      </w:pPr>
      <w:r>
        <w:rPr>
          <w:rFonts w:ascii="游ゴシック" w:eastAsia="游ゴシック" w:hAnsi="游ゴシック"/>
          <w:b/>
          <w:bCs/>
          <w:color w:val="1F3A5F"/>
          <w:sz w:val="22"/>
          <w:szCs w:val="22"/>
        </w:rPr>
        <w:t xml:space="preserve">4-2．施策の柱と月額効果（概算）</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500"/>
        <w:gridCol w:w="4340"/>
        <w:gridCol w:w="1200"/>
        <w:gridCol w:w="1600"/>
      </w:tblGrid>
      <w:tr>
        <w:trPr>
          <w:tblHeader/>
        </w:trPr>
        <w:tc>
          <w:tcPr>
            <w:tcW w:type="dxa" w:w="25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施策の柱</w:t>
            </w:r>
          </w:p>
        </w:tc>
        <w:tc>
          <w:tcPr>
            <w:tcW w:type="dxa" w:w="43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主な内容</w:t>
            </w:r>
          </w:p>
        </w:tc>
        <w:tc>
          <w:tcPr>
            <w:tcW w:type="dxa" w:w="12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月額効果</w:t>
            </w:r>
          </w:p>
          <w:p>
            <w:pPr>
              <w:spacing w:after="0" w:line="260"/>
              <w:jc w:val="center"/>
            </w:pPr>
            <w:r>
              <w:rPr>
                <w:rFonts w:ascii="游ゴシック" w:eastAsia="游ゴシック" w:hAnsi="游ゴシック"/>
                <w:b/>
                <w:bCs/>
                <w:sz w:val="18"/>
                <w:szCs w:val="18"/>
              </w:rPr>
              <w:t xml:space="preserve">（百万円）</w:t>
            </w:r>
          </w:p>
        </w:tc>
        <w:tc>
          <w:tcPr>
            <w:tcW w:type="dxa" w:w="16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実行時期</w:t>
            </w:r>
          </w:p>
        </w:tc>
      </w:tr>
      <w:t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① 人員体制の適正化</w:t>
            </w:r>
          </w:p>
        </w:tc>
        <w:tc>
          <w:tcPr>
            <w:tcW w:type="dxa" w:w="43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通所系事業所を中心に、人時売上（1人1時間あたり売上）4,500円を基準としてシフトと配置を再設計し、事業所ごとの総労働時間目標を設定。雇用契約の更新時期・定年到達に合わせた契約時間の見直し、相談支援職等への配置転換、管理体制の世代交代を段階的に実施。</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約2.6</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center"/>
            </w:pPr>
            <w:r>
              <w:rPr>
                <w:rFonts w:ascii="游明朝" w:eastAsia="游明朝" w:hAnsi="游明朝"/>
                <w:sz w:val="18"/>
                <w:szCs w:val="18"/>
              </w:rPr>
              <w:t xml:space="preserve">9月〜11月</w:t>
            </w:r>
          </w:p>
          <w:p>
            <w:pPr>
              <w:spacing w:after="0" w:line="260"/>
              <w:jc w:val="center"/>
            </w:pPr>
            <w:r>
              <w:rPr>
                <w:rFonts w:ascii="游明朝" w:eastAsia="游明朝" w:hAnsi="游明朝"/>
                <w:sz w:val="18"/>
                <w:szCs w:val="18"/>
              </w:rPr>
              <w:t xml:space="preserve">（面談開始→意向確認→契約変更）</w:t>
            </w:r>
          </w:p>
        </w:tc>
      </w:tr>
      <w:t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② 事業ポートフォリオの見直し</w:t>
            </w:r>
          </w:p>
        </w:tc>
        <w:tc>
          <w:tcPr>
            <w:tcW w:type="dxa" w:w="43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収支が恒常的に赤字の一部サービス（夜間帯サービス等）の縮小・廃止、収支が見合わない事業所の移転による家賃削減、小規模拠点の統合・譲渡。利用者・ご家族への丁寧な説明と受入先の確保を前提に進める。</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約1.5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center"/>
            </w:pPr>
            <w:r>
              <w:rPr>
                <w:rFonts w:ascii="游明朝" w:eastAsia="游明朝" w:hAnsi="游明朝"/>
                <w:sz w:val="18"/>
                <w:szCs w:val="18"/>
              </w:rPr>
              <w:t xml:space="preserve">9月〜12月</w:t>
            </w:r>
          </w:p>
          <w:p>
            <w:pPr>
              <w:spacing w:after="0" w:line="260"/>
              <w:jc w:val="center"/>
            </w:pPr>
            <w:r>
              <w:rPr>
                <w:rFonts w:ascii="游明朝" w:eastAsia="游明朝" w:hAnsi="游明朝"/>
                <w:sz w:val="18"/>
                <w:szCs w:val="18"/>
              </w:rPr>
              <w:t xml:space="preserve">（利用者説明→移転・譲渡）</w:t>
            </w:r>
          </w:p>
        </w:tc>
      </w:tr>
      <w:t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③ 本社・間接費の削減</w:t>
            </w:r>
          </w:p>
        </w:tc>
        <w:tc>
          <w:tcPr>
            <w:tcW w:type="dxa" w:w="43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コーポレート部門の組織再編（5部体制への集約）による間接人員の適正化、車両保険の見直し、研修会場の自社施設化、不要設備の撤去等。</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約0.8</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center"/>
            </w:pPr>
            <w:r>
              <w:rPr>
                <w:rFonts w:ascii="游明朝" w:eastAsia="游明朝" w:hAnsi="游明朝"/>
                <w:sz w:val="18"/>
                <w:szCs w:val="18"/>
              </w:rPr>
              <w:t xml:space="preserve">9月〜11月</w:t>
            </w:r>
          </w:p>
          <w:p>
            <w:pPr>
              <w:spacing w:after="0" w:line="260"/>
              <w:jc w:val="center"/>
            </w:pPr>
            <w:r>
              <w:rPr>
                <w:rFonts w:ascii="游明朝" w:eastAsia="游明朝" w:hAnsi="游明朝"/>
                <w:sz w:val="18"/>
                <w:szCs w:val="18"/>
              </w:rPr>
              <w:t xml:space="preserve">（体制発表→新体制開始）</w:t>
            </w:r>
          </w:p>
        </w:tc>
      </w:tr>
      <w:tr>
        <w:tc>
          <w:tcPr>
            <w:tcW w:type="dxa" w:w="25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left"/>
            </w:pPr>
            <w:r>
              <w:rPr>
                <w:rFonts w:ascii="游明朝" w:eastAsia="游明朝" w:hAnsi="游明朝"/>
                <w:b/>
                <w:bCs/>
                <w:sz w:val="18"/>
                <w:szCs w:val="18"/>
              </w:rPr>
              <w:t xml:space="preserve">合計（施策の積み上げ）</w:t>
            </w:r>
          </w:p>
        </w:tc>
        <w:tc>
          <w:tcPr>
            <w:tcW w:type="dxa" w:w="434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left"/>
            </w:pPr>
            <w:r>
              <w:rPr>
                <w:rFonts w:ascii="游明朝" w:eastAsia="游明朝" w:hAnsi="游明朝"/>
                <w:b/>
                <w:bCs/>
                <w:sz w:val="18"/>
                <w:szCs w:val="18"/>
              </w:rPr>
              <w:t xml:space="preserve">うち年内に実行可能と見込む金額：約4.5百万円／月（KPI）</w:t>
            </w:r>
          </w:p>
        </w:tc>
        <w:tc>
          <w:tcPr>
            <w:tcW w:type="dxa" w:w="12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right"/>
            </w:pPr>
            <w:r>
              <w:rPr>
                <w:rFonts w:ascii="游明朝" w:eastAsia="游明朝" w:hAnsi="游明朝"/>
                <w:b/>
                <w:bCs/>
                <w:sz w:val="18"/>
                <w:szCs w:val="18"/>
              </w:rPr>
              <w:t xml:space="preserve">約4.9</w:t>
            </w:r>
          </w:p>
        </w:tc>
        <w:tc>
          <w:tcPr>
            <w:tcW w:type="dxa" w:w="16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center"/>
            </w:pPr>
            <w:r>
              <w:rPr>
                <w:rFonts w:ascii="游明朝" w:eastAsia="游明朝" w:hAnsi="游明朝"/>
                <w:b/>
                <w:bCs/>
                <w:sz w:val="18"/>
                <w:szCs w:val="18"/>
              </w:rPr>
              <w:t xml:space="preserve">―</w:t>
            </w:r>
          </w:p>
        </w:tc>
      </w:tr>
    </w:tbl>
    <w:p>
      <w:pPr>
        <w:spacing w:after="60" w:before="0" w:line="260"/>
        <w:jc w:val="both"/>
      </w:pPr>
      <w:r>
        <w:rPr>
          <w:rFonts w:ascii="游明朝" w:eastAsia="游明朝" w:hAnsi="游明朝"/>
          <w:color w:val="555555"/>
          <w:sz w:val="17"/>
          <w:szCs w:val="17"/>
        </w:rPr>
        <w:t xml:space="preserve">※ 月額効果は各施策のランニングコスト削減額の概算（千円単位のKPI管理表を集計）。①には既に完了した管理職1名の処遇見直し（月0.4百万円）を含みます。複数施策で重複する人件費は一方にのみ計上しています。</w:t>
      </w:r>
    </w:p>
    <w:p>
      <w:pPr>
        <w:spacing w:after="60"/>
      </w:pPr>
    </w:p>
    <w:p>
      <w:pPr>
        <w:pStyle w:val="Heading2"/>
        <w:spacing w:after="100" w:before="240"/>
      </w:pPr>
      <w:r>
        <w:rPr>
          <w:rFonts w:ascii="游ゴシック" w:eastAsia="游ゴシック" w:hAnsi="游ゴシック"/>
          <w:b/>
          <w:bCs/>
          <w:color w:val="1F3A5F"/>
          <w:sz w:val="22"/>
          <w:szCs w:val="22"/>
        </w:rPr>
        <w:t xml:space="preserve">4-3．資産整理による一時的な資金創出</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4440"/>
      </w:tblGrid>
      <w:tr>
        <w:trPr>
          <w:tblHeader/>
        </w:trPr>
        <w:tc>
          <w:tcPr>
            <w:tcW w:type="dxa" w:w="38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項目</w:t>
            </w:r>
          </w:p>
        </w:tc>
        <w:tc>
          <w:tcPr>
            <w:tcW w:type="dxa" w:w="14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見込額</w:t>
            </w:r>
          </w:p>
          <w:p>
            <w:pPr>
              <w:spacing w:after="0" w:line="260"/>
              <w:jc w:val="center"/>
            </w:pPr>
            <w:r>
              <w:rPr>
                <w:rFonts w:ascii="游ゴシック" w:eastAsia="游ゴシック" w:hAnsi="游ゴシック"/>
                <w:b/>
                <w:bCs/>
                <w:sz w:val="18"/>
                <w:szCs w:val="18"/>
              </w:rPr>
              <w:t xml:space="preserve">（百万円）</w:t>
            </w:r>
          </w:p>
        </w:tc>
        <w:tc>
          <w:tcPr>
            <w:tcW w:type="dxa" w:w="44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内容・時期</w:t>
            </w:r>
          </w:p>
        </w:tc>
      </w:tr>
      <w:t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不採算事業所の事業譲渡（2拠点）</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約20</w:t>
            </w:r>
          </w:p>
        </w:tc>
        <w:tc>
          <w:tcPr>
            <w:tcW w:type="dxa" w:w="44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就労支援・児童系の小規模2拠点を対象に譲渡先と条件（金額・時期・体制）を協議中。2026年10月〜12月の実行を目標。</w:t>
            </w:r>
          </w:p>
        </w:tc>
      </w:tr>
      <w:t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所有不動産の売却</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約16</w:t>
            </w:r>
          </w:p>
        </w:tc>
        <w:tc>
          <w:tcPr>
            <w:tcW w:type="dxa" w:w="44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堺市内の所有物件（約240㎡）。売却後に賃借として継続利用する方法、または担保として活用する方法を含めて検討。2026年9月に流通登録、11月末までの契約を目標。</w:t>
            </w:r>
          </w:p>
        </w:tc>
      </w:tr>
      <w:tr>
        <w:tc>
          <w:tcPr>
            <w:tcW w:type="dxa" w:w="38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left"/>
            </w:pPr>
            <w:r>
              <w:rPr>
                <w:rFonts w:ascii="游明朝" w:eastAsia="游明朝" w:hAnsi="游明朝"/>
                <w:b/>
                <w:bCs/>
                <w:sz w:val="18"/>
                <w:szCs w:val="18"/>
              </w:rPr>
              <w:t xml:space="preserve">合計</w:t>
            </w:r>
          </w:p>
        </w:tc>
        <w:tc>
          <w:tcPr>
            <w:tcW w:type="dxa" w:w="14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right"/>
            </w:pPr>
            <w:r>
              <w:rPr>
                <w:rFonts w:ascii="游明朝" w:eastAsia="游明朝" w:hAnsi="游明朝"/>
                <w:b/>
                <w:bCs/>
                <w:sz w:val="18"/>
                <w:szCs w:val="18"/>
              </w:rPr>
              <w:t xml:space="preserve">約36</w:t>
            </w:r>
          </w:p>
        </w:tc>
        <w:tc>
          <w:tcPr>
            <w:tcW w:type="dxa" w:w="444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left"/>
            </w:pPr>
            <w:r>
              <w:rPr>
                <w:rFonts w:ascii="游明朝" w:eastAsia="游明朝" w:hAnsi="游明朝"/>
                <w:b/>
                <w:bCs/>
                <w:sz w:val="18"/>
                <w:szCs w:val="18"/>
              </w:rPr>
              <w:t xml:space="preserve">有利子負債の圧縮または手元流動性の確保に充当。使途は貴行とご相談のうえ決定。</w:t>
            </w:r>
          </w:p>
        </w:tc>
      </w:tr>
    </w:tbl>
    <w:p>
      <w:pPr>
        <w:spacing w:after="60"/>
      </w:pPr>
    </w:p>
    <w:p>
      <w:pPr>
        <w:pStyle w:val="Heading2"/>
        <w:spacing w:after="100" w:before="240"/>
      </w:pPr>
      <w:r>
        <w:rPr>
          <w:rFonts w:ascii="游ゴシック" w:eastAsia="游ゴシック" w:hAnsi="游ゴシック"/>
          <w:b/>
          <w:bCs/>
          <w:color w:val="1F3A5F"/>
          <w:sz w:val="22"/>
          <w:szCs w:val="22"/>
        </w:rPr>
        <w:t xml:space="preserve">4-4．実行スケジュール</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00"/>
        <w:gridCol w:w="8240"/>
      </w:tblGrid>
      <w:tr>
        <w:trPr>
          <w:tblHeader/>
        </w:trPr>
        <w:tc>
          <w:tcPr>
            <w:tcW w:type="dxa" w:w="14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時期</w:t>
            </w:r>
          </w:p>
        </w:tc>
        <w:tc>
          <w:tcPr>
            <w:tcW w:type="dxa" w:w="82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主な実行事項</w:t>
            </w:r>
          </w:p>
        </w:tc>
      </w:tr>
      <w:tr>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center"/>
            </w:pPr>
            <w:r>
              <w:rPr>
                <w:rFonts w:ascii="游明朝" w:eastAsia="游明朝" w:hAnsi="游明朝"/>
                <w:sz w:val="18"/>
                <w:szCs w:val="18"/>
              </w:rPr>
              <w:t xml:space="preserve">2026年9月</w:t>
            </w:r>
          </w:p>
        </w:tc>
        <w:tc>
          <w:tcPr>
            <w:tcW w:type="dxa" w:w="8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各施策の方針決定と対象者・関係者との面談開始／通所系事業所のシフト再設計に着手／所有不動産の流通登録／コーポレート再編の面談・確定／利用者・ご家族への説明開始</w:t>
            </w:r>
          </w:p>
        </w:tc>
      </w:tr>
      <w:tr>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center"/>
            </w:pPr>
            <w:r>
              <w:rPr>
                <w:rFonts w:ascii="游明朝" w:eastAsia="游明朝" w:hAnsi="游明朝"/>
                <w:sz w:val="18"/>
                <w:szCs w:val="18"/>
              </w:rPr>
              <w:t xml:space="preserve">2026年10月</w:t>
            </w:r>
          </w:p>
        </w:tc>
        <w:tc>
          <w:tcPr>
            <w:tcW w:type="dxa" w:w="8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雇用契約・勤務条件の変更を順次確定・適用／新任管理体制への移行開始／組織再編の体制発表／事業譲渡先との条件確定</w:t>
            </w:r>
          </w:p>
        </w:tc>
      </w:tr>
      <w:tr>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center"/>
            </w:pPr>
            <w:r>
              <w:rPr>
                <w:rFonts w:ascii="游明朝" w:eastAsia="游明朝" w:hAnsi="游明朝"/>
                <w:sz w:val="18"/>
                <w:szCs w:val="18"/>
              </w:rPr>
              <w:t xml:space="preserve">2026年11月</w:t>
            </w:r>
          </w:p>
        </w:tc>
        <w:tc>
          <w:tcPr>
            <w:tcW w:type="dxa" w:w="8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新体制の開始（本社）／契約変更の完了／一部サービスの縮小・廃止／事業所移転の解約通知／不動産売却契約／事業譲渡の実行</w:t>
            </w:r>
          </w:p>
        </w:tc>
      </w:tr>
      <w:tr>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center"/>
            </w:pPr>
            <w:r>
              <w:rPr>
                <w:rFonts w:ascii="游明朝" w:eastAsia="游明朝" w:hAnsi="游明朝"/>
                <w:sz w:val="18"/>
                <w:szCs w:val="18"/>
              </w:rPr>
              <w:t xml:space="preserve">2026年12月</w:t>
            </w:r>
          </w:p>
        </w:tc>
        <w:tc>
          <w:tcPr>
            <w:tcW w:type="dxa" w:w="8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全施策の実行完了と月額効果の検証／2027年以降の月次計画への反映／通期決算（2026年11月期）の確定作業</w:t>
            </w:r>
          </w:p>
        </w:tc>
      </w:tr>
    </w:tbl>
    <w:p>
      <w:pPr>
        <w:spacing w:after="60"/>
      </w:pPr>
    </w:p>
    <w:p>
      <w:pPr>
        <w:pStyle w:val="Heading1"/>
        <w:pBdr>
          <w:bottom w:val="single" w:color="1F3A5F" w:sz="8" w:space="2"/>
        </w:pBdr>
        <w:spacing w:after="160" w:before="360"/>
      </w:pPr>
      <w:r>
        <w:rPr>
          <w:rFonts w:ascii="游ゴシック" w:eastAsia="游ゴシック" w:hAnsi="游ゴシック"/>
          <w:b/>
          <w:bCs/>
          <w:color w:val="1F3A5F"/>
          <w:sz w:val="26"/>
          <w:szCs w:val="26"/>
        </w:rPr>
        <w:t xml:space="preserve">5．業績の見通し</w:t>
      </w:r>
    </w:p>
    <w:p>
      <w:pPr>
        <w:pStyle w:val="Heading2"/>
        <w:spacing w:after="100" w:before="240"/>
      </w:pPr>
      <w:r>
        <w:rPr>
          <w:rFonts w:ascii="游ゴシック" w:eastAsia="游ゴシック" w:hAnsi="游ゴシック"/>
          <w:b/>
          <w:bCs/>
          <w:color w:val="1F3A5F"/>
          <w:sz w:val="22"/>
          <w:szCs w:val="22"/>
        </w:rPr>
        <w:t xml:space="preserve">5-1．月次営業利益（調整後）の改善ブリッジ</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400"/>
        <w:gridCol w:w="2120"/>
        <w:gridCol w:w="2120"/>
      </w:tblGrid>
      <w:tr>
        <w:trPr>
          <w:tblHeader/>
        </w:trPr>
        <w:tc>
          <w:tcPr>
            <w:tcW w:type="dxa" w:w="54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（百万円／月）</w:t>
            </w:r>
          </w:p>
        </w:tc>
        <w:tc>
          <w:tcPr>
            <w:tcW w:type="dxa" w:w="212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金額</w:t>
            </w:r>
          </w:p>
        </w:tc>
        <w:tc>
          <w:tcPr>
            <w:tcW w:type="dxa" w:w="212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累計</w:t>
            </w:r>
          </w:p>
        </w:tc>
      </w:tr>
      <w:tr>
        <w:tc>
          <w:tcPr>
            <w:tcW w:type="dxa" w:w="5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現状：上半期平均の調整後営業利益</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5.0</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5.0</w:t>
            </w:r>
          </w:p>
        </w:tc>
      </w:tr>
      <w:tr>
        <w:tc>
          <w:tcPr>
            <w:tcW w:type="dxa" w:w="5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 ① 人員体制の適正化</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7.6</w:t>
            </w:r>
          </w:p>
        </w:tc>
      </w:tr>
      <w:tr>
        <w:tc>
          <w:tcPr>
            <w:tcW w:type="dxa" w:w="5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 ② 事業ポートフォリオの見直し</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＋1.5</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9.1</w:t>
            </w:r>
          </w:p>
        </w:tc>
      </w:tr>
      <w:tr>
        <w:tc>
          <w:tcPr>
            <w:tcW w:type="dxa" w:w="5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 ③ 本社・間接費の削減</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＋0.8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9.9</w:t>
            </w:r>
          </w:p>
        </w:tc>
      </w:tr>
      <w:tr>
        <w:tc>
          <w:tcPr>
            <w:tcW w:type="dxa" w:w="54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left"/>
            </w:pPr>
            <w:r>
              <w:rPr>
                <w:rFonts w:ascii="游明朝" w:eastAsia="游明朝" w:hAnsi="游明朝"/>
                <w:b/>
                <w:bCs/>
                <w:sz w:val="18"/>
                <w:szCs w:val="18"/>
              </w:rPr>
              <w:t xml:space="preserve">施策完了後の水準（2027年初以降）</w:t>
            </w:r>
          </w:p>
        </w:tc>
        <w:tc>
          <w:tcPr>
            <w:tcW w:type="dxa" w:w="212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right"/>
            </w:pPr>
            <w:r>
              <w:rPr>
                <w:rFonts w:ascii="游明朝" w:eastAsia="游明朝" w:hAnsi="游明朝"/>
                <w:b/>
                <w:bCs/>
                <w:sz w:val="18"/>
                <w:szCs w:val="18"/>
              </w:rPr>
              <w:t xml:space="preserve"/>
            </w:r>
          </w:p>
        </w:tc>
        <w:tc>
          <w:tcPr>
            <w:tcW w:type="dxa" w:w="212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right"/>
            </w:pPr>
            <w:r>
              <w:rPr>
                <w:rFonts w:ascii="游明朝" w:eastAsia="游明朝" w:hAnsi="游明朝"/>
                <w:b/>
                <w:bCs/>
                <w:sz w:val="18"/>
                <w:szCs w:val="18"/>
              </w:rPr>
              <w:t xml:space="preserve">約9.5〜9.9</w:t>
            </w:r>
          </w:p>
        </w:tc>
      </w:tr>
      <w:tr>
        <w:tc>
          <w:tcPr>
            <w:tcW w:type="dxa" w:w="5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（参考）必要ライン</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9.0</w:t>
            </w:r>
          </w:p>
        </w:tc>
      </w:tr>
    </w:tbl>
    <w:p>
      <w:pPr>
        <w:spacing w:after="60" w:before="0" w:line="260"/>
        <w:jc w:val="both"/>
      </w:pPr>
      <w:r>
        <w:rPr>
          <w:rFonts w:ascii="游明朝" w:eastAsia="游明朝" w:hAnsi="游明朝"/>
          <w:color w:val="555555"/>
          <w:sz w:val="17"/>
          <w:szCs w:val="17"/>
        </w:rPr>
        <w:t xml:space="preserve">※ 売上面の施策（稼働率向上、加算取得、新設事業所の立ち上がり）は上振れ要因として本ブリッジには織り込んでいません。</w:t>
      </w:r>
    </w:p>
    <w:p>
      <w:pPr>
        <w:spacing w:after="60"/>
      </w:pPr>
    </w:p>
    <w:p>
      <w:pPr>
        <w:pStyle w:val="Heading2"/>
        <w:spacing w:after="100" w:before="240"/>
      </w:pPr>
      <w:r>
        <w:rPr>
          <w:rFonts w:ascii="游ゴシック" w:eastAsia="游ゴシック" w:hAnsi="游ゴシック"/>
          <w:b/>
          <w:bCs/>
          <w:color w:val="1F3A5F"/>
          <w:sz w:val="22"/>
          <w:szCs w:val="22"/>
        </w:rPr>
        <w:t xml:space="preserve">5-2．シナリオ別の見通し（2027年11月期）</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1500"/>
        <w:gridCol w:w="1500"/>
        <w:gridCol w:w="1140"/>
      </w:tblGrid>
      <w:tr>
        <w:trPr>
          <w:tblHeader/>
        </w:trPr>
        <w:tc>
          <w:tcPr>
            <w:tcW w:type="dxa" w:w="22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シナリオ</w:t>
            </w:r>
          </w:p>
        </w:tc>
        <w:tc>
          <w:tcPr>
            <w:tcW w:type="dxa" w:w="33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前提</w:t>
            </w:r>
          </w:p>
        </w:tc>
        <w:tc>
          <w:tcPr>
            <w:tcW w:type="dxa" w:w="15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月次営業利益</w:t>
            </w:r>
          </w:p>
          <w:p>
            <w:pPr>
              <w:spacing w:after="0" w:line="260"/>
              <w:jc w:val="center"/>
            </w:pPr>
            <w:r>
              <w:rPr>
                <w:rFonts w:ascii="游ゴシック" w:eastAsia="游ゴシック" w:hAnsi="游ゴシック"/>
                <w:b/>
                <w:bCs/>
                <w:sz w:val="18"/>
                <w:szCs w:val="18"/>
              </w:rPr>
              <w:t xml:space="preserve">（調整後）</w:t>
            </w:r>
          </w:p>
        </w:tc>
        <w:tc>
          <w:tcPr>
            <w:tcW w:type="dxa" w:w="15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年間営業利益</w:t>
            </w:r>
          </w:p>
          <w:p>
            <w:pPr>
              <w:spacing w:after="0" w:line="260"/>
              <w:jc w:val="center"/>
            </w:pPr>
            <w:r>
              <w:rPr>
                <w:rFonts w:ascii="游ゴシック" w:eastAsia="游ゴシック" w:hAnsi="游ゴシック"/>
                <w:b/>
                <w:bCs/>
                <w:sz w:val="18"/>
                <w:szCs w:val="18"/>
              </w:rPr>
              <w:t xml:space="preserve">（調整後）</w:t>
            </w:r>
          </w:p>
        </w:tc>
        <w:tc>
          <w:tcPr>
            <w:tcW w:type="dxa" w:w="11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必要ライン比</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center"/>
            </w:pPr>
            <w:r>
              <w:rPr>
                <w:rFonts w:ascii="游明朝" w:eastAsia="游明朝" w:hAnsi="游明朝"/>
                <w:sz w:val="18"/>
                <w:szCs w:val="18"/>
              </w:rPr>
              <w:t xml:space="preserve">保守的</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施策の実現率7割（月＋3.2）。売上は横ばい。</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約8.2</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約98</w:t>
            </w:r>
          </w:p>
        </w:tc>
        <w:tc>
          <w:tcPr>
            <w:tcW w:type="dxa" w:w="11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▲10</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center"/>
            </w:pPr>
            <w:r>
              <w:rPr>
                <w:rFonts w:ascii="游明朝" w:eastAsia="游明朝" w:hAnsi="游明朝"/>
                <w:sz w:val="18"/>
                <w:szCs w:val="18"/>
              </w:rPr>
              <w:t xml:space="preserve">基本</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KPI（月＋4.5）を年内に達成。売上は横ばい。</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約9.5</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約114</w:t>
            </w:r>
          </w:p>
        </w:tc>
        <w:tc>
          <w:tcPr>
            <w:tcW w:type="dxa" w:w="11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＋6</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center"/>
            </w:pPr>
            <w:r>
              <w:rPr>
                <w:rFonts w:ascii="游明朝" w:eastAsia="游明朝" w:hAnsi="游明朝"/>
                <w:sz w:val="18"/>
                <w:szCs w:val="18"/>
              </w:rPr>
              <w:t xml:space="preserve">上振れ</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施策全体（月＋4.9）を達成し、新設事業所の寄与と稼働率改善が加わる。</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10以上</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120以上</w:t>
            </w:r>
          </w:p>
        </w:tc>
        <w:tc>
          <w:tcPr>
            <w:tcW w:type="dxa" w:w="11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＋12以上</w:t>
            </w:r>
          </w:p>
        </w:tc>
      </w:tr>
    </w:tbl>
    <w:p>
      <w:pPr>
        <w:spacing w:after="120" w:before="120" w:line="320"/>
        <w:jc w:val="both"/>
      </w:pPr>
      <w:r>
        <w:rPr>
          <w:rFonts w:ascii="游明朝" w:eastAsia="游明朝" w:hAnsi="游明朝"/>
          <w:sz w:val="21"/>
          <w:szCs w:val="21"/>
        </w:rPr>
        <w:t xml:space="preserve">基本シナリオでは、2027年11月期の調整後営業利益は年間約110百万円と、元金返済（年約72百万円）と利息を税引後利益で賄える水準に達する見込みです。保守的シナリオでも、減価償却費を足し戻したキャッシュベースの必要ライン（月約8.0百万円）はおおむね確保できる見通しです。</w:t>
      </w:r>
    </w:p>
    <w:p>
      <w:pPr>
        <w:pStyle w:val="Heading2"/>
        <w:spacing w:after="100" w:before="240"/>
      </w:pPr>
      <w:r>
        <w:rPr>
          <w:rFonts w:ascii="游ゴシック" w:eastAsia="游ゴシック" w:hAnsi="游ゴシック"/>
          <w:b/>
          <w:bCs/>
          <w:color w:val="1F3A5F"/>
          <w:sz w:val="22"/>
          <w:szCs w:val="22"/>
        </w:rPr>
        <w:t xml:space="preserve">5-3．2026年11月期（当期）の見通し</w:t>
      </w:r>
    </w:p>
    <w:p>
      <w:pPr>
        <w:spacing w:after="120" w:before="0" w:line="320"/>
        <w:jc w:val="both"/>
      </w:pPr>
      <w:r>
        <w:rPr>
          <w:rFonts w:ascii="游明朝" w:eastAsia="游明朝" w:hAnsi="游明朝"/>
          <w:sz w:val="21"/>
          <w:szCs w:val="21"/>
        </w:rPr>
        <w:t xml:space="preserve">当期は上半期に計上した合併関連の一時損失および賞与の一括計上の影響により、帳簿上は通期で当期純損失を計上する見込みです。一方、調整後の営業利益は7か月累計で＋34.4百万円を確保しており、下半期に本計画の効果が段階的に発現することから、調整後ベースでは通期黒字を維持する見通しです。決算確定後、帳簿数値と調整後数値を対比したうえで改めてご報告いたします。</w:t>
      </w:r>
    </w:p>
    <w:p>
      <w:pPr>
        <w:pStyle w:val="Heading1"/>
        <w:pBdr>
          <w:bottom w:val="single" w:color="1F3A5F" w:sz="8" w:space="2"/>
        </w:pBdr>
        <w:spacing w:after="160" w:before="360"/>
      </w:pPr>
      <w:r>
        <w:rPr>
          <w:rFonts w:ascii="游ゴシック" w:eastAsia="游ゴシック" w:hAnsi="游ゴシック"/>
          <w:b/>
          <w:bCs/>
          <w:color w:val="1F3A5F"/>
          <w:sz w:val="26"/>
          <w:szCs w:val="26"/>
        </w:rPr>
        <w:t xml:space="preserve">6．資金繰りの見通しと貴行へのお願い</w:t>
      </w:r>
    </w:p>
    <w:p>
      <w:pPr>
        <w:spacing w:after="120" w:before="0" w:line="320"/>
        <w:jc w:val="both"/>
      </w:pPr>
      <w:r>
        <w:rPr>
          <w:rFonts w:ascii="游明朝" w:eastAsia="游明朝" w:hAnsi="游明朝"/>
          <w:sz w:val="21"/>
          <w:szCs w:val="21"/>
        </w:rPr>
        <w:t xml:space="preserve">資金繰りは、月内に社会保険料・家賃（月初）、給与（16日・26日）の支出が先行し、22〜24日頃に介護報酬が入金され、月末に約定返済を行うリズムで推移しています。現状では月内の資金の谷が最大で約13百万円生じており、短期借入（当座貸越等63.2百万円）の継続が資金繰りの前提となっています。</w:t>
      </w:r>
    </w:p>
    <w:p>
      <w:pPr>
        <w:spacing w:after="120" w:before="0" w:line="320"/>
        <w:jc w:val="both"/>
      </w:pPr>
      <w:r>
        <w:rPr>
          <w:rFonts w:ascii="游明朝" w:eastAsia="游明朝" w:hAnsi="游明朝"/>
          <w:sz w:val="21"/>
          <w:szCs w:val="21"/>
        </w:rPr>
        <w:t xml:space="preserve">本計画の実行により2027年初以降は月次の営業キャッシュ・フローが返済額を上回る見通しですが、施策の効果が本格的に発現するまでの期間（2026年12月〜2027年3月頃）は、冬季賞与の支給とも重なり、手元流動性が最も薄くなる局面と認識しています。つきましては、以下の点につきましてご理解とご支援を賜りたくお願い申し上げます。</w:t>
      </w:r>
    </w:p>
    <w:p>
      <w:pPr>
        <w:pStyle w:val="ListParagraph"/>
        <w:numPr>
          <w:ilvl w:val="0"/>
          <w:numId w:val="3"/>
        </w:numPr>
        <w:spacing w:after="80" w:line="300"/>
      </w:pPr>
      <w:r>
        <w:rPr>
          <w:rFonts w:ascii="游明朝" w:eastAsia="游明朝" w:hAnsi="游明朝"/>
          <w:b/>
          <w:bCs/>
          <w:sz w:val="21"/>
          <w:szCs w:val="21"/>
        </w:rPr>
        <w:t xml:space="preserve">短期借入（当座貸越等）の期日更新の継続</w:t>
      </w:r>
      <w:r>
        <w:rPr>
          <w:rFonts w:ascii="游明朝" w:eastAsia="游明朝" w:hAnsi="游明朝"/>
          <w:sz w:val="21"/>
          <w:szCs w:val="21"/>
        </w:rPr>
        <w:t xml:space="preserve">　本計画の効果発現までの間、現行の短期借入枠を維持いただきたくお願い申し上げます。</w:t>
      </w:r>
    </w:p>
    <w:p>
      <w:pPr>
        <w:pStyle w:val="ListParagraph"/>
        <w:numPr>
          <w:ilvl w:val="0"/>
          <w:numId w:val="3"/>
        </w:numPr>
        <w:spacing w:after="80" w:line="300"/>
      </w:pPr>
      <w:r>
        <w:rPr>
          <w:rFonts w:ascii="游明朝" w:eastAsia="游明朝" w:hAnsi="游明朝"/>
          <w:b/>
          <w:bCs/>
          <w:sz w:val="21"/>
          <w:szCs w:val="21"/>
        </w:rPr>
        <w:t xml:space="preserve">既存長期借入の約定返済の継続と、据置明け返済開始時期の事前協議</w:t>
      </w:r>
      <w:r>
        <w:rPr>
          <w:rFonts w:ascii="游明朝" w:eastAsia="游明朝" w:hAnsi="游明朝"/>
          <w:sz w:val="21"/>
          <w:szCs w:val="21"/>
        </w:rPr>
        <w:t xml:space="preserve">　当社は約定どおりの返済を継続する方針です。2027年に据置期間が明ける借入については、返済開始時の資金負担を平準化できるよう、事前にご相談させていただきたく存じます。</w:t>
      </w:r>
    </w:p>
    <w:p>
      <w:pPr>
        <w:pStyle w:val="ListParagraph"/>
        <w:numPr>
          <w:ilvl w:val="0"/>
          <w:numId w:val="3"/>
        </w:numPr>
        <w:spacing w:after="80" w:line="300"/>
      </w:pPr>
      <w:r>
        <w:rPr>
          <w:rFonts w:ascii="游明朝" w:eastAsia="游明朝" w:hAnsi="游明朝"/>
          <w:b/>
          <w:bCs/>
          <w:sz w:val="21"/>
          <w:szCs w:val="21"/>
        </w:rPr>
        <w:t xml:space="preserve">資産整理により創出する資金の使途に関するご相談</w:t>
      </w:r>
      <w:r>
        <w:rPr>
          <w:rFonts w:ascii="游明朝" w:eastAsia="游明朝" w:hAnsi="游明朝"/>
          <w:sz w:val="21"/>
          <w:szCs w:val="21"/>
        </w:rPr>
        <w:t xml:space="preserve">　不動産売却・事業譲渡による資金（約36百万円）について、有利子負債の圧縮と手元流動性の確保のバランスを貴行とご相談のうえ決定いたします。所有不動産については、売却ではなく担保としての活用も選択肢として検討しております。</w:t>
      </w:r>
    </w:p>
    <w:p>
      <w:pPr>
        <w:pStyle w:val="ListParagraph"/>
        <w:numPr>
          <w:ilvl w:val="0"/>
          <w:numId w:val="3"/>
        </w:numPr>
        <w:spacing w:after="80" w:line="300"/>
      </w:pPr>
      <w:r>
        <w:rPr>
          <w:rFonts w:ascii="游明朝" w:eastAsia="游明朝" w:hAnsi="游明朝"/>
          <w:b/>
          <w:bCs/>
          <w:sz w:val="21"/>
          <w:szCs w:val="21"/>
        </w:rPr>
        <w:t xml:space="preserve">月次でのご報告の継続</w:t>
      </w:r>
      <w:r>
        <w:rPr>
          <w:rFonts w:ascii="游明朝" w:eastAsia="游明朝" w:hAnsi="游明朝"/>
          <w:sz w:val="21"/>
          <w:szCs w:val="21"/>
        </w:rPr>
        <w:t xml:space="preserve">　月次試算表、調整後損益、KPI管理表の進捗を毎月ご報告し、計画との乖離が生じた場合は速やかに追加施策をご説明いたします。</w:t>
      </w:r>
    </w:p>
    <w:p>
      <w:pPr>
        <w:pStyle w:val="Heading1"/>
        <w:pBdr>
          <w:bottom w:val="single" w:color="1F3A5F" w:sz="8" w:space="2"/>
        </w:pBdr>
        <w:spacing w:after="160" w:before="360"/>
      </w:pPr>
      <w:r>
        <w:rPr>
          <w:rFonts w:ascii="游ゴシック" w:eastAsia="游ゴシック" w:hAnsi="游ゴシック"/>
          <w:b/>
          <w:bCs/>
          <w:color w:val="1F3A5F"/>
          <w:sz w:val="26"/>
          <w:szCs w:val="26"/>
        </w:rPr>
        <w:t xml:space="preserve">7．留意事項</w:t>
      </w:r>
    </w:p>
    <w:p>
      <w:pPr>
        <w:pStyle w:val="ListParagraph"/>
        <w:numPr>
          <w:ilvl w:val="0"/>
          <w:numId w:val="2"/>
        </w:numPr>
        <w:spacing w:after="80" w:line="300"/>
      </w:pPr>
      <w:r>
        <w:rPr>
          <w:rFonts w:ascii="游明朝" w:eastAsia="游明朝" w:hAnsi="游明朝"/>
          <w:sz w:val="21"/>
          <w:szCs w:val="21"/>
        </w:rPr>
        <w:t xml:space="preserve">本資料の見通しは、2026年9月時点で入手可能な情報および当社の判断に基づく前提により作成したものであり、介護報酬・障害福祉サービス報酬の改定、人材の採用・定着状況、利用者数の変動等により実際の結果は異なる可能性があります。</w:t>
      </w:r>
    </w:p>
    <w:p>
      <w:pPr>
        <w:pStyle w:val="ListParagraph"/>
        <w:numPr>
          <w:ilvl w:val="0"/>
          <w:numId w:val="2"/>
        </w:numPr>
        <w:spacing w:after="80" w:line="300"/>
      </w:pPr>
      <w:r>
        <w:rPr>
          <w:rFonts w:ascii="游明朝" w:eastAsia="游明朝" w:hAnsi="游明朝"/>
          <w:sz w:val="21"/>
          <w:szCs w:val="21"/>
        </w:rPr>
        <w:t xml:space="preserve">人員体制の適正化は、対象者との合意形成と法令・就業規則の遵守を前提に段階的に進めるため、効果の発現時期が前後する可能性があります。利用者・ご家族への影響を最小化することを最優先とし、サービスの質の維持を前提に実行します。</w:t>
      </w:r>
    </w:p>
    <w:p>
      <w:pPr>
        <w:pStyle w:val="ListParagraph"/>
        <w:numPr>
          <w:ilvl w:val="0"/>
          <w:numId w:val="2"/>
        </w:numPr>
        <w:spacing w:after="80" w:line="300"/>
      </w:pPr>
      <w:r>
        <w:rPr>
          <w:rFonts w:ascii="游明朝" w:eastAsia="游明朝" w:hAnsi="游明朝"/>
          <w:sz w:val="21"/>
          <w:szCs w:val="21"/>
        </w:rPr>
        <w:t xml:space="preserve">2026年11月期の数値は月次試算表に基づく未確定値です。関係法人から引き受けた借入の帳簿計上、資産の評価等により、決算確定時に純資産が変動する可能性があります。</w:t>
      </w:r>
    </w:p>
    <w:p>
      <w:pPr>
        <w:pStyle w:val="ListParagraph"/>
        <w:numPr>
          <w:ilvl w:val="0"/>
          <w:numId w:val="2"/>
        </w:numPr>
        <w:spacing w:after="80" w:line="300"/>
      </w:pPr>
      <w:r>
        <w:rPr>
          <w:rFonts w:ascii="游明朝" w:eastAsia="游明朝" w:hAnsi="游明朝"/>
          <w:sz w:val="21"/>
          <w:szCs w:val="21"/>
        </w:rPr>
        <w:t xml:space="preserve">本資料は貴行へのご説明を目的として作成したものであり、監査法人・公認会計士による監査または検証を受けたものではありません。</w:t>
      </w:r>
    </w:p>
    <w:p>
      <w:pPr>
        <w:spacing w:after="120" w:before="240" w:line="320"/>
        <w:jc w:val="right"/>
      </w:pPr>
      <w:r>
        <w:rPr>
          <w:rFonts w:ascii="游明朝" w:eastAsia="游明朝" w:hAnsi="游明朝"/>
          <w:sz w:val="21"/>
          <w:szCs w:val="21"/>
        </w:rPr>
        <w:t xml:space="preserve">以上</w:t>
      </w:r>
    </w:p>
    <w:p>
      <w:r>
        <w:br w:type="page"/>
      </w:r>
    </w:p>
    <w:p>
      <w:pPr>
        <w:pStyle w:val="Heading1"/>
        <w:pBdr>
          <w:bottom w:val="single" w:color="1F3A5F" w:sz="8" w:space="2"/>
        </w:pBdr>
        <w:spacing w:after="160" w:before="360"/>
      </w:pPr>
      <w:r>
        <w:rPr>
          <w:rFonts w:ascii="游ゴシック" w:eastAsia="游ゴシック" w:hAnsi="游ゴシック"/>
          <w:b/>
          <w:bCs/>
          <w:color w:val="1F3A5F"/>
          <w:sz w:val="26"/>
          <w:szCs w:val="26"/>
        </w:rPr>
        <w:t xml:space="preserve">別紙　参考資料</w:t>
      </w:r>
    </w:p>
    <w:p>
      <w:pPr>
        <w:pStyle w:val="Heading2"/>
        <w:spacing w:after="100" w:before="240"/>
      </w:pPr>
      <w:r>
        <w:rPr>
          <w:rFonts w:ascii="游ゴシック" w:eastAsia="游ゴシック" w:hAnsi="游ゴシック"/>
          <w:b/>
          <w:bCs/>
          <w:color w:val="1F3A5F"/>
          <w:sz w:val="22"/>
          <w:szCs w:val="22"/>
        </w:rPr>
        <w:t xml:space="preserve">別紙1．業績の推移（グループ合算・年次）</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1240"/>
        <w:gridCol w:w="1240"/>
        <w:gridCol w:w="1240"/>
        <w:gridCol w:w="1240"/>
        <w:gridCol w:w="1240"/>
        <w:gridCol w:w="1240"/>
      </w:tblGrid>
      <w:tr>
        <w:trPr>
          <w:tblHeader/>
        </w:trPr>
        <w:tc>
          <w:tcPr>
            <w:tcW w:type="dxa" w:w="22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（百万円）</w:t>
            </w:r>
          </w:p>
        </w:tc>
        <w:tc>
          <w:tcPr>
            <w:tcW w:type="dxa" w:w="12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2022年4月期</w:t>
            </w:r>
          </w:p>
        </w:tc>
        <w:tc>
          <w:tcPr>
            <w:tcW w:type="dxa" w:w="12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2023年4月期</w:t>
            </w:r>
          </w:p>
        </w:tc>
        <w:tc>
          <w:tcPr>
            <w:tcW w:type="dxa" w:w="12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2024年4月期</w:t>
            </w:r>
          </w:p>
        </w:tc>
        <w:tc>
          <w:tcPr>
            <w:tcW w:type="dxa" w:w="12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2025年4月期</w:t>
            </w:r>
          </w:p>
        </w:tc>
        <w:tc>
          <w:tcPr>
            <w:tcW w:type="dxa" w:w="12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上半期</w:t>
            </w:r>
          </w:p>
          <w:p>
            <w:pPr>
              <w:spacing w:after="0" w:line="260"/>
              <w:jc w:val="center"/>
            </w:pPr>
            <w:r>
              <w:rPr>
                <w:rFonts w:ascii="游ゴシック" w:eastAsia="游ゴシック" w:hAnsi="游ゴシック"/>
                <w:b/>
                <w:bCs/>
                <w:sz w:val="18"/>
                <w:szCs w:val="18"/>
              </w:rPr>
              <w:t xml:space="preserve">（帳簿）</w:t>
            </w:r>
          </w:p>
        </w:tc>
        <w:tc>
          <w:tcPr>
            <w:tcW w:type="dxa" w:w="12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上半期</w:t>
            </w:r>
          </w:p>
          <w:p>
            <w:pPr>
              <w:spacing w:after="0" w:line="260"/>
              <w:jc w:val="center"/>
            </w:pPr>
            <w:r>
              <w:rPr>
                <w:rFonts w:ascii="游ゴシック" w:eastAsia="游ゴシック" w:hAnsi="游ゴシック"/>
                <w:b/>
                <w:bCs/>
                <w:sz w:val="18"/>
                <w:szCs w:val="18"/>
              </w:rPr>
              <w:t xml:space="preserve">年換算（調整後）</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売上高</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530.1</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705.8</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912.2</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953.5</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517.9</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1,035.8</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営業利益</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▲22.3</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▲3.1</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▲5.6</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▲19.5</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▲26.3</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＋59.4</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当期純利益</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▲12.0</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＋4.5</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▲5.2</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▲18.3</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▲67.0</w:t>
            </w:r>
          </w:p>
        </w:tc>
        <w:tc>
          <w:tcPr>
            <w:tcW w:type="dxa" w:w="12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＋76.0</w:t>
            </w:r>
          </w:p>
        </w:tc>
      </w:tr>
    </w:tbl>
    <w:p>
      <w:pPr>
        <w:spacing w:after="60" w:before="0" w:line="260"/>
        <w:jc w:val="both"/>
      </w:pPr>
      <w:r>
        <w:rPr>
          <w:rFonts w:ascii="游明朝" w:eastAsia="游明朝" w:hAnsi="游明朝"/>
          <w:color w:val="555555"/>
          <w:sz w:val="17"/>
          <w:szCs w:val="17"/>
        </w:rPr>
        <w:t xml:space="preserve">※ 2023年4月期以降は、2026年に統合した関係法人・関係会社を含む合算ベース。2022年4月期は当時ほぼ1社であった単体。上半期は2025年12月〜2026年5月。年換算は上半期調整後×2の参考値。</w:t>
      </w:r>
    </w:p>
    <w:p>
      <w:pPr>
        <w:spacing w:after="60"/>
      </w:pPr>
    </w:p>
    <w:p>
      <w:pPr>
        <w:pStyle w:val="Heading2"/>
        <w:spacing w:after="100" w:before="240"/>
      </w:pPr>
      <w:r>
        <w:rPr>
          <w:rFonts w:ascii="游ゴシック" w:eastAsia="游ゴシック" w:hAnsi="游ゴシック"/>
          <w:b/>
          <w:bCs/>
          <w:color w:val="1F3A5F"/>
          <w:sz w:val="22"/>
          <w:szCs w:val="22"/>
        </w:rPr>
        <w:t xml:space="preserve">別紙2．実態収益力の推移（月次営業利益・調整後）</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3940"/>
      </w:tblGrid>
      <w:tr>
        <w:trPr>
          <w:tblHeader/>
        </w:trPr>
        <w:tc>
          <w:tcPr>
            <w:tcW w:type="dxa" w:w="38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時点</w:t>
            </w:r>
          </w:p>
        </w:tc>
        <w:tc>
          <w:tcPr>
            <w:tcW w:type="dxa" w:w="19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月額（百万円）</w:t>
            </w:r>
          </w:p>
        </w:tc>
        <w:tc>
          <w:tcPr>
            <w:tcW w:type="dxa" w:w="39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備考</w:t>
            </w:r>
          </w:p>
        </w:tc>
      </w:tr>
      <w:t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2025年9月（グループ入り時点）</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▲1.2</w:t>
            </w:r>
          </w:p>
        </w:tc>
        <w:tc>
          <w:tcPr>
            <w:tcW w:type="dxa" w:w="39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買収時デュー・デリジェンスに基づく水準</w:t>
            </w:r>
          </w:p>
        </w:tc>
      </w:tr>
      <w:t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2026年11月期 上半期平均（12月〜5月）</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＋5.0</w:t>
            </w:r>
          </w:p>
        </w:tc>
        <w:tc>
          <w:tcPr>
            <w:tcW w:type="dxa" w:w="39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株主向け上半期報告</w:t>
            </w:r>
          </w:p>
        </w:tc>
      </w:tr>
      <w:t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直近7か月平均（12月〜6月）</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＋4.9</w:t>
            </w:r>
          </w:p>
        </w:tc>
        <w:tc>
          <w:tcPr>
            <w:tcW w:type="dxa" w:w="39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連結月次PL/BS（HT単体）</w:t>
            </w:r>
          </w:p>
        </w:tc>
      </w:tr>
      <w:t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2027年初以降（本計画完了後・基本シナリオ）</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＋9.5</w:t>
            </w:r>
          </w:p>
        </w:tc>
        <w:tc>
          <w:tcPr>
            <w:tcW w:type="dxa" w:w="39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必要ライン9.0を上回る水準</w:t>
            </w:r>
          </w:p>
        </w:tc>
      </w:tr>
    </w:tbl>
    <w:p>
      <w:pPr>
        <w:spacing w:after="60"/>
      </w:pPr>
    </w:p>
    <w:p>
      <w:pPr>
        <w:pStyle w:val="Heading2"/>
        <w:spacing w:after="100" w:before="240"/>
      </w:pPr>
      <w:r>
        <w:rPr>
          <w:rFonts w:ascii="游ゴシック" w:eastAsia="游ゴシック" w:hAnsi="游ゴシック"/>
          <w:b/>
          <w:bCs/>
          <w:color w:val="1F3A5F"/>
          <w:sz w:val="22"/>
          <w:szCs w:val="22"/>
        </w:rPr>
        <w:t xml:space="preserve">別紙3．有利子負債の概要（2026年6月末）</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1600"/>
        <w:gridCol w:w="3640"/>
      </w:tblGrid>
      <w:tr>
        <w:trPr>
          <w:tblHeader/>
        </w:trPr>
        <w:tc>
          <w:tcPr>
            <w:tcW w:type="dxa" w:w="44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区分</w:t>
            </w:r>
          </w:p>
        </w:tc>
        <w:tc>
          <w:tcPr>
            <w:tcW w:type="dxa" w:w="160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残高（百万円）</w:t>
            </w:r>
          </w:p>
        </w:tc>
        <w:tc>
          <w:tcPr>
            <w:tcW w:type="dxa" w:w="3640"/>
            <w:tcBorders>
              <w:top w:val="single" w:color="999999" w:sz="4"/>
              <w:left w:val="single" w:color="999999" w:sz="4"/>
              <w:bottom w:val="single" w:color="999999" w:sz="4"/>
              <w:right w:val="single" w:color="999999" w:sz="4"/>
            </w:tcBorders>
            <w:shd w:fill="E8EEF5" w:color="E8EEF5" w:val="clear"/>
            <w:tcMar>
              <w:top w:type="dxa" w:w="50"/>
              <w:left w:type="dxa" w:w="90"/>
              <w:bottom w:type="dxa" w:w="50"/>
              <w:right w:type="dxa" w:w="90"/>
            </w:tcMar>
            <w:vAlign w:val="center"/>
          </w:tcPr>
          <w:p>
            <w:pPr>
              <w:spacing w:after="0" w:line="260"/>
              <w:jc w:val="center"/>
            </w:pPr>
            <w:r>
              <w:rPr>
                <w:rFonts w:ascii="游ゴシック" w:eastAsia="游ゴシック" w:hAnsi="游ゴシック"/>
                <w:b/>
                <w:bCs/>
                <w:sz w:val="18"/>
                <w:szCs w:val="18"/>
              </w:rPr>
              <w:t xml:space="preserve">補足</w:t>
            </w:r>
          </w:p>
        </w:tc>
      </w:tr>
      <w:tr>
        <w:tc>
          <w:tcPr>
            <w:tcW w:type="dxa" w:w="4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長期借入金（銀行・公的金融機関・役員借入等 17口）</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274.3</w:t>
            </w:r>
          </w:p>
        </w:tc>
        <w:tc>
          <w:tcPr>
            <w:tcW w:type="dxa" w:w="36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月額元金返済 約6百万円（据置中の口を含む）</w:t>
            </w:r>
          </w:p>
        </w:tc>
      </w:tr>
      <w:tr>
        <w:tc>
          <w:tcPr>
            <w:tcW w:type="dxa" w:w="4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短期借入金（当座貸越等）</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63.2</w:t>
            </w:r>
          </w:p>
        </w:tc>
        <w:tc>
          <w:tcPr>
            <w:tcW w:type="dxa" w:w="36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期日更新により維持</w:t>
            </w:r>
          </w:p>
        </w:tc>
      </w:tr>
      <w:tr>
        <w:tc>
          <w:tcPr>
            <w:tcW w:type="dxa" w:w="44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left"/>
            </w:pPr>
            <w:r>
              <w:rPr>
                <w:rFonts w:ascii="游明朝" w:eastAsia="游明朝" w:hAnsi="游明朝"/>
                <w:b/>
                <w:bCs/>
                <w:sz w:val="18"/>
                <w:szCs w:val="18"/>
              </w:rPr>
              <w:t xml:space="preserve">有利子負債合計（帳簿）</w:t>
            </w:r>
          </w:p>
        </w:tc>
        <w:tc>
          <w:tcPr>
            <w:tcW w:type="dxa" w:w="160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right"/>
            </w:pPr>
            <w:r>
              <w:rPr>
                <w:rFonts w:ascii="游明朝" w:eastAsia="游明朝" w:hAnsi="游明朝"/>
                <w:b/>
                <w:bCs/>
                <w:sz w:val="18"/>
                <w:szCs w:val="18"/>
              </w:rPr>
              <w:t xml:space="preserve">337.5</w:t>
            </w:r>
          </w:p>
        </w:tc>
        <w:tc>
          <w:tcPr>
            <w:tcW w:type="dxa" w:w="3640"/>
            <w:tcBorders>
              <w:top w:val="single" w:color="999999" w:sz="4"/>
              <w:left w:val="single" w:color="999999" w:sz="4"/>
              <w:bottom w:val="single" w:color="999999" w:sz="4"/>
              <w:right w:val="single" w:color="999999" w:sz="4"/>
            </w:tcBorders>
            <w:shd w:fill="F2F2F2" w:color="F2F2F2" w:val="clear"/>
            <w:tcMar>
              <w:top w:type="dxa" w:w="50"/>
              <w:left w:type="dxa" w:w="90"/>
              <w:bottom w:type="dxa" w:w="50"/>
              <w:right w:type="dxa" w:w="90"/>
            </w:tcMar>
            <w:vAlign w:val="center"/>
          </w:tcPr>
          <w:p>
            <w:pPr>
              <w:spacing w:after="0" w:line="260"/>
              <w:jc w:val="left"/>
            </w:pPr>
            <w:r>
              <w:rPr>
                <w:rFonts w:ascii="游明朝" w:eastAsia="游明朝" w:hAnsi="游明朝"/>
                <w:b/>
                <w:bCs/>
                <w:sz w:val="18"/>
                <w:szCs w:val="18"/>
              </w:rPr>
              <w:t xml:space="preserve">現預金84.6を差し引いたネット有利子負債 252.9</w:t>
            </w:r>
          </w:p>
        </w:tc>
      </w:tr>
      <w:tr>
        <w:tc>
          <w:tcPr>
            <w:tcW w:type="dxa" w:w="4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（参考）関係法人から引受済み・帳簿計上予定の借入</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right"/>
            </w:pPr>
            <w:r>
              <w:rPr>
                <w:rFonts w:ascii="游明朝" w:eastAsia="游明朝" w:hAnsi="游明朝"/>
                <w:sz w:val="18"/>
                <w:szCs w:val="18"/>
              </w:rPr>
              <w:t xml:space="preserve">約46</w:t>
            </w:r>
          </w:p>
        </w:tc>
        <w:tc>
          <w:tcPr>
            <w:tcW w:type="dxa" w:w="364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spacing w:after="0" w:line="260"/>
              <w:jc w:val="left"/>
            </w:pPr>
            <w:r>
              <w:rPr>
                <w:rFonts w:ascii="游明朝" w:eastAsia="游明朝" w:hAnsi="游明朝"/>
                <w:sz w:val="18"/>
                <w:szCs w:val="18"/>
              </w:rPr>
              <w:t xml:space="preserve">公的金融機関2口。計上後の実態合計は約380</w:t>
            </w:r>
          </w:p>
        </w:tc>
      </w:tr>
    </w:tbl>
    <w:p>
      <w:pPr>
        <w:spacing w:after="60" w:before="0" w:line="260"/>
        <w:jc w:val="both"/>
      </w:pPr>
      <w:r>
        <w:rPr>
          <w:rFonts w:ascii="游明朝" w:eastAsia="游明朝" w:hAnsi="游明朝"/>
          <w:color w:val="555555"/>
          <w:sz w:val="17"/>
          <w:szCs w:val="17"/>
        </w:rPr>
        <w:t xml:space="preserve">※ 据置期間が明ける口（2027年3月〜8月に順次償還開始予定）があるため、月額元金返済は段階的に増加する見込みです。</w:t>
      </w:r>
    </w:p>
    <w:sectPr>
      <w:headerReference w:type="default" r:id="rId7"/>
      <w:footerReference w:type="default" r:id="rId8"/>
      <w:pgSz w:w="11906" w:h="16838" w:orient="portrait"/>
      <w:pgMar w:top="1300" w:right="1133" w:bottom="120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666666"/>
        <w:sz w:val="18"/>
        <w:szCs w:val="18"/>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明朝" w:eastAsia="游明朝" w:hAnsi="游明朝"/>
        <w:color w:val="666666"/>
        <w:sz w:val="16"/>
        <w:szCs w:val="16"/>
      </w:rPr>
      <w:t xml:space="preserve">株式会社ハートフルサンク　業績改善の進捗および今後の見通しについて　　【貴行限り】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rPr>
        <w:sz w:val="14"/>
        <w:szCs w:val="14"/>
      </w:r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640" w:hanging="6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游ゴシック" w:cs="游ゴシック" w:eastAsia="游ゴシック" w:hAnsi="游ゴシック"/>
      <w:b/>
      <w:bCs/>
      <w:color w:val="1F3A5F"/>
      <w:sz w:val="26"/>
      <w:szCs w:val="26"/>
    </w:rPr>
  </w:style>
  <w:style w:type="paragraph" w:styleId="Heading2">
    <w:name w:val="Heading 2"/>
    <w:basedOn w:val="Normal"/>
    <w:next w:val="Normal"/>
    <w:qFormat/>
    <w:rPr>
      <w:rFonts w:ascii="游ゴシック" w:cs="游ゴシック" w:eastAsia="游ゴシック" w:hAnsi="游ゴシック"/>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業績改善の進捗および今後の見通しについて（ご報告）</dc:title>
  <dc:creator>株式会社ハートフルサンク</dc:creator>
  <cp:lastModifiedBy>Un-named</cp:lastModifiedBy>
  <cp:revision>1</cp:revision>
  <dcterms:created xsi:type="dcterms:W3CDTF">2026-09-04T03:51:51.166Z</dcterms:created>
  <dcterms:modified xsi:type="dcterms:W3CDTF">2026-09-04T03:51:51.173Z</dcterms:modified>
</cp:coreProperties>
</file>

<file path=docProps/custom.xml><?xml version="1.0" encoding="utf-8"?>
<Properties xmlns="http://schemas.openxmlformats.org/officeDocument/2006/custom-properties" xmlns:vt="http://schemas.openxmlformats.org/officeDocument/2006/docPropsVTypes"/>
</file>