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IMPLEMENTACIÓN TÉCNICA</w:t>
      </w:r>
    </w:p>
    <w:p>
      <w:pPr>
        <w:pStyle w:val="Heading1"/>
      </w:pPr>
      <w:r>
        <w:t>HMO Auditor V1.3 Elite</w:t>
      </w:r>
    </w:p>
    <w:p>
      <w:pPr>
        <w:pStyle w:val="Heading2"/>
      </w:pPr>
      <w:r>
        <w:t>1. Arquitectura Técnica (Local-First)</w:t>
      </w:r>
    </w:p>
    <w:p>
      <w:r>
        <w:t>El sistema opera bajo una arquitectura de Generación Aumentada por Recuperación (RAG) ejecutada íntegramente en el hardware local del usuario. Esto garantiza la soberanía de los datos.</w:t>
      </w:r>
    </w:p>
    <w:p>
      <w:pPr>
        <w:pStyle w:val="Heading3"/>
      </w:pPr>
      <w:r>
        <w:t>1.1. Componentes Core</w:t>
      </w:r>
    </w:p>
    <w:p>
      <w:r>
        <w:t>- Motor LLM: Ollama (Llama 3 / Mistral).</w:t>
      </w:r>
    </w:p>
    <w:p>
      <w:r>
        <w:t>- Vector Store: ChromaDB (Local Persistence).</w:t>
      </w:r>
    </w:p>
    <w:p>
      <w:r>
        <w:t>- UI: Streamlit Dashboard Profesional.</w:t>
      </w:r>
    </w:p>
    <w:p>
      <w:pPr>
        <w:pStyle w:val="Heading2"/>
      </w:pPr>
      <w:r>
        <w:t>2. Estrategia de Blindaje Legal</w:t>
      </w:r>
    </w:p>
    <w:p>
      <w:r>
        <w:t>Cada documento emitido (Word, Excel, PDF) incorpora un sello de integridad SHA-256. Las plantillas están protegidas mediante 'Form Fields' para impedir alteraciones estructurales.</w:t>
      </w:r>
    </w:p>
    <w:p>
      <w:pPr>
        <w:pStyle w:val="Heading2"/>
      </w:pPr>
      <w:r>
        <w:t>3. Metodología de Auditoría</w:t>
      </w:r>
    </w:p>
    <w:p>
      <w:r>
        <w:t>Alineación total con la norma ISO 19011:2018. El sistema automatiza el Programa de Auditoría, el Checklist y el Reporte de Hallazgos, permitiendo una validación humana (HITL) en cada etapa.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